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86D" w:rsidRPr="00397AB4" w:rsidRDefault="000B186D" w:rsidP="000B186D">
      <w:pPr>
        <w:pStyle w:val="normal"/>
        <w:spacing w:before="240" w:after="240"/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b/>
          <w:sz w:val="48"/>
          <w:szCs w:val="48"/>
          <w:lang w:val="cs-CZ"/>
        </w:rPr>
        <w:t>Strategický a řídicí rámec podle nařízení DORA</w:t>
      </w:r>
    </w:p>
    <w:p w:rsidR="000B186D" w:rsidRPr="00397AB4" w:rsidRDefault="000B186D" w:rsidP="000B186D">
      <w:pPr>
        <w:pStyle w:val="normal"/>
        <w:spacing w:before="240" w:after="240"/>
        <w:rPr>
          <w:rFonts w:ascii="Athiti" w:eastAsia="Athiti" w:hAnsi="Athiti" w:cs="Athiti"/>
          <w:lang w:val="cs-CZ"/>
        </w:rPr>
      </w:pPr>
    </w:p>
    <w:tbl>
      <w:tblPr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/>
      </w:tblPr>
      <w:tblGrid>
        <w:gridCol w:w="2769"/>
        <w:gridCol w:w="6591"/>
      </w:tblGrid>
      <w:tr w:rsidR="000B186D" w:rsidRPr="00397AB4" w:rsidTr="00E47F99">
        <w:trPr>
          <w:cantSplit/>
          <w:trHeight w:val="515"/>
          <w:tblHeader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86D" w:rsidRPr="00397AB4" w:rsidRDefault="000B186D" w:rsidP="00E47F99">
            <w:pPr>
              <w:pStyle w:val="normal"/>
              <w:spacing w:before="240" w:after="240"/>
              <w:jc w:val="center"/>
              <w:rPr>
                <w:rFonts w:ascii="Athiti" w:eastAsia="Athiti" w:hAnsi="Athiti" w:cs="Athiti"/>
                <w:lang w:val="cs-CZ"/>
              </w:rPr>
            </w:pPr>
            <w:r w:rsidRPr="00397AB4">
              <w:rPr>
                <w:rFonts w:ascii="Athiti" w:eastAsia="Athiti" w:hAnsi="Athiti" w:cs="Athiti"/>
                <w:b/>
                <w:lang w:val="cs-CZ"/>
              </w:rPr>
              <w:t>Termín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86D" w:rsidRPr="00397AB4" w:rsidRDefault="000B186D" w:rsidP="00E47F99">
            <w:pPr>
              <w:pStyle w:val="normal"/>
              <w:spacing w:before="240" w:after="240"/>
              <w:jc w:val="center"/>
              <w:rPr>
                <w:rFonts w:ascii="Athiti" w:eastAsia="Athiti" w:hAnsi="Athiti" w:cs="Athiti"/>
                <w:lang w:val="cs-CZ"/>
              </w:rPr>
            </w:pPr>
            <w:r w:rsidRPr="00397AB4">
              <w:rPr>
                <w:rFonts w:ascii="Athiti" w:eastAsia="Athiti" w:hAnsi="Athiti" w:cs="Athiti"/>
                <w:b/>
                <w:lang w:val="cs-CZ"/>
              </w:rPr>
              <w:t>Definice</w:t>
            </w:r>
          </w:p>
        </w:tc>
      </w:tr>
      <w:tr w:rsidR="000B186D" w:rsidRPr="00397AB4" w:rsidTr="00E47F99">
        <w:trPr>
          <w:cantSplit/>
          <w:trHeight w:val="1070"/>
          <w:tblHeader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86D" w:rsidRPr="00397AB4" w:rsidRDefault="000B186D" w:rsidP="00E47F99">
            <w:pPr>
              <w:pStyle w:val="normal"/>
              <w:spacing w:before="240" w:after="240"/>
              <w:rPr>
                <w:rFonts w:ascii="Athiti" w:eastAsia="Athiti" w:hAnsi="Athiti" w:cs="Athiti"/>
                <w:lang w:val="cs-CZ"/>
              </w:rPr>
            </w:pPr>
            <w:r w:rsidRPr="00397AB4">
              <w:rPr>
                <w:rFonts w:ascii="Athiti" w:eastAsia="Athiti" w:hAnsi="Athiti" w:cs="Athiti"/>
                <w:b/>
                <w:lang w:val="cs-CZ"/>
              </w:rPr>
              <w:t>Strategie digitální provozní odolnosti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86D" w:rsidRPr="00397AB4" w:rsidRDefault="000B186D" w:rsidP="00E47F99">
            <w:pPr>
              <w:pStyle w:val="normal"/>
              <w:spacing w:before="240" w:after="240"/>
              <w:rPr>
                <w:rFonts w:ascii="Athiti" w:eastAsia="Athiti" w:hAnsi="Athiti" w:cs="Athiti"/>
                <w:lang w:val="cs-CZ"/>
              </w:rPr>
            </w:pPr>
            <w:r w:rsidRPr="00397AB4">
              <w:rPr>
                <w:rFonts w:ascii="Athiti" w:eastAsia="Athiti" w:hAnsi="Athiti" w:cs="Athiti"/>
                <w:lang w:val="cs-CZ"/>
              </w:rPr>
              <w:t>Strategický dokument schválený vedením, který stanovuje cíle a klíčové ukazatele výkonnosti pro zajištění kontinuity, integrity a bezpečnosti ICT služeb.</w:t>
            </w:r>
          </w:p>
        </w:tc>
      </w:tr>
      <w:tr w:rsidR="000B186D" w:rsidRPr="00397AB4" w:rsidTr="00E47F99">
        <w:trPr>
          <w:cantSplit/>
          <w:trHeight w:val="785"/>
          <w:tblHeader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86D" w:rsidRPr="00397AB4" w:rsidRDefault="000B186D" w:rsidP="00E47F99">
            <w:pPr>
              <w:pStyle w:val="normal"/>
              <w:spacing w:before="240" w:after="240"/>
              <w:rPr>
                <w:rFonts w:ascii="Athiti" w:eastAsia="Athiti" w:hAnsi="Athiti" w:cs="Athiti"/>
                <w:lang w:val="cs-CZ"/>
              </w:rPr>
            </w:pPr>
            <w:r w:rsidRPr="00397AB4">
              <w:rPr>
                <w:rFonts w:ascii="Athiti" w:eastAsia="Athiti" w:hAnsi="Athiti" w:cs="Athiti"/>
                <w:b/>
                <w:lang w:val="cs-CZ"/>
              </w:rPr>
              <w:t>Rámec řízení ICT rizik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86D" w:rsidRPr="00397AB4" w:rsidRDefault="000B186D" w:rsidP="00E47F99">
            <w:pPr>
              <w:pStyle w:val="normal"/>
              <w:spacing w:before="240" w:after="240"/>
              <w:rPr>
                <w:rFonts w:ascii="Athiti" w:eastAsia="Athiti" w:hAnsi="Athiti" w:cs="Athiti"/>
                <w:lang w:val="cs-CZ"/>
              </w:rPr>
            </w:pPr>
            <w:r w:rsidRPr="00397AB4">
              <w:rPr>
                <w:rFonts w:ascii="Athiti" w:eastAsia="Athiti" w:hAnsi="Athiti" w:cs="Athiti"/>
                <w:lang w:val="cs-CZ"/>
              </w:rPr>
              <w:t>Rámec pro identifikaci, hodnocení, mitigaci a monitorování ICT rizik napříč systémy, službami a dodavatelskými vztahy.</w:t>
            </w:r>
          </w:p>
        </w:tc>
      </w:tr>
      <w:tr w:rsidR="000B186D" w:rsidRPr="00397AB4" w:rsidTr="00E47F99">
        <w:trPr>
          <w:cantSplit/>
          <w:trHeight w:val="785"/>
          <w:tblHeader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86D" w:rsidRPr="00397AB4" w:rsidRDefault="000B186D" w:rsidP="00E47F99">
            <w:pPr>
              <w:pStyle w:val="normal"/>
              <w:spacing w:before="240" w:after="240"/>
              <w:rPr>
                <w:rFonts w:ascii="Athiti" w:eastAsia="Athiti" w:hAnsi="Athiti" w:cs="Athiti"/>
                <w:lang w:val="cs-CZ"/>
              </w:rPr>
            </w:pPr>
            <w:r w:rsidRPr="00397AB4">
              <w:rPr>
                <w:rFonts w:ascii="Athiti" w:eastAsia="Athiti" w:hAnsi="Athiti" w:cs="Athiti"/>
                <w:b/>
                <w:lang w:val="cs-CZ"/>
              </w:rPr>
              <w:t>Analýza dopadů na podnikání (BIA)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86D" w:rsidRPr="00397AB4" w:rsidRDefault="000B186D" w:rsidP="00E47F99">
            <w:pPr>
              <w:pStyle w:val="normal"/>
              <w:spacing w:before="240" w:after="240"/>
              <w:rPr>
                <w:rFonts w:ascii="Athiti" w:eastAsia="Athiti" w:hAnsi="Athiti" w:cs="Athiti"/>
                <w:lang w:val="cs-CZ"/>
              </w:rPr>
            </w:pPr>
            <w:r w:rsidRPr="00397AB4">
              <w:rPr>
                <w:rFonts w:ascii="Athiti" w:eastAsia="Athiti" w:hAnsi="Athiti" w:cs="Athiti"/>
                <w:lang w:val="cs-CZ"/>
              </w:rPr>
              <w:t>Systematická metoda pro posouzení dopadů výpadků ICT služeb na klíčové procesy a pro stanovení RTO, RPO a MTD.</w:t>
            </w:r>
          </w:p>
        </w:tc>
      </w:tr>
      <w:tr w:rsidR="000B186D" w:rsidRPr="00397AB4" w:rsidTr="00E47F99">
        <w:trPr>
          <w:cantSplit/>
          <w:trHeight w:val="1070"/>
          <w:tblHeader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86D" w:rsidRPr="00397AB4" w:rsidRDefault="000B186D" w:rsidP="00E47F99">
            <w:pPr>
              <w:pStyle w:val="normal"/>
              <w:spacing w:before="240" w:after="240"/>
              <w:rPr>
                <w:rFonts w:ascii="Athiti" w:eastAsia="Athiti" w:hAnsi="Athiti" w:cs="Athiti"/>
                <w:lang w:val="cs-CZ"/>
              </w:rPr>
            </w:pPr>
            <w:r w:rsidRPr="00397AB4">
              <w:rPr>
                <w:rFonts w:ascii="Athiti" w:eastAsia="Athiti" w:hAnsi="Athiti" w:cs="Athiti"/>
                <w:b/>
                <w:lang w:val="cs-CZ"/>
              </w:rPr>
              <w:t>Plány reakce a obnovy ICT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86D" w:rsidRPr="00397AB4" w:rsidRDefault="000B186D" w:rsidP="00E47F99">
            <w:pPr>
              <w:pStyle w:val="normal"/>
              <w:spacing w:before="240" w:after="240"/>
              <w:rPr>
                <w:rFonts w:ascii="Athiti" w:eastAsia="Athiti" w:hAnsi="Athiti" w:cs="Athiti"/>
                <w:lang w:val="cs-CZ"/>
              </w:rPr>
            </w:pPr>
            <w:r w:rsidRPr="00397AB4">
              <w:rPr>
                <w:rFonts w:ascii="Athiti" w:eastAsia="Athiti" w:hAnsi="Athiti" w:cs="Athiti"/>
                <w:lang w:val="cs-CZ"/>
              </w:rPr>
              <w:t>Sada plánů definujících kroky k detekci, izolaci, odstranění a obnově ICT služeb po bezpečnostním incidentu nebo selhání systému.</w:t>
            </w:r>
          </w:p>
        </w:tc>
      </w:tr>
      <w:tr w:rsidR="000B186D" w:rsidRPr="00397AB4" w:rsidTr="00E47F99">
        <w:trPr>
          <w:cantSplit/>
          <w:trHeight w:val="785"/>
          <w:tblHeader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86D" w:rsidRPr="00397AB4" w:rsidRDefault="000B186D" w:rsidP="00E47F99">
            <w:pPr>
              <w:pStyle w:val="normal"/>
              <w:spacing w:before="240" w:after="240"/>
              <w:rPr>
                <w:rFonts w:ascii="Athiti" w:eastAsia="Athiti" w:hAnsi="Athiti" w:cs="Athiti"/>
                <w:lang w:val="cs-CZ"/>
              </w:rPr>
            </w:pPr>
            <w:r w:rsidRPr="00397AB4">
              <w:rPr>
                <w:rFonts w:ascii="Athiti" w:eastAsia="Athiti" w:hAnsi="Athiti" w:cs="Athiti"/>
                <w:b/>
                <w:lang w:val="cs-CZ"/>
              </w:rPr>
              <w:t>Plány kontinuity ICT a krizové komunikace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86D" w:rsidRPr="00397AB4" w:rsidRDefault="000B186D" w:rsidP="00E47F99">
            <w:pPr>
              <w:pStyle w:val="normal"/>
              <w:spacing w:before="240" w:after="240"/>
              <w:rPr>
                <w:rFonts w:ascii="Athiti" w:eastAsia="Athiti" w:hAnsi="Athiti" w:cs="Athiti"/>
                <w:lang w:val="cs-CZ"/>
              </w:rPr>
            </w:pPr>
            <w:r w:rsidRPr="00397AB4">
              <w:rPr>
                <w:rFonts w:ascii="Athiti" w:eastAsia="Athiti" w:hAnsi="Athiti" w:cs="Athiti"/>
                <w:lang w:val="cs-CZ"/>
              </w:rPr>
              <w:t>Plány zajišťující provoz a komunikaci během a po narušení služeb, včetně komunikace se zákazníky, regulátory a médii.</w:t>
            </w:r>
          </w:p>
        </w:tc>
      </w:tr>
      <w:tr w:rsidR="000B186D" w:rsidRPr="00397AB4" w:rsidTr="00E47F99">
        <w:trPr>
          <w:cantSplit/>
          <w:trHeight w:val="1070"/>
          <w:tblHeader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86D" w:rsidRPr="00397AB4" w:rsidRDefault="000B186D" w:rsidP="00E47F99">
            <w:pPr>
              <w:pStyle w:val="normal"/>
              <w:spacing w:before="240" w:after="240"/>
              <w:rPr>
                <w:rFonts w:ascii="Athiti" w:eastAsia="Athiti" w:hAnsi="Athiti" w:cs="Athiti"/>
                <w:lang w:val="cs-CZ"/>
              </w:rPr>
            </w:pPr>
            <w:r w:rsidRPr="00397AB4">
              <w:rPr>
                <w:rFonts w:ascii="Athiti" w:eastAsia="Athiti" w:hAnsi="Athiti" w:cs="Athiti"/>
                <w:b/>
                <w:lang w:val="cs-CZ"/>
              </w:rPr>
              <w:t>Program školení a zvyšování povědomí o ICT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86D" w:rsidRPr="00397AB4" w:rsidRDefault="000B186D" w:rsidP="00E47F99">
            <w:pPr>
              <w:pStyle w:val="normal"/>
              <w:spacing w:before="240" w:after="240"/>
              <w:rPr>
                <w:rFonts w:ascii="Athiti" w:eastAsia="Athiti" w:hAnsi="Athiti" w:cs="Athiti"/>
                <w:lang w:val="cs-CZ"/>
              </w:rPr>
            </w:pPr>
            <w:r w:rsidRPr="00397AB4">
              <w:rPr>
                <w:rFonts w:ascii="Athiti" w:eastAsia="Athiti" w:hAnsi="Athiti" w:cs="Athiti"/>
                <w:lang w:val="cs-CZ"/>
              </w:rPr>
              <w:t>Školení přizpůsobená rolím zaměstnanců s cílem omezit rizika způsobená lidským faktorem a zajistit dodržování DORA, GDPR a MiCA.</w:t>
            </w:r>
          </w:p>
        </w:tc>
      </w:tr>
      <w:tr w:rsidR="000B186D" w:rsidRPr="00397AB4" w:rsidTr="00E47F99">
        <w:trPr>
          <w:cantSplit/>
          <w:trHeight w:val="785"/>
          <w:tblHeader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86D" w:rsidRPr="00397AB4" w:rsidRDefault="000B186D" w:rsidP="00E47F99">
            <w:pPr>
              <w:pStyle w:val="normal"/>
              <w:spacing w:before="240" w:after="240"/>
              <w:rPr>
                <w:rFonts w:ascii="Athiti" w:eastAsia="Athiti" w:hAnsi="Athiti" w:cs="Athiti"/>
                <w:lang w:val="cs-CZ"/>
              </w:rPr>
            </w:pPr>
            <w:r w:rsidRPr="00397AB4">
              <w:rPr>
                <w:rFonts w:ascii="Athiti" w:eastAsia="Athiti" w:hAnsi="Athiti" w:cs="Athiti"/>
                <w:b/>
                <w:lang w:val="cs-CZ"/>
              </w:rPr>
              <w:t>Testování bezpečnosti a odolnosti ICT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86D" w:rsidRPr="00397AB4" w:rsidRDefault="000B186D" w:rsidP="00E47F99">
            <w:pPr>
              <w:pStyle w:val="normal"/>
              <w:spacing w:before="240" w:after="240"/>
              <w:rPr>
                <w:rFonts w:ascii="Athiti" w:eastAsia="Athiti" w:hAnsi="Athiti" w:cs="Athiti"/>
                <w:lang w:val="cs-CZ"/>
              </w:rPr>
            </w:pPr>
            <w:r w:rsidRPr="00397AB4">
              <w:rPr>
                <w:rFonts w:ascii="Athiti" w:eastAsia="Athiti" w:hAnsi="Athiti" w:cs="Athiti"/>
                <w:lang w:val="cs-CZ"/>
              </w:rPr>
              <w:t>Pravidelné penetrační testy, simulace útoků a testy obnovy zaměřené na odhalení slabin a ověření schopnosti reakce.</w:t>
            </w:r>
          </w:p>
        </w:tc>
      </w:tr>
      <w:tr w:rsidR="000B186D" w:rsidRPr="00397AB4" w:rsidTr="00E47F99">
        <w:trPr>
          <w:cantSplit/>
          <w:trHeight w:val="785"/>
          <w:tblHeader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86D" w:rsidRPr="00397AB4" w:rsidRDefault="000B186D" w:rsidP="00E47F99">
            <w:pPr>
              <w:pStyle w:val="normal"/>
              <w:spacing w:before="240" w:after="240"/>
              <w:rPr>
                <w:rFonts w:ascii="Athiti" w:eastAsia="Athiti" w:hAnsi="Athiti" w:cs="Athiti"/>
                <w:lang w:val="cs-CZ"/>
              </w:rPr>
            </w:pPr>
            <w:r w:rsidRPr="00397AB4">
              <w:rPr>
                <w:rFonts w:ascii="Athiti" w:eastAsia="Athiti" w:hAnsi="Athiti" w:cs="Athiti"/>
                <w:b/>
                <w:lang w:val="cs-CZ"/>
              </w:rPr>
              <w:lastRenderedPageBreak/>
              <w:t>Třetí strany a řízení ICT outsourcingu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86D" w:rsidRPr="00397AB4" w:rsidRDefault="000B186D" w:rsidP="00E47F99">
            <w:pPr>
              <w:pStyle w:val="normal"/>
              <w:spacing w:before="240" w:after="240"/>
              <w:rPr>
                <w:rFonts w:ascii="Athiti" w:eastAsia="Athiti" w:hAnsi="Athiti" w:cs="Athiti"/>
                <w:lang w:val="cs-CZ"/>
              </w:rPr>
            </w:pPr>
            <w:r w:rsidRPr="00397AB4">
              <w:rPr>
                <w:rFonts w:ascii="Athiti" w:eastAsia="Athiti" w:hAnsi="Athiti" w:cs="Athiti"/>
                <w:lang w:val="cs-CZ"/>
              </w:rPr>
              <w:t>Postupy pro výběr, hodnocení a sledování externích poskytovatelů ICT služeb s důrazem na smluvní požadavky a právo na audit.</w:t>
            </w:r>
          </w:p>
        </w:tc>
      </w:tr>
      <w:tr w:rsidR="000B186D" w:rsidRPr="00397AB4" w:rsidTr="00E47F99">
        <w:trPr>
          <w:cantSplit/>
          <w:trHeight w:val="785"/>
          <w:tblHeader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86D" w:rsidRPr="00397AB4" w:rsidRDefault="000B186D" w:rsidP="00E47F99">
            <w:pPr>
              <w:pStyle w:val="normal"/>
              <w:spacing w:before="240" w:after="240"/>
              <w:rPr>
                <w:rFonts w:ascii="Athiti" w:eastAsia="Athiti" w:hAnsi="Athiti" w:cs="Athiti"/>
                <w:lang w:val="cs-CZ"/>
              </w:rPr>
            </w:pPr>
            <w:r w:rsidRPr="00397AB4">
              <w:rPr>
                <w:rFonts w:ascii="Athiti" w:eastAsia="Athiti" w:hAnsi="Athiti" w:cs="Athiti"/>
                <w:b/>
                <w:lang w:val="cs-CZ"/>
              </w:rPr>
              <w:t>Kritické a důležité funkce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86D" w:rsidRPr="00397AB4" w:rsidRDefault="000B186D" w:rsidP="00E47F99">
            <w:pPr>
              <w:pStyle w:val="normal"/>
              <w:spacing w:before="240" w:after="240"/>
              <w:rPr>
                <w:rFonts w:ascii="Athiti" w:eastAsia="Athiti" w:hAnsi="Athiti" w:cs="Athiti"/>
                <w:lang w:val="cs-CZ"/>
              </w:rPr>
            </w:pPr>
            <w:r w:rsidRPr="00397AB4">
              <w:rPr>
                <w:rFonts w:ascii="Athiti" w:eastAsia="Athiti" w:hAnsi="Athiti" w:cs="Athiti"/>
                <w:lang w:val="cs-CZ"/>
              </w:rPr>
              <w:t>Funkce nebo služby, jejichž selhání by mělo významný dopad na dostupnost, důvěryhodnost nebo zákonnost poskytovaných služeb.</w:t>
            </w:r>
          </w:p>
        </w:tc>
      </w:tr>
      <w:tr w:rsidR="000B186D" w:rsidRPr="00397AB4" w:rsidTr="00E47F99">
        <w:trPr>
          <w:cantSplit/>
          <w:trHeight w:val="1070"/>
          <w:tblHeader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86D" w:rsidRPr="00397AB4" w:rsidRDefault="000B186D" w:rsidP="00E47F99">
            <w:pPr>
              <w:pStyle w:val="normal"/>
              <w:spacing w:before="240" w:after="240"/>
              <w:rPr>
                <w:rFonts w:ascii="Athiti" w:eastAsia="Athiti" w:hAnsi="Athiti" w:cs="Athiti"/>
                <w:lang w:val="cs-CZ"/>
              </w:rPr>
            </w:pPr>
            <w:r w:rsidRPr="00397AB4">
              <w:rPr>
                <w:rFonts w:ascii="Athiti" w:eastAsia="Athiti" w:hAnsi="Athiti" w:cs="Athiti"/>
                <w:b/>
                <w:lang w:val="cs-CZ"/>
              </w:rPr>
              <w:t>Rámec pro kontinuální zlepšování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186D" w:rsidRPr="00397AB4" w:rsidRDefault="000B186D" w:rsidP="00E47F99">
            <w:pPr>
              <w:pStyle w:val="normal"/>
              <w:spacing w:before="240" w:after="240"/>
              <w:rPr>
                <w:rFonts w:ascii="Athiti" w:eastAsia="Athiti" w:hAnsi="Athiti" w:cs="Athiti"/>
                <w:lang w:val="cs-CZ"/>
              </w:rPr>
            </w:pPr>
            <w:r w:rsidRPr="00397AB4">
              <w:rPr>
                <w:rFonts w:ascii="Athiti" w:eastAsia="Athiti" w:hAnsi="Athiti" w:cs="Athiti"/>
                <w:lang w:val="cs-CZ"/>
              </w:rPr>
              <w:t>Proces pravidelného přezkumu a aktualizace politik, plánů a postupů na základě incidentů, testování, auditu nebo změn v rizikovém prostředí.</w:t>
            </w:r>
          </w:p>
        </w:tc>
      </w:tr>
    </w:tbl>
    <w:p w:rsidR="000B186D" w:rsidRPr="00397AB4" w:rsidRDefault="000B186D" w:rsidP="000B186D">
      <w:pPr>
        <w:pStyle w:val="normal"/>
        <w:spacing w:before="240" w:after="240"/>
        <w:rPr>
          <w:rFonts w:ascii="Athiti" w:eastAsia="Athiti" w:hAnsi="Athiti" w:cs="Athiti"/>
          <w:lang w:val="cs-CZ"/>
        </w:rPr>
      </w:pPr>
    </w:p>
    <w:p w:rsidR="000B186D" w:rsidRPr="00397AB4" w:rsidRDefault="000B186D" w:rsidP="000B186D">
      <w:pPr>
        <w:pStyle w:val="Nadpis1"/>
        <w:spacing w:before="240" w:after="240"/>
        <w:rPr>
          <w:rFonts w:ascii="Athiti" w:eastAsia="Athiti" w:hAnsi="Athiti" w:cs="Athiti"/>
          <w:lang w:val="cs-CZ"/>
        </w:rPr>
      </w:pPr>
      <w:bookmarkStart w:id="0" w:name="_1zpp4bqdco52" w:colFirst="0" w:colLast="0"/>
      <w:bookmarkEnd w:id="0"/>
      <w:r w:rsidRPr="00397AB4">
        <w:rPr>
          <w:rFonts w:ascii="Athiti" w:eastAsia="Athiti" w:hAnsi="Athiti" w:cs="Athiti"/>
          <w:lang w:val="cs-CZ"/>
        </w:rPr>
        <w:t>1. Správa sítě a infrastruktury</w:t>
      </w:r>
    </w:p>
    <w:p w:rsidR="000B186D" w:rsidRPr="00397AB4" w:rsidRDefault="000B186D" w:rsidP="000B186D">
      <w:pPr>
        <w:pStyle w:val="normal"/>
        <w:spacing w:before="240" w:after="240"/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lang w:val="cs-CZ"/>
        </w:rPr>
        <w:t>Společnost musí udržovat bezpečnou, odolnou a škálovatelnou ICT infrastrukturu, která zajistí nepřerušený provoz, dostupnost a integritu jejích služeb v oblasti kryptoaktiv. Architektura sítě a infrastruktury musí být navržena a spravována v souladu s články 8 a 9 nařízení DORA a v souladu s normami ISO/IEC 27001 a NIST.</w:t>
      </w:r>
    </w:p>
    <w:p w:rsidR="000B186D" w:rsidRPr="00397AB4" w:rsidRDefault="000B186D" w:rsidP="000B186D">
      <w:pPr>
        <w:pStyle w:val="Nadpis4"/>
        <w:keepNext w:val="0"/>
        <w:keepLines w:val="0"/>
        <w:spacing w:before="240" w:after="40"/>
        <w:rPr>
          <w:rFonts w:ascii="Athiti" w:eastAsia="Athiti" w:hAnsi="Athiti" w:cs="Athiti"/>
          <w:color w:val="000000"/>
          <w:sz w:val="22"/>
          <w:szCs w:val="22"/>
          <w:lang w:val="cs-CZ"/>
        </w:rPr>
      </w:pPr>
      <w:bookmarkStart w:id="1" w:name="_8pamiwrh52qm" w:colFirst="0" w:colLast="0"/>
      <w:bookmarkEnd w:id="1"/>
      <w:r w:rsidRPr="00397AB4">
        <w:rPr>
          <w:rFonts w:ascii="Athiti" w:eastAsia="Athiti" w:hAnsi="Athiti" w:cs="Athiti"/>
          <w:color w:val="000000"/>
          <w:sz w:val="22"/>
          <w:szCs w:val="22"/>
          <w:lang w:val="cs-CZ"/>
        </w:rPr>
        <w:t>Klíčové součásti tohoto rámce zahrnují:</w:t>
      </w:r>
    </w:p>
    <w:p w:rsidR="000B186D" w:rsidRPr="00397AB4" w:rsidRDefault="000B186D" w:rsidP="000B186D">
      <w:pPr>
        <w:pStyle w:val="normal"/>
        <w:spacing w:before="240" w:after="240"/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lang w:val="cs-CZ"/>
        </w:rPr>
        <w:t>Bezpečnostní architektura:</w:t>
      </w:r>
      <w:r w:rsidRPr="00397AB4">
        <w:rPr>
          <w:rFonts w:ascii="Athiti" w:eastAsia="Athiti" w:hAnsi="Athiti" w:cs="Athiti"/>
          <w:lang w:val="cs-CZ"/>
        </w:rPr>
        <w:br/>
        <w:t xml:space="preserve"> Všechny systémy musí být navrženy na principu vícevrstvé obrany (</w:t>
      </w:r>
      <w:r w:rsidRPr="00397AB4">
        <w:rPr>
          <w:rFonts w:ascii="Athiti" w:eastAsia="Athiti" w:hAnsi="Athiti" w:cs="Athiti"/>
          <w:i/>
          <w:lang w:val="cs-CZ"/>
        </w:rPr>
        <w:t>defence-in-depth</w:t>
      </w:r>
      <w:r w:rsidRPr="00397AB4">
        <w:rPr>
          <w:rFonts w:ascii="Athiti" w:eastAsia="Athiti" w:hAnsi="Athiti" w:cs="Athiti"/>
          <w:lang w:val="cs-CZ"/>
        </w:rPr>
        <w:t>), která zahrnuje několik úrovní bezpečnostních opatření napříč infrastrukturou. Musí být implementováno segmentování sítě za účelem oddělení kritických systémů, vývojových prostředí a externě dostupných služeb, což výrazně omezuje postranní pohyb v případě narušení.</w:t>
      </w:r>
    </w:p>
    <w:p w:rsidR="000B186D" w:rsidRPr="00397AB4" w:rsidRDefault="000B186D" w:rsidP="000B186D">
      <w:pPr>
        <w:pStyle w:val="normal"/>
        <w:spacing w:before="240" w:after="240"/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lang w:val="cs-CZ"/>
        </w:rPr>
        <w:t>Monitoring infrastruktury:</w:t>
      </w:r>
      <w:r w:rsidRPr="00397AB4">
        <w:rPr>
          <w:rFonts w:ascii="Athiti" w:eastAsia="Athiti" w:hAnsi="Athiti" w:cs="Athiti"/>
          <w:lang w:val="cs-CZ"/>
        </w:rPr>
        <w:br/>
        <w:t xml:space="preserve"> Nepřetržité sledování musí probíhat prostřednictvím automatizovaných systémů typu SIEM (Security Information and Event Management), IDPS (Intrusion Detection and Prevention Systems) a nástrojů pro analytiku výkonnosti. Monitoring se vztahuje na síťový provoz, využití zdrojů a bezpečnostní události v prostředí on-premise i v cloudu.</w:t>
      </w:r>
    </w:p>
    <w:p w:rsidR="000B186D" w:rsidRPr="00397AB4" w:rsidRDefault="000B186D" w:rsidP="000B186D">
      <w:pPr>
        <w:pStyle w:val="normal"/>
        <w:spacing w:before="240" w:after="240"/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lang w:val="cs-CZ"/>
        </w:rPr>
        <w:t>Řízení přístupů a ochrana dat:</w:t>
      </w:r>
      <w:r w:rsidRPr="00397AB4">
        <w:rPr>
          <w:rFonts w:ascii="Athiti" w:eastAsia="Athiti" w:hAnsi="Athiti" w:cs="Athiti"/>
          <w:lang w:val="cs-CZ"/>
        </w:rPr>
        <w:br/>
        <w:t xml:space="preserve"> Infrastruktura musí být chráněna před neoprávněným přístupem prostřednictvím:</w:t>
      </w:r>
    </w:p>
    <w:p w:rsidR="000B186D" w:rsidRPr="00397AB4" w:rsidRDefault="000B186D" w:rsidP="000B186D">
      <w:pPr>
        <w:pStyle w:val="normal"/>
        <w:numPr>
          <w:ilvl w:val="0"/>
          <w:numId w:val="25"/>
        </w:numPr>
        <w:spacing w:before="240"/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lang w:val="cs-CZ"/>
        </w:rPr>
        <w:t>Řízení přístupu na základě rolí (</w:t>
      </w:r>
      <w:r w:rsidRPr="00397AB4">
        <w:rPr>
          <w:rFonts w:ascii="Athiti" w:eastAsia="Athiti" w:hAnsi="Athiti" w:cs="Athiti"/>
          <w:i/>
          <w:lang w:val="cs-CZ"/>
        </w:rPr>
        <w:t>Role-Based Access Control – RBAC</w:t>
      </w:r>
      <w:r w:rsidRPr="00397AB4">
        <w:rPr>
          <w:rFonts w:ascii="Athiti" w:eastAsia="Athiti" w:hAnsi="Athiti" w:cs="Athiti"/>
          <w:lang w:val="cs-CZ"/>
        </w:rPr>
        <w:t>) s principem nejmenších oprávnění;</w:t>
      </w:r>
      <w:r w:rsidRPr="00397AB4">
        <w:rPr>
          <w:rFonts w:ascii="Athiti" w:eastAsia="Athiti" w:hAnsi="Athiti" w:cs="Athiti"/>
          <w:lang w:val="cs-CZ"/>
        </w:rPr>
        <w:br/>
      </w:r>
    </w:p>
    <w:p w:rsidR="000B186D" w:rsidRPr="00397AB4" w:rsidRDefault="000B186D" w:rsidP="000B186D">
      <w:pPr>
        <w:pStyle w:val="normal"/>
        <w:numPr>
          <w:ilvl w:val="0"/>
          <w:numId w:val="25"/>
        </w:numPr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lang w:val="cs-CZ"/>
        </w:rPr>
        <w:t>Vícefaktorového ověřování (</w:t>
      </w:r>
      <w:r w:rsidRPr="00397AB4">
        <w:rPr>
          <w:rFonts w:ascii="Athiti" w:eastAsia="Athiti" w:hAnsi="Athiti" w:cs="Athiti"/>
          <w:i/>
          <w:lang w:val="cs-CZ"/>
        </w:rPr>
        <w:t>Multi-Factor Authentication – MFA</w:t>
      </w:r>
      <w:r w:rsidRPr="00397AB4">
        <w:rPr>
          <w:rFonts w:ascii="Athiti" w:eastAsia="Athiti" w:hAnsi="Athiti" w:cs="Athiti"/>
          <w:lang w:val="cs-CZ"/>
        </w:rPr>
        <w:t>) pro administrátorský přístup;</w:t>
      </w:r>
      <w:r w:rsidRPr="00397AB4">
        <w:rPr>
          <w:rFonts w:ascii="Athiti" w:eastAsia="Athiti" w:hAnsi="Athiti" w:cs="Athiti"/>
          <w:lang w:val="cs-CZ"/>
        </w:rPr>
        <w:br/>
      </w:r>
    </w:p>
    <w:p w:rsidR="000B186D" w:rsidRPr="00397AB4" w:rsidRDefault="000B186D" w:rsidP="000B186D">
      <w:pPr>
        <w:pStyle w:val="normal"/>
        <w:numPr>
          <w:ilvl w:val="0"/>
          <w:numId w:val="25"/>
        </w:numPr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lang w:val="cs-CZ"/>
        </w:rPr>
        <w:lastRenderedPageBreak/>
        <w:t>Šifrování veškeré komunikace pomocí TLS 1.2+ a zabezpečených VPN připojení;</w:t>
      </w:r>
      <w:r w:rsidRPr="00397AB4">
        <w:rPr>
          <w:rFonts w:ascii="Athiti" w:eastAsia="Athiti" w:hAnsi="Athiti" w:cs="Athiti"/>
          <w:lang w:val="cs-CZ"/>
        </w:rPr>
        <w:br/>
      </w:r>
    </w:p>
    <w:p w:rsidR="000B186D" w:rsidRPr="00397AB4" w:rsidRDefault="000B186D" w:rsidP="000B186D">
      <w:pPr>
        <w:pStyle w:val="normal"/>
        <w:numPr>
          <w:ilvl w:val="0"/>
          <w:numId w:val="25"/>
        </w:numPr>
        <w:spacing w:after="240"/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lang w:val="cs-CZ"/>
        </w:rPr>
        <w:t>Nasazení firewallů, segmentačních bran a zabezpečených protokolů pro vzdálený přístup.</w:t>
      </w:r>
      <w:r w:rsidRPr="00397AB4">
        <w:rPr>
          <w:rFonts w:ascii="Athiti" w:eastAsia="Athiti" w:hAnsi="Athiti" w:cs="Athiti"/>
          <w:lang w:val="cs-CZ"/>
        </w:rPr>
        <w:br/>
      </w:r>
    </w:p>
    <w:p w:rsidR="000B186D" w:rsidRPr="00397AB4" w:rsidRDefault="000B186D" w:rsidP="000B186D">
      <w:pPr>
        <w:pStyle w:val="normal"/>
        <w:spacing w:before="240" w:after="240"/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lang w:val="cs-CZ"/>
        </w:rPr>
        <w:t>Správa konfigurací a aktualizací:</w:t>
      </w:r>
      <w:r w:rsidRPr="00397AB4">
        <w:rPr>
          <w:rFonts w:ascii="Athiti" w:eastAsia="Athiti" w:hAnsi="Athiti" w:cs="Athiti"/>
          <w:lang w:val="cs-CZ"/>
        </w:rPr>
        <w:br/>
        <w:t xml:space="preserve"> Všechny komponenty infrastruktury musí podléhat:</w:t>
      </w:r>
    </w:p>
    <w:p w:rsidR="000B186D" w:rsidRPr="00397AB4" w:rsidRDefault="000B186D" w:rsidP="000B186D">
      <w:pPr>
        <w:pStyle w:val="normal"/>
        <w:numPr>
          <w:ilvl w:val="0"/>
          <w:numId w:val="23"/>
        </w:numPr>
        <w:spacing w:before="240"/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lang w:val="cs-CZ"/>
        </w:rPr>
        <w:t>Pravidelným hodnocením zranitelností a cyklům jejich nápravy;</w:t>
      </w:r>
      <w:r w:rsidRPr="00397AB4">
        <w:rPr>
          <w:rFonts w:ascii="Athiti" w:eastAsia="Athiti" w:hAnsi="Athiti" w:cs="Athiti"/>
          <w:lang w:val="cs-CZ"/>
        </w:rPr>
        <w:br/>
      </w:r>
    </w:p>
    <w:p w:rsidR="000B186D" w:rsidRPr="00397AB4" w:rsidRDefault="000B186D" w:rsidP="000B186D">
      <w:pPr>
        <w:pStyle w:val="normal"/>
        <w:numPr>
          <w:ilvl w:val="0"/>
          <w:numId w:val="23"/>
        </w:numPr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lang w:val="cs-CZ"/>
        </w:rPr>
        <w:t>Automatizovanému nasazování záplat na vysoce rizikové zranitelnosti v rámci definovaných SLA;</w:t>
      </w:r>
      <w:r w:rsidRPr="00397AB4">
        <w:rPr>
          <w:rFonts w:ascii="Athiti" w:eastAsia="Athiti" w:hAnsi="Athiti" w:cs="Athiti"/>
          <w:lang w:val="cs-CZ"/>
        </w:rPr>
        <w:br/>
      </w:r>
    </w:p>
    <w:p w:rsidR="000B186D" w:rsidRPr="00397AB4" w:rsidRDefault="000B186D" w:rsidP="000B186D">
      <w:pPr>
        <w:pStyle w:val="normal"/>
        <w:numPr>
          <w:ilvl w:val="0"/>
          <w:numId w:val="23"/>
        </w:numPr>
        <w:spacing w:after="240"/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lang w:val="cs-CZ"/>
        </w:rPr>
        <w:t>Pravidelným přezkumům konfigurace podle standardizovaných šablon a CIS benchmarků.</w:t>
      </w:r>
      <w:r w:rsidRPr="00397AB4">
        <w:rPr>
          <w:rFonts w:ascii="Athiti" w:eastAsia="Athiti" w:hAnsi="Athiti" w:cs="Athiti"/>
          <w:lang w:val="cs-CZ"/>
        </w:rPr>
        <w:br/>
      </w:r>
    </w:p>
    <w:p w:rsidR="000B186D" w:rsidRPr="00397AB4" w:rsidRDefault="000B186D" w:rsidP="000B186D">
      <w:pPr>
        <w:pStyle w:val="normal"/>
        <w:spacing w:before="240" w:after="240"/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lang w:val="cs-CZ"/>
        </w:rPr>
        <w:t>Testování bezpečnosti a hardening:</w:t>
      </w:r>
      <w:r w:rsidRPr="00397AB4">
        <w:rPr>
          <w:rFonts w:ascii="Athiti" w:eastAsia="Athiti" w:hAnsi="Athiti" w:cs="Athiti"/>
          <w:lang w:val="cs-CZ"/>
        </w:rPr>
        <w:br/>
        <w:t xml:space="preserve"> Infrastruktura musí podstupovat:</w:t>
      </w:r>
    </w:p>
    <w:p w:rsidR="000B186D" w:rsidRPr="00397AB4" w:rsidRDefault="000B186D" w:rsidP="000B186D">
      <w:pPr>
        <w:pStyle w:val="normal"/>
        <w:numPr>
          <w:ilvl w:val="0"/>
          <w:numId w:val="18"/>
        </w:numPr>
        <w:spacing w:before="240"/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lang w:val="cs-CZ"/>
        </w:rPr>
        <w:t>Externí a interní penetrační testy minimálně jednou ročně;</w:t>
      </w:r>
      <w:r w:rsidRPr="00397AB4">
        <w:rPr>
          <w:rFonts w:ascii="Athiti" w:eastAsia="Athiti" w:hAnsi="Athiti" w:cs="Athiti"/>
          <w:lang w:val="cs-CZ"/>
        </w:rPr>
        <w:br/>
      </w:r>
    </w:p>
    <w:p w:rsidR="000B186D" w:rsidRPr="00397AB4" w:rsidRDefault="000B186D" w:rsidP="000B186D">
      <w:pPr>
        <w:pStyle w:val="normal"/>
        <w:numPr>
          <w:ilvl w:val="0"/>
          <w:numId w:val="18"/>
        </w:numPr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lang w:val="cs-CZ"/>
        </w:rPr>
        <w:t>Pravidelné red-teamingové nebo scénářové simulace útoků;</w:t>
      </w:r>
      <w:r w:rsidRPr="00397AB4">
        <w:rPr>
          <w:rFonts w:ascii="Athiti" w:eastAsia="Athiti" w:hAnsi="Athiti" w:cs="Athiti"/>
          <w:lang w:val="cs-CZ"/>
        </w:rPr>
        <w:br/>
      </w:r>
    </w:p>
    <w:p w:rsidR="000B186D" w:rsidRPr="00397AB4" w:rsidRDefault="000B186D" w:rsidP="000B186D">
      <w:pPr>
        <w:pStyle w:val="normal"/>
        <w:numPr>
          <w:ilvl w:val="0"/>
          <w:numId w:val="18"/>
        </w:numPr>
        <w:spacing w:after="240"/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lang w:val="cs-CZ"/>
        </w:rPr>
        <w:t>Zpevnění systémů (</w:t>
      </w:r>
      <w:r w:rsidRPr="00397AB4">
        <w:rPr>
          <w:rFonts w:ascii="Athiti" w:eastAsia="Athiti" w:hAnsi="Athiti" w:cs="Athiti"/>
          <w:i/>
          <w:lang w:val="cs-CZ"/>
        </w:rPr>
        <w:t>security hardening</w:t>
      </w:r>
      <w:r w:rsidRPr="00397AB4">
        <w:rPr>
          <w:rFonts w:ascii="Athiti" w:eastAsia="Athiti" w:hAnsi="Athiti" w:cs="Athiti"/>
          <w:lang w:val="cs-CZ"/>
        </w:rPr>
        <w:t>) na základě definovaných minimálních standardů a výsledků testování.</w:t>
      </w:r>
      <w:r w:rsidRPr="00397AB4">
        <w:rPr>
          <w:rFonts w:ascii="Athiti" w:eastAsia="Athiti" w:hAnsi="Athiti" w:cs="Athiti"/>
          <w:lang w:val="cs-CZ"/>
        </w:rPr>
        <w:br/>
      </w:r>
    </w:p>
    <w:p w:rsidR="000B186D" w:rsidRPr="00397AB4" w:rsidRDefault="000B186D" w:rsidP="000B186D">
      <w:pPr>
        <w:pStyle w:val="normal"/>
        <w:spacing w:before="240" w:after="240"/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lang w:val="cs-CZ"/>
        </w:rPr>
        <w:t>Řízení cloudové a hybridní infrastruktury:</w:t>
      </w:r>
      <w:r w:rsidRPr="00397AB4">
        <w:rPr>
          <w:rFonts w:ascii="Athiti" w:eastAsia="Athiti" w:hAnsi="Athiti" w:cs="Athiti"/>
          <w:lang w:val="cs-CZ"/>
        </w:rPr>
        <w:br/>
        <w:t xml:space="preserve"> V případech využití cloudových služeb musí společnost fungovat na základě jasného modelu sdílené odpovědnosti, který zajistí:</w:t>
      </w:r>
    </w:p>
    <w:p w:rsidR="000B186D" w:rsidRPr="00397AB4" w:rsidRDefault="000B186D" w:rsidP="000B186D">
      <w:pPr>
        <w:pStyle w:val="normal"/>
        <w:numPr>
          <w:ilvl w:val="0"/>
          <w:numId w:val="12"/>
        </w:numPr>
        <w:spacing w:before="240"/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lang w:val="cs-CZ"/>
        </w:rPr>
        <w:t>Jasné vymezení bezpečnostních a provozních povinností mezi poskytovatelem cloudu a společností, které jsou dokumentovány a pravidelně přezkoumávány;</w:t>
      </w:r>
      <w:r w:rsidRPr="00397AB4">
        <w:rPr>
          <w:rFonts w:ascii="Athiti" w:eastAsia="Athiti" w:hAnsi="Athiti" w:cs="Athiti"/>
          <w:lang w:val="cs-CZ"/>
        </w:rPr>
        <w:br/>
      </w:r>
    </w:p>
    <w:p w:rsidR="000B186D" w:rsidRPr="00397AB4" w:rsidRDefault="000B186D" w:rsidP="000B186D">
      <w:pPr>
        <w:pStyle w:val="normal"/>
        <w:numPr>
          <w:ilvl w:val="0"/>
          <w:numId w:val="12"/>
        </w:numPr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lang w:val="cs-CZ"/>
        </w:rPr>
        <w:t>Aktivaci cloudových bezpečnostních kontrol a jejich integraci s interním systémem monitoringu a alertingu;</w:t>
      </w:r>
      <w:r w:rsidRPr="00397AB4">
        <w:rPr>
          <w:rFonts w:ascii="Athiti" w:eastAsia="Athiti" w:hAnsi="Athiti" w:cs="Athiti"/>
          <w:lang w:val="cs-CZ"/>
        </w:rPr>
        <w:br/>
      </w:r>
    </w:p>
    <w:p w:rsidR="000B186D" w:rsidRPr="00397AB4" w:rsidRDefault="000B186D" w:rsidP="000B186D">
      <w:pPr>
        <w:pStyle w:val="normal"/>
        <w:numPr>
          <w:ilvl w:val="0"/>
          <w:numId w:val="12"/>
        </w:numPr>
        <w:spacing w:after="240"/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lang w:val="cs-CZ"/>
        </w:rPr>
        <w:t>Posouzení a schválení poskytovatelů cloudových služeb prostřednictvím interního postupu pro řízení rizik třetích stran.</w:t>
      </w:r>
      <w:r w:rsidRPr="00397AB4">
        <w:rPr>
          <w:rFonts w:ascii="Athiti" w:eastAsia="Athiti" w:hAnsi="Athiti" w:cs="Athiti"/>
          <w:lang w:val="cs-CZ"/>
        </w:rPr>
        <w:br/>
      </w:r>
    </w:p>
    <w:p w:rsidR="000B186D" w:rsidRPr="00397AB4" w:rsidRDefault="000B186D" w:rsidP="000B186D">
      <w:pPr>
        <w:pStyle w:val="normal"/>
        <w:spacing w:before="240" w:after="240"/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lang w:val="cs-CZ"/>
        </w:rPr>
        <w:t>Všechny změny v síti a infrastruktuře musí podléhat auditovatelnému procesu řízení změn a musí být posouzeny z hlediska rizik před jejich nasazením.</w:t>
      </w:r>
    </w:p>
    <w:p w:rsidR="000B186D" w:rsidRPr="00397AB4" w:rsidRDefault="000B186D" w:rsidP="000B186D">
      <w:pPr>
        <w:pStyle w:val="Nadpis1"/>
        <w:spacing w:before="240" w:after="240"/>
        <w:rPr>
          <w:rFonts w:ascii="Athiti" w:eastAsia="Athiti" w:hAnsi="Athiti" w:cs="Athiti"/>
          <w:lang w:val="cs-CZ"/>
        </w:rPr>
      </w:pPr>
      <w:bookmarkStart w:id="2" w:name="_jz7gh7rawjp4" w:colFirst="0" w:colLast="0"/>
      <w:bookmarkEnd w:id="2"/>
      <w:r w:rsidRPr="00397AB4">
        <w:rPr>
          <w:rFonts w:ascii="Athiti" w:eastAsia="Athiti" w:hAnsi="Athiti" w:cs="Athiti"/>
          <w:lang w:val="cs-CZ"/>
        </w:rPr>
        <w:lastRenderedPageBreak/>
        <w:t>2. Strategie digitální provozní odolnosti</w:t>
      </w:r>
    </w:p>
    <w:p w:rsidR="000B186D" w:rsidRPr="00397AB4" w:rsidRDefault="000B186D" w:rsidP="000B186D">
      <w:pPr>
        <w:pStyle w:val="normal"/>
        <w:spacing w:before="240" w:after="240"/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lang w:val="cs-CZ"/>
        </w:rPr>
        <w:t>Strategie digitální provozní odolnosti společnosti slouží jako hlavní rámec pro zajištění integrity a kontinuity poskytování služeb v oblasti kryptoaktiv za všech provozních podmínek. Tato strategie je formálně schvalována vrcholovým vedením a podléhá dohledu na úrovni představenstva v souladu s článkem 6 nařízení DORA.</w:t>
      </w:r>
    </w:p>
    <w:p w:rsidR="000B186D" w:rsidRPr="00397AB4" w:rsidRDefault="000B186D" w:rsidP="000B186D">
      <w:pPr>
        <w:pStyle w:val="Nadpis4"/>
        <w:keepNext w:val="0"/>
        <w:keepLines w:val="0"/>
        <w:spacing w:before="240" w:after="40"/>
        <w:rPr>
          <w:rFonts w:ascii="Athiti" w:eastAsia="Athiti" w:hAnsi="Athiti" w:cs="Athiti"/>
          <w:b/>
          <w:color w:val="000000"/>
          <w:sz w:val="22"/>
          <w:szCs w:val="22"/>
          <w:lang w:val="cs-CZ"/>
        </w:rPr>
      </w:pPr>
      <w:bookmarkStart w:id="3" w:name="_d1bvvzeda51t" w:colFirst="0" w:colLast="0"/>
      <w:bookmarkEnd w:id="3"/>
      <w:r w:rsidRPr="00397AB4">
        <w:rPr>
          <w:rFonts w:ascii="Athiti" w:eastAsia="Athiti" w:hAnsi="Athiti" w:cs="Athiti"/>
          <w:b/>
          <w:color w:val="000000"/>
          <w:sz w:val="22"/>
          <w:szCs w:val="22"/>
          <w:lang w:val="cs-CZ"/>
        </w:rPr>
        <w:t>Strategie:</w:t>
      </w:r>
    </w:p>
    <w:p w:rsidR="000B186D" w:rsidRPr="00397AB4" w:rsidRDefault="000B186D" w:rsidP="000B186D">
      <w:pPr>
        <w:pStyle w:val="normal"/>
        <w:spacing w:before="240" w:after="240"/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b/>
          <w:lang w:val="cs-CZ"/>
        </w:rPr>
        <w:t>Odpovídá rizikovému apetitu společnosti:</w:t>
      </w:r>
      <w:r w:rsidRPr="00397AB4">
        <w:rPr>
          <w:rFonts w:ascii="Athiti" w:eastAsia="Athiti" w:hAnsi="Athiti" w:cs="Athiti"/>
          <w:b/>
          <w:lang w:val="cs-CZ"/>
        </w:rPr>
        <w:br/>
      </w:r>
      <w:r w:rsidRPr="00397AB4">
        <w:rPr>
          <w:rFonts w:ascii="Athiti" w:eastAsia="Athiti" w:hAnsi="Athiti" w:cs="Athiti"/>
          <w:lang w:val="cs-CZ"/>
        </w:rPr>
        <w:t xml:space="preserve"> Je navržena v souladu s podnikovými limity tolerance rizik schválenými představenstvem a je sladěna s obchodními cíli, očekáváním zákazníků a platnými právními povinnostmi.</w:t>
      </w:r>
    </w:p>
    <w:p w:rsidR="000B186D" w:rsidRPr="00397AB4" w:rsidRDefault="000B186D" w:rsidP="000B186D">
      <w:pPr>
        <w:pStyle w:val="normal"/>
        <w:spacing w:before="240" w:after="240"/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b/>
          <w:lang w:val="cs-CZ"/>
        </w:rPr>
        <w:t>Stanovuje strategické cíle:</w:t>
      </w:r>
      <w:r w:rsidRPr="00397AB4">
        <w:rPr>
          <w:rFonts w:ascii="Athiti" w:eastAsia="Athiti" w:hAnsi="Athiti" w:cs="Athiti"/>
          <w:b/>
          <w:lang w:val="cs-CZ"/>
        </w:rPr>
        <w:br/>
      </w:r>
      <w:r w:rsidRPr="00397AB4">
        <w:rPr>
          <w:rFonts w:ascii="Athiti" w:eastAsia="Athiti" w:hAnsi="Athiti" w:cs="Athiti"/>
          <w:lang w:val="cs-CZ"/>
        </w:rPr>
        <w:t xml:space="preserve"> Definuje jasné cíle týkající se dostupnosti, integrity a bezpečnosti digitálního provozu, včetně minimálních úrovní služeb, limitů závislosti na ICT a cílů v oblasti odolnosti.</w:t>
      </w:r>
    </w:p>
    <w:p w:rsidR="000B186D" w:rsidRPr="00397AB4" w:rsidRDefault="000B186D" w:rsidP="000B186D">
      <w:pPr>
        <w:pStyle w:val="normal"/>
        <w:spacing w:before="240" w:after="240"/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b/>
          <w:lang w:val="cs-CZ"/>
        </w:rPr>
        <w:t>Zavádí klíčové ukazatele výkonnosti a rizik (KPI / KRI):</w:t>
      </w:r>
      <w:r w:rsidRPr="00397AB4">
        <w:rPr>
          <w:rFonts w:ascii="Athiti" w:eastAsia="Athiti" w:hAnsi="Athiti" w:cs="Athiti"/>
          <w:b/>
          <w:lang w:val="cs-CZ"/>
        </w:rPr>
        <w:br/>
      </w:r>
      <w:r w:rsidRPr="00397AB4">
        <w:rPr>
          <w:rFonts w:ascii="Athiti" w:eastAsia="Athiti" w:hAnsi="Athiti" w:cs="Athiti"/>
          <w:lang w:val="cs-CZ"/>
        </w:rPr>
        <w:t xml:space="preserve"> Strategie stanovuje konkrétní měřitelné ukazatele, například:</w:t>
      </w:r>
    </w:p>
    <w:p w:rsidR="000B186D" w:rsidRPr="00397AB4" w:rsidRDefault="000B186D" w:rsidP="000B186D">
      <w:pPr>
        <w:pStyle w:val="normal"/>
        <w:numPr>
          <w:ilvl w:val="0"/>
          <w:numId w:val="10"/>
        </w:numPr>
        <w:spacing w:before="240"/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lang w:val="cs-CZ"/>
        </w:rPr>
        <w:t>cílovou dostupnost služeb a systémů (uptime);</w:t>
      </w:r>
      <w:r w:rsidRPr="00397AB4">
        <w:rPr>
          <w:rFonts w:ascii="Athiti" w:eastAsia="Athiti" w:hAnsi="Athiti" w:cs="Athiti"/>
          <w:lang w:val="cs-CZ"/>
        </w:rPr>
        <w:br/>
      </w:r>
    </w:p>
    <w:p w:rsidR="000B186D" w:rsidRPr="00397AB4" w:rsidRDefault="000B186D" w:rsidP="000B186D">
      <w:pPr>
        <w:pStyle w:val="normal"/>
        <w:numPr>
          <w:ilvl w:val="0"/>
          <w:numId w:val="10"/>
        </w:numPr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lang w:val="cs-CZ"/>
        </w:rPr>
        <w:t xml:space="preserve">cílové časy obnovy systémů (RTO – </w:t>
      </w:r>
      <w:r w:rsidRPr="00397AB4">
        <w:rPr>
          <w:rFonts w:ascii="Athiti" w:eastAsia="Athiti" w:hAnsi="Athiti" w:cs="Athiti"/>
          <w:i/>
          <w:lang w:val="cs-CZ"/>
        </w:rPr>
        <w:t>Recovery Time Objective</w:t>
      </w:r>
      <w:r w:rsidRPr="00397AB4">
        <w:rPr>
          <w:rFonts w:ascii="Athiti" w:eastAsia="Athiti" w:hAnsi="Athiti" w:cs="Athiti"/>
          <w:lang w:val="cs-CZ"/>
        </w:rPr>
        <w:t xml:space="preserve">) a obnovitelnosti dat (RPO – </w:t>
      </w:r>
      <w:r w:rsidRPr="00397AB4">
        <w:rPr>
          <w:rFonts w:ascii="Athiti" w:eastAsia="Athiti" w:hAnsi="Athiti" w:cs="Athiti"/>
          <w:i/>
          <w:lang w:val="cs-CZ"/>
        </w:rPr>
        <w:t>Recovery Point Objective</w:t>
      </w:r>
      <w:r w:rsidRPr="00397AB4">
        <w:rPr>
          <w:rFonts w:ascii="Athiti" w:eastAsia="Athiti" w:hAnsi="Athiti" w:cs="Athiti"/>
          <w:lang w:val="cs-CZ"/>
        </w:rPr>
        <w:t>);</w:t>
      </w:r>
      <w:r w:rsidRPr="00397AB4">
        <w:rPr>
          <w:rFonts w:ascii="Athiti" w:eastAsia="Athiti" w:hAnsi="Athiti" w:cs="Athiti"/>
          <w:lang w:val="cs-CZ"/>
        </w:rPr>
        <w:br/>
      </w:r>
    </w:p>
    <w:p w:rsidR="000B186D" w:rsidRPr="00397AB4" w:rsidRDefault="000B186D" w:rsidP="000B186D">
      <w:pPr>
        <w:pStyle w:val="normal"/>
        <w:numPr>
          <w:ilvl w:val="0"/>
          <w:numId w:val="10"/>
        </w:numPr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lang w:val="cs-CZ"/>
        </w:rPr>
        <w:t>počet a dopad závažných incidentů souvisejících s ICT;</w:t>
      </w:r>
      <w:r w:rsidRPr="00397AB4">
        <w:rPr>
          <w:rFonts w:ascii="Athiti" w:eastAsia="Athiti" w:hAnsi="Athiti" w:cs="Athiti"/>
          <w:lang w:val="cs-CZ"/>
        </w:rPr>
        <w:br/>
      </w:r>
    </w:p>
    <w:p w:rsidR="000B186D" w:rsidRPr="00397AB4" w:rsidRDefault="000B186D" w:rsidP="000B186D">
      <w:pPr>
        <w:pStyle w:val="normal"/>
        <w:numPr>
          <w:ilvl w:val="0"/>
          <w:numId w:val="10"/>
        </w:numPr>
        <w:spacing w:after="240"/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lang w:val="cs-CZ"/>
        </w:rPr>
        <w:t>časy detekce a řešení bezpečnostních incidentů.</w:t>
      </w:r>
      <w:r w:rsidRPr="00397AB4">
        <w:rPr>
          <w:rFonts w:ascii="Athiti" w:eastAsia="Athiti" w:hAnsi="Athiti" w:cs="Athiti"/>
          <w:lang w:val="cs-CZ"/>
        </w:rPr>
        <w:br/>
      </w:r>
    </w:p>
    <w:p w:rsidR="000B186D" w:rsidRPr="00397AB4" w:rsidRDefault="000B186D" w:rsidP="000B186D">
      <w:pPr>
        <w:pStyle w:val="normal"/>
        <w:spacing w:before="240" w:after="240"/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b/>
          <w:lang w:val="cs-CZ"/>
        </w:rPr>
        <w:t>Je integrována do rámce správy a řízení (governance):</w:t>
      </w:r>
      <w:r w:rsidRPr="00397AB4">
        <w:rPr>
          <w:rFonts w:ascii="Athiti" w:eastAsia="Athiti" w:hAnsi="Athiti" w:cs="Athiti"/>
          <w:b/>
          <w:lang w:val="cs-CZ"/>
        </w:rPr>
        <w:br/>
      </w:r>
      <w:r w:rsidRPr="00397AB4">
        <w:rPr>
          <w:rFonts w:ascii="Athiti" w:eastAsia="Athiti" w:hAnsi="Athiti" w:cs="Athiti"/>
          <w:lang w:val="cs-CZ"/>
        </w:rPr>
        <w:t xml:space="preserve"> Strategie je propojena s rámcem řízení ICT rizik, registrem outsourcingu a řízením kontinuity podnikání, čímž je zajištěn jednotný přístup k provozní odolnosti.</w:t>
      </w:r>
    </w:p>
    <w:p w:rsidR="000B186D" w:rsidRPr="00397AB4" w:rsidRDefault="000B186D" w:rsidP="000B186D">
      <w:pPr>
        <w:pStyle w:val="normal"/>
        <w:spacing w:before="240" w:after="240"/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b/>
          <w:lang w:val="cs-CZ"/>
        </w:rPr>
        <w:t>Vyžaduje pravidelný přezkum a aktualizaci:</w:t>
      </w:r>
      <w:r w:rsidRPr="00397AB4">
        <w:rPr>
          <w:rFonts w:ascii="Athiti" w:eastAsia="Athiti" w:hAnsi="Athiti" w:cs="Athiti"/>
          <w:b/>
          <w:lang w:val="cs-CZ"/>
        </w:rPr>
        <w:br/>
      </w:r>
      <w:r w:rsidRPr="00397AB4">
        <w:rPr>
          <w:rFonts w:ascii="Athiti" w:eastAsia="Athiti" w:hAnsi="Athiti" w:cs="Athiti"/>
          <w:lang w:val="cs-CZ"/>
        </w:rPr>
        <w:t xml:space="preserve"> Strategie je přezkoumávána a aktualizována minimálně jednou ročně, případně častěji v reakci na:</w:t>
      </w:r>
    </w:p>
    <w:p w:rsidR="000B186D" w:rsidRPr="00397AB4" w:rsidRDefault="000B186D" w:rsidP="000B186D">
      <w:pPr>
        <w:pStyle w:val="normal"/>
        <w:numPr>
          <w:ilvl w:val="0"/>
          <w:numId w:val="9"/>
        </w:numPr>
        <w:spacing w:before="240"/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lang w:val="cs-CZ"/>
        </w:rPr>
        <w:t>významné provozní nebo technologické změny;</w:t>
      </w:r>
      <w:r w:rsidRPr="00397AB4">
        <w:rPr>
          <w:rFonts w:ascii="Athiti" w:eastAsia="Athiti" w:hAnsi="Athiti" w:cs="Athiti"/>
          <w:lang w:val="cs-CZ"/>
        </w:rPr>
        <w:br/>
      </w:r>
    </w:p>
    <w:p w:rsidR="000B186D" w:rsidRPr="00397AB4" w:rsidRDefault="000B186D" w:rsidP="000B186D">
      <w:pPr>
        <w:pStyle w:val="normal"/>
        <w:numPr>
          <w:ilvl w:val="0"/>
          <w:numId w:val="9"/>
        </w:numPr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lang w:val="cs-CZ"/>
        </w:rPr>
        <w:t>zavedení nových služeb nebo infrastruktury;</w:t>
      </w:r>
      <w:r w:rsidRPr="00397AB4">
        <w:rPr>
          <w:rFonts w:ascii="Athiti" w:eastAsia="Athiti" w:hAnsi="Athiti" w:cs="Athiti"/>
          <w:lang w:val="cs-CZ"/>
        </w:rPr>
        <w:br/>
      </w:r>
    </w:p>
    <w:p w:rsidR="000B186D" w:rsidRPr="00397AB4" w:rsidRDefault="000B186D" w:rsidP="000B186D">
      <w:pPr>
        <w:pStyle w:val="normal"/>
        <w:numPr>
          <w:ilvl w:val="0"/>
          <w:numId w:val="9"/>
        </w:numPr>
        <w:spacing w:after="240"/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lang w:val="cs-CZ"/>
        </w:rPr>
        <w:t>poučení z ICT incidentů nebo zpětné vazby od regulátorů.</w:t>
      </w:r>
      <w:r w:rsidRPr="00397AB4">
        <w:rPr>
          <w:rFonts w:ascii="Athiti" w:eastAsia="Athiti" w:hAnsi="Athiti" w:cs="Athiti"/>
          <w:lang w:val="cs-CZ"/>
        </w:rPr>
        <w:br/>
      </w:r>
    </w:p>
    <w:p w:rsidR="000B186D" w:rsidRPr="00397AB4" w:rsidRDefault="000B186D" w:rsidP="000B186D">
      <w:pPr>
        <w:pStyle w:val="normal"/>
        <w:spacing w:before="240" w:after="240"/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lang w:val="cs-CZ"/>
        </w:rPr>
        <w:lastRenderedPageBreak/>
        <w:t>Tato strategie je sdělena všem relevantním zainteresovaným stranám a je součástí školení a programů zvyšování povědomí za účelem podpory celopodnikové kultury provozní odolnosti.</w:t>
      </w:r>
    </w:p>
    <w:p w:rsidR="000B186D" w:rsidRPr="00397AB4" w:rsidRDefault="000B186D" w:rsidP="000B186D">
      <w:pPr>
        <w:pStyle w:val="Nadpis1"/>
        <w:spacing w:before="240" w:after="240"/>
        <w:rPr>
          <w:rFonts w:ascii="Athiti" w:eastAsia="Athiti" w:hAnsi="Athiti" w:cs="Athiti"/>
          <w:lang w:val="cs-CZ"/>
        </w:rPr>
      </w:pPr>
      <w:bookmarkStart w:id="4" w:name="_4awvz9l3h96s" w:colFirst="0" w:colLast="0"/>
      <w:bookmarkEnd w:id="4"/>
      <w:r w:rsidRPr="00397AB4">
        <w:rPr>
          <w:rFonts w:ascii="Athiti" w:eastAsia="Athiti" w:hAnsi="Athiti" w:cs="Athiti"/>
          <w:lang w:val="cs-CZ"/>
        </w:rPr>
        <w:t>3. Rámec řízení ICT rizik</w:t>
      </w:r>
    </w:p>
    <w:p w:rsidR="000B186D" w:rsidRPr="00397AB4" w:rsidRDefault="000B186D" w:rsidP="000B186D">
      <w:pPr>
        <w:pStyle w:val="normal"/>
        <w:spacing w:before="240" w:after="240"/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lang w:val="cs-CZ"/>
        </w:rPr>
        <w:t>Společnost zavádí robustní a dynamický rámec řízení ICT rizik v plném souladu s články 5 až 9 nařízení DORA. Tento rámec zajišťuje identifikaci, posouzení, zmírnění a průběžné sledování všech ICT rizik v celém životním cyklu služeb v oblasti kryptoaktiv.</w:t>
      </w:r>
    </w:p>
    <w:p w:rsidR="000B186D" w:rsidRPr="00397AB4" w:rsidRDefault="000B186D" w:rsidP="000B186D">
      <w:pPr>
        <w:pStyle w:val="Nadpis4"/>
        <w:keepNext w:val="0"/>
        <w:keepLines w:val="0"/>
        <w:spacing w:before="240" w:after="40"/>
        <w:rPr>
          <w:rFonts w:ascii="Athiti" w:eastAsia="Athiti" w:hAnsi="Athiti" w:cs="Athiti"/>
          <w:b/>
          <w:color w:val="000000"/>
          <w:sz w:val="22"/>
          <w:szCs w:val="22"/>
          <w:lang w:val="cs-CZ"/>
        </w:rPr>
      </w:pPr>
      <w:bookmarkStart w:id="5" w:name="_u8pqjuiwgpuo" w:colFirst="0" w:colLast="0"/>
      <w:bookmarkEnd w:id="5"/>
      <w:r w:rsidRPr="00397AB4">
        <w:rPr>
          <w:rFonts w:ascii="Athiti" w:eastAsia="Athiti" w:hAnsi="Athiti" w:cs="Athiti"/>
          <w:b/>
          <w:color w:val="000000"/>
          <w:sz w:val="22"/>
          <w:szCs w:val="22"/>
          <w:lang w:val="cs-CZ"/>
        </w:rPr>
        <w:t>Klíčové prvky rámce:</w:t>
      </w:r>
    </w:p>
    <w:p w:rsidR="000B186D" w:rsidRPr="00397AB4" w:rsidRDefault="000B186D" w:rsidP="000B186D">
      <w:pPr>
        <w:pStyle w:val="normal"/>
        <w:spacing w:before="240" w:after="240"/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b/>
          <w:lang w:val="cs-CZ"/>
        </w:rPr>
        <w:t>Komplexní identifikace rizik:</w:t>
      </w:r>
      <w:r w:rsidRPr="00397AB4">
        <w:rPr>
          <w:rFonts w:ascii="Athiti" w:eastAsia="Athiti" w:hAnsi="Athiti" w:cs="Athiti"/>
          <w:b/>
          <w:lang w:val="cs-CZ"/>
        </w:rPr>
        <w:br/>
      </w:r>
      <w:r w:rsidRPr="00397AB4">
        <w:rPr>
          <w:rFonts w:ascii="Athiti" w:eastAsia="Athiti" w:hAnsi="Athiti" w:cs="Athiti"/>
          <w:lang w:val="cs-CZ"/>
        </w:rPr>
        <w:t xml:space="preserve"> ICT rizika jsou identifikována napříč všemi obchodními liniemi, procesy a podpůrnými technologiemi, včetně on-premise infrastruktury, cloudových platforem, API, mobilních aplikací a poskytovatelů služeb třetích stran. Identifikace zahrnuje také nově vznikající hrozby, jako jsou </w:t>
      </w:r>
      <w:r w:rsidRPr="00397AB4">
        <w:rPr>
          <w:rFonts w:ascii="Athiti" w:eastAsia="Athiti" w:hAnsi="Athiti" w:cs="Athiti"/>
          <w:b/>
          <w:lang w:val="cs-CZ"/>
        </w:rPr>
        <w:t>zero-day</w:t>
      </w:r>
      <w:r w:rsidR="00397AB4">
        <w:rPr>
          <w:rFonts w:ascii="Athiti" w:eastAsia="Athiti" w:hAnsi="Athiti" w:cs="Athiti"/>
          <w:b/>
          <w:lang w:val="cs-CZ"/>
        </w:rPr>
        <w:t xml:space="preserve"> </w:t>
      </w:r>
      <w:r w:rsidRPr="00397AB4">
        <w:rPr>
          <w:rFonts w:ascii="Athiti" w:eastAsia="Athiti" w:hAnsi="Athiti" w:cs="Athiti"/>
          <w:b/>
          <w:lang w:val="cs-CZ"/>
        </w:rPr>
        <w:t xml:space="preserve"> zranitelnosti</w:t>
      </w:r>
      <w:r w:rsidRPr="00397AB4">
        <w:rPr>
          <w:rFonts w:ascii="Athiti" w:eastAsia="Athiti" w:hAnsi="Athiti" w:cs="Athiti"/>
          <w:lang w:val="cs-CZ"/>
        </w:rPr>
        <w:t xml:space="preserve">, </w:t>
      </w:r>
      <w:r w:rsidRPr="00397AB4">
        <w:rPr>
          <w:rFonts w:ascii="Athiti" w:eastAsia="Athiti" w:hAnsi="Athiti" w:cs="Athiti"/>
          <w:b/>
          <w:lang w:val="cs-CZ"/>
        </w:rPr>
        <w:t>geopolitická rizika</w:t>
      </w:r>
      <w:r w:rsidRPr="00397AB4">
        <w:rPr>
          <w:rFonts w:ascii="Athiti" w:eastAsia="Athiti" w:hAnsi="Athiti" w:cs="Athiti"/>
          <w:lang w:val="cs-CZ"/>
        </w:rPr>
        <w:t xml:space="preserve"> a </w:t>
      </w:r>
      <w:r w:rsidRPr="00397AB4">
        <w:rPr>
          <w:rFonts w:ascii="Athiti" w:eastAsia="Athiti" w:hAnsi="Athiti" w:cs="Athiti"/>
          <w:b/>
          <w:lang w:val="cs-CZ"/>
        </w:rPr>
        <w:t>pokročilé perzistentní hrozby (APT)</w:t>
      </w:r>
      <w:r w:rsidRPr="00397AB4">
        <w:rPr>
          <w:rFonts w:ascii="Athiti" w:eastAsia="Athiti" w:hAnsi="Athiti" w:cs="Athiti"/>
          <w:lang w:val="cs-CZ"/>
        </w:rPr>
        <w:t>.</w:t>
      </w:r>
    </w:p>
    <w:p w:rsidR="000B186D" w:rsidRPr="00397AB4" w:rsidRDefault="000B186D" w:rsidP="000B186D">
      <w:pPr>
        <w:pStyle w:val="normal"/>
        <w:spacing w:before="240" w:after="240"/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b/>
          <w:lang w:val="cs-CZ"/>
        </w:rPr>
        <w:t>Klasifikace a prioritizace rizik:</w:t>
      </w:r>
      <w:r w:rsidRPr="00397AB4">
        <w:rPr>
          <w:rFonts w:ascii="Athiti" w:eastAsia="Athiti" w:hAnsi="Athiti" w:cs="Athiti"/>
          <w:b/>
          <w:lang w:val="cs-CZ"/>
        </w:rPr>
        <w:br/>
      </w:r>
      <w:r w:rsidRPr="00397AB4">
        <w:rPr>
          <w:rFonts w:ascii="Athiti" w:eastAsia="Athiti" w:hAnsi="Athiti" w:cs="Athiti"/>
          <w:lang w:val="cs-CZ"/>
        </w:rPr>
        <w:t xml:space="preserve"> Identifikovaná rizika jsou hodnocena a klasifikována na základě jejich pravděpodobnosti a potenciálního dopadu. Klasifikace probíhá pomocí standardizované </w:t>
      </w:r>
      <w:r w:rsidRPr="00397AB4">
        <w:rPr>
          <w:rFonts w:ascii="Athiti" w:eastAsia="Athiti" w:hAnsi="Athiti" w:cs="Athiti"/>
          <w:b/>
          <w:lang w:val="cs-CZ"/>
        </w:rPr>
        <w:t>rizikové matice</w:t>
      </w:r>
      <w:r w:rsidRPr="00397AB4">
        <w:rPr>
          <w:rFonts w:ascii="Athiti" w:eastAsia="Athiti" w:hAnsi="Athiti" w:cs="Athiti"/>
          <w:lang w:val="cs-CZ"/>
        </w:rPr>
        <w:t xml:space="preserve"> a zohledňuje mimo jiné:</w:t>
      </w:r>
    </w:p>
    <w:p w:rsidR="000B186D" w:rsidRPr="00397AB4" w:rsidRDefault="000B186D" w:rsidP="000B186D">
      <w:pPr>
        <w:pStyle w:val="normal"/>
        <w:numPr>
          <w:ilvl w:val="0"/>
          <w:numId w:val="21"/>
        </w:numPr>
        <w:spacing w:before="240"/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lang w:val="cs-CZ"/>
        </w:rPr>
        <w:t>kritičnost služby,</w:t>
      </w:r>
      <w:r w:rsidRPr="00397AB4">
        <w:rPr>
          <w:rFonts w:ascii="Athiti" w:eastAsia="Athiti" w:hAnsi="Athiti" w:cs="Athiti"/>
          <w:lang w:val="cs-CZ"/>
        </w:rPr>
        <w:br/>
      </w:r>
    </w:p>
    <w:p w:rsidR="000B186D" w:rsidRPr="00397AB4" w:rsidRDefault="000B186D" w:rsidP="000B186D">
      <w:pPr>
        <w:pStyle w:val="normal"/>
        <w:numPr>
          <w:ilvl w:val="0"/>
          <w:numId w:val="21"/>
        </w:numPr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lang w:val="cs-CZ"/>
        </w:rPr>
        <w:t>možnost porušení regulatorních požadavků,</w:t>
      </w:r>
      <w:r w:rsidRPr="00397AB4">
        <w:rPr>
          <w:rFonts w:ascii="Athiti" w:eastAsia="Athiti" w:hAnsi="Athiti" w:cs="Athiti"/>
          <w:lang w:val="cs-CZ"/>
        </w:rPr>
        <w:br/>
      </w:r>
    </w:p>
    <w:p w:rsidR="000B186D" w:rsidRPr="00397AB4" w:rsidRDefault="000B186D" w:rsidP="000B186D">
      <w:pPr>
        <w:pStyle w:val="normal"/>
        <w:numPr>
          <w:ilvl w:val="0"/>
          <w:numId w:val="21"/>
        </w:numPr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lang w:val="cs-CZ"/>
        </w:rPr>
        <w:t>dopad na reputaci,</w:t>
      </w:r>
      <w:r w:rsidRPr="00397AB4">
        <w:rPr>
          <w:rFonts w:ascii="Athiti" w:eastAsia="Athiti" w:hAnsi="Athiti" w:cs="Athiti"/>
          <w:lang w:val="cs-CZ"/>
        </w:rPr>
        <w:br/>
      </w:r>
    </w:p>
    <w:p w:rsidR="000B186D" w:rsidRPr="00397AB4" w:rsidRDefault="000B186D" w:rsidP="000B186D">
      <w:pPr>
        <w:pStyle w:val="normal"/>
        <w:numPr>
          <w:ilvl w:val="0"/>
          <w:numId w:val="21"/>
        </w:numPr>
        <w:spacing w:after="240"/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lang w:val="cs-CZ"/>
        </w:rPr>
        <w:t>vliv na zákazníky.</w:t>
      </w:r>
      <w:r w:rsidRPr="00397AB4">
        <w:rPr>
          <w:rFonts w:ascii="Athiti" w:eastAsia="Athiti" w:hAnsi="Athiti" w:cs="Athiti"/>
          <w:lang w:val="cs-CZ"/>
        </w:rPr>
        <w:br/>
      </w:r>
    </w:p>
    <w:p w:rsidR="000B186D" w:rsidRPr="00397AB4" w:rsidRDefault="000B186D" w:rsidP="000B186D">
      <w:pPr>
        <w:pStyle w:val="normal"/>
        <w:spacing w:before="240" w:after="240"/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b/>
          <w:lang w:val="cs-CZ"/>
        </w:rPr>
        <w:t>Strategie řešení rizik:</w:t>
      </w:r>
      <w:r w:rsidRPr="00397AB4">
        <w:rPr>
          <w:rFonts w:ascii="Athiti" w:eastAsia="Athiti" w:hAnsi="Athiti" w:cs="Athiti"/>
          <w:b/>
          <w:lang w:val="cs-CZ"/>
        </w:rPr>
        <w:br/>
      </w:r>
      <w:r w:rsidRPr="00397AB4">
        <w:rPr>
          <w:rFonts w:ascii="Athiti" w:eastAsia="Athiti" w:hAnsi="Athiti" w:cs="Athiti"/>
          <w:lang w:val="cs-CZ"/>
        </w:rPr>
        <w:t xml:space="preserve"> Pro každé identifikované riziko je zvolen vhodný způsob ošetření:</w:t>
      </w:r>
    </w:p>
    <w:p w:rsidR="000B186D" w:rsidRPr="00397AB4" w:rsidRDefault="000B186D" w:rsidP="000B186D">
      <w:pPr>
        <w:pStyle w:val="normal"/>
        <w:numPr>
          <w:ilvl w:val="0"/>
          <w:numId w:val="13"/>
        </w:numPr>
        <w:spacing w:before="240"/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b/>
          <w:lang w:val="cs-CZ"/>
        </w:rPr>
        <w:t>Vyloučení (Avoidance):</w:t>
      </w:r>
      <w:r w:rsidRPr="00397AB4">
        <w:rPr>
          <w:rFonts w:ascii="Athiti" w:eastAsia="Athiti" w:hAnsi="Athiti" w:cs="Athiti"/>
          <w:lang w:val="cs-CZ"/>
        </w:rPr>
        <w:t xml:space="preserve"> Eliminace expozice ukončením nebo změnou činnosti;</w:t>
      </w:r>
      <w:r w:rsidRPr="00397AB4">
        <w:rPr>
          <w:rFonts w:ascii="Athiti" w:eastAsia="Athiti" w:hAnsi="Athiti" w:cs="Athiti"/>
          <w:lang w:val="cs-CZ"/>
        </w:rPr>
        <w:br/>
      </w:r>
    </w:p>
    <w:p w:rsidR="000B186D" w:rsidRPr="00397AB4" w:rsidRDefault="000B186D" w:rsidP="000B186D">
      <w:pPr>
        <w:pStyle w:val="normal"/>
        <w:numPr>
          <w:ilvl w:val="0"/>
          <w:numId w:val="13"/>
        </w:numPr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b/>
          <w:lang w:val="cs-CZ"/>
        </w:rPr>
        <w:t>Zmírnění (Mitigation):</w:t>
      </w:r>
      <w:r w:rsidRPr="00397AB4">
        <w:rPr>
          <w:rFonts w:ascii="Athiti" w:eastAsia="Athiti" w:hAnsi="Athiti" w:cs="Athiti"/>
          <w:lang w:val="cs-CZ"/>
        </w:rPr>
        <w:t xml:space="preserve"> Snížení rizika pomocí technických, procesních nebo organizačních opatření;</w:t>
      </w:r>
      <w:r w:rsidRPr="00397AB4">
        <w:rPr>
          <w:rFonts w:ascii="Athiti" w:eastAsia="Athiti" w:hAnsi="Athiti" w:cs="Athiti"/>
          <w:lang w:val="cs-CZ"/>
        </w:rPr>
        <w:br/>
      </w:r>
    </w:p>
    <w:p w:rsidR="000B186D" w:rsidRPr="00397AB4" w:rsidRDefault="000B186D" w:rsidP="000B186D">
      <w:pPr>
        <w:pStyle w:val="normal"/>
        <w:numPr>
          <w:ilvl w:val="0"/>
          <w:numId w:val="13"/>
        </w:numPr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b/>
          <w:lang w:val="cs-CZ"/>
        </w:rPr>
        <w:t>Přenos (Transfer):</w:t>
      </w:r>
      <w:r w:rsidRPr="00397AB4">
        <w:rPr>
          <w:rFonts w:ascii="Athiti" w:eastAsia="Athiti" w:hAnsi="Athiti" w:cs="Athiti"/>
          <w:lang w:val="cs-CZ"/>
        </w:rPr>
        <w:t xml:space="preserve"> Přenesení rizika formou pojištění nebo outsourcingu na kvalifikovaného poskytovatele;</w:t>
      </w:r>
      <w:r w:rsidRPr="00397AB4">
        <w:rPr>
          <w:rFonts w:ascii="Athiti" w:eastAsia="Athiti" w:hAnsi="Athiti" w:cs="Athiti"/>
          <w:lang w:val="cs-CZ"/>
        </w:rPr>
        <w:br/>
      </w:r>
    </w:p>
    <w:p w:rsidR="000B186D" w:rsidRPr="00397AB4" w:rsidRDefault="000B186D" w:rsidP="000B186D">
      <w:pPr>
        <w:pStyle w:val="normal"/>
        <w:numPr>
          <w:ilvl w:val="0"/>
          <w:numId w:val="13"/>
        </w:numPr>
        <w:spacing w:after="240"/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b/>
          <w:lang w:val="cs-CZ"/>
        </w:rPr>
        <w:t>Akceptace (Acceptance):</w:t>
      </w:r>
      <w:r w:rsidRPr="00397AB4">
        <w:rPr>
          <w:rFonts w:ascii="Athiti" w:eastAsia="Athiti" w:hAnsi="Athiti" w:cs="Athiti"/>
          <w:lang w:val="cs-CZ"/>
        </w:rPr>
        <w:t xml:space="preserve"> Akceptace nízké zbytkové úrovně rizika na základě analýzy nákladů a přínosů.</w:t>
      </w:r>
      <w:r w:rsidRPr="00397AB4">
        <w:rPr>
          <w:rFonts w:ascii="Athiti" w:eastAsia="Athiti" w:hAnsi="Athiti" w:cs="Athiti"/>
          <w:lang w:val="cs-CZ"/>
        </w:rPr>
        <w:br/>
      </w:r>
    </w:p>
    <w:p w:rsidR="000B186D" w:rsidRPr="00397AB4" w:rsidRDefault="000B186D" w:rsidP="000B186D">
      <w:pPr>
        <w:pStyle w:val="normal"/>
        <w:spacing w:before="240" w:after="240"/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b/>
          <w:lang w:val="cs-CZ"/>
        </w:rPr>
        <w:lastRenderedPageBreak/>
        <w:t>Přiřazení odpovědnosti a dokumentace:</w:t>
      </w:r>
      <w:r w:rsidRPr="00397AB4">
        <w:rPr>
          <w:rFonts w:ascii="Athiti" w:eastAsia="Athiti" w:hAnsi="Athiti" w:cs="Athiti"/>
          <w:b/>
          <w:lang w:val="cs-CZ"/>
        </w:rPr>
        <w:br/>
      </w:r>
      <w:r w:rsidRPr="00397AB4">
        <w:rPr>
          <w:rFonts w:ascii="Athiti" w:eastAsia="Athiti" w:hAnsi="Athiti" w:cs="Athiti"/>
          <w:lang w:val="cs-CZ"/>
        </w:rPr>
        <w:t xml:space="preserve"> Každému ICT riziku je přiřazen odpovědný vlastník, který zodpovídá za zavedení a sledování nápravných opatření. Všechna rizika jsou evidována v </w:t>
      </w:r>
      <w:r w:rsidRPr="00397AB4">
        <w:rPr>
          <w:rFonts w:ascii="Athiti" w:eastAsia="Athiti" w:hAnsi="Athiti" w:cs="Athiti"/>
          <w:b/>
          <w:lang w:val="cs-CZ"/>
        </w:rPr>
        <w:t>centrálním ICT registru rizik</w:t>
      </w:r>
      <w:r w:rsidRPr="00397AB4">
        <w:rPr>
          <w:rFonts w:ascii="Athiti" w:eastAsia="Athiti" w:hAnsi="Athiti" w:cs="Athiti"/>
          <w:lang w:val="cs-CZ"/>
        </w:rPr>
        <w:t>, který obsahuje:</w:t>
      </w:r>
    </w:p>
    <w:p w:rsidR="000B186D" w:rsidRPr="00397AB4" w:rsidRDefault="000B186D" w:rsidP="000B186D">
      <w:pPr>
        <w:pStyle w:val="normal"/>
        <w:numPr>
          <w:ilvl w:val="0"/>
          <w:numId w:val="20"/>
        </w:numPr>
        <w:spacing w:before="240"/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lang w:val="cs-CZ"/>
        </w:rPr>
        <w:t>popis rizika a jeho příčiny;</w:t>
      </w:r>
      <w:r w:rsidRPr="00397AB4">
        <w:rPr>
          <w:rFonts w:ascii="Athiti" w:eastAsia="Athiti" w:hAnsi="Athiti" w:cs="Athiti"/>
          <w:lang w:val="cs-CZ"/>
        </w:rPr>
        <w:br/>
      </w:r>
    </w:p>
    <w:p w:rsidR="000B186D" w:rsidRPr="00397AB4" w:rsidRDefault="000B186D" w:rsidP="000B186D">
      <w:pPr>
        <w:pStyle w:val="normal"/>
        <w:numPr>
          <w:ilvl w:val="0"/>
          <w:numId w:val="20"/>
        </w:numPr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lang w:val="cs-CZ"/>
        </w:rPr>
        <w:t>hodnocení rizika (vrozené a zbytkové);</w:t>
      </w:r>
      <w:r w:rsidRPr="00397AB4">
        <w:rPr>
          <w:rFonts w:ascii="Athiti" w:eastAsia="Athiti" w:hAnsi="Athiti" w:cs="Athiti"/>
          <w:lang w:val="cs-CZ"/>
        </w:rPr>
        <w:br/>
      </w:r>
    </w:p>
    <w:p w:rsidR="000B186D" w:rsidRPr="00397AB4" w:rsidRDefault="000B186D" w:rsidP="000B186D">
      <w:pPr>
        <w:pStyle w:val="normal"/>
        <w:numPr>
          <w:ilvl w:val="0"/>
          <w:numId w:val="20"/>
        </w:numPr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lang w:val="cs-CZ"/>
        </w:rPr>
        <w:t>kontrolní opatření a plánované zásahy;</w:t>
      </w:r>
      <w:r w:rsidRPr="00397AB4">
        <w:rPr>
          <w:rFonts w:ascii="Athiti" w:eastAsia="Athiti" w:hAnsi="Athiti" w:cs="Athiti"/>
          <w:lang w:val="cs-CZ"/>
        </w:rPr>
        <w:br/>
      </w:r>
    </w:p>
    <w:p w:rsidR="000B186D" w:rsidRPr="00397AB4" w:rsidRDefault="000B186D" w:rsidP="000B186D">
      <w:pPr>
        <w:pStyle w:val="normal"/>
        <w:numPr>
          <w:ilvl w:val="0"/>
          <w:numId w:val="20"/>
        </w:numPr>
        <w:spacing w:after="240"/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lang w:val="cs-CZ"/>
        </w:rPr>
        <w:t>frekvenci přezkumu a stav nápravy.</w:t>
      </w:r>
      <w:r w:rsidRPr="00397AB4">
        <w:rPr>
          <w:rFonts w:ascii="Athiti" w:eastAsia="Athiti" w:hAnsi="Athiti" w:cs="Athiti"/>
          <w:lang w:val="cs-CZ"/>
        </w:rPr>
        <w:br/>
      </w:r>
    </w:p>
    <w:p w:rsidR="000B186D" w:rsidRPr="00397AB4" w:rsidRDefault="000B186D" w:rsidP="000B186D">
      <w:pPr>
        <w:pStyle w:val="normal"/>
        <w:spacing w:before="240" w:after="240"/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b/>
          <w:lang w:val="cs-CZ"/>
        </w:rPr>
        <w:t>Integrace rizik třetích stran:</w:t>
      </w:r>
      <w:r w:rsidRPr="00397AB4">
        <w:rPr>
          <w:rFonts w:ascii="Athiti" w:eastAsia="Athiti" w:hAnsi="Athiti" w:cs="Athiti"/>
          <w:b/>
          <w:lang w:val="cs-CZ"/>
        </w:rPr>
        <w:br/>
      </w:r>
      <w:r w:rsidRPr="00397AB4">
        <w:rPr>
          <w:rFonts w:ascii="Athiti" w:eastAsia="Athiti" w:hAnsi="Athiti" w:cs="Athiti"/>
          <w:lang w:val="cs-CZ"/>
        </w:rPr>
        <w:t xml:space="preserve"> ICT rizika spojená s outsourcingem a závislostí na třetích stranách jsou výslovně pokryta. Všichni kritičtí a důležití poskytovatelé služeb podléhají pravidelnému přehodnocení, revizi smluvních záruk a bezpečnostní due diligence.</w:t>
      </w:r>
    </w:p>
    <w:p w:rsidR="000B186D" w:rsidRPr="00397AB4" w:rsidRDefault="000B186D" w:rsidP="000B186D">
      <w:pPr>
        <w:pStyle w:val="normal"/>
        <w:spacing w:before="240" w:after="240"/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b/>
          <w:lang w:val="cs-CZ"/>
        </w:rPr>
        <w:t>Monitoring a přehodnocování:</w:t>
      </w:r>
      <w:r w:rsidRPr="00397AB4">
        <w:rPr>
          <w:rFonts w:ascii="Athiti" w:eastAsia="Athiti" w:hAnsi="Athiti" w:cs="Athiti"/>
          <w:b/>
          <w:lang w:val="cs-CZ"/>
        </w:rPr>
        <w:br/>
      </w:r>
      <w:r w:rsidRPr="00397AB4">
        <w:rPr>
          <w:rFonts w:ascii="Athiti" w:eastAsia="Athiti" w:hAnsi="Athiti" w:cs="Athiti"/>
          <w:lang w:val="cs-CZ"/>
        </w:rPr>
        <w:t xml:space="preserve"> Expozice riziku je průběžně monitorována prostřednictvím:</w:t>
      </w:r>
    </w:p>
    <w:p w:rsidR="000B186D" w:rsidRPr="00397AB4" w:rsidRDefault="000B186D" w:rsidP="000B186D">
      <w:pPr>
        <w:pStyle w:val="normal"/>
        <w:numPr>
          <w:ilvl w:val="0"/>
          <w:numId w:val="4"/>
        </w:numPr>
        <w:spacing w:before="240"/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lang w:val="cs-CZ"/>
        </w:rPr>
        <w:t>automatizovaných nástrojů,</w:t>
      </w:r>
      <w:r w:rsidRPr="00397AB4">
        <w:rPr>
          <w:rFonts w:ascii="Athiti" w:eastAsia="Athiti" w:hAnsi="Athiti" w:cs="Athiti"/>
          <w:lang w:val="cs-CZ"/>
        </w:rPr>
        <w:br/>
      </w:r>
    </w:p>
    <w:p w:rsidR="000B186D" w:rsidRPr="00397AB4" w:rsidRDefault="000B186D" w:rsidP="000B186D">
      <w:pPr>
        <w:pStyle w:val="normal"/>
        <w:numPr>
          <w:ilvl w:val="0"/>
          <w:numId w:val="4"/>
        </w:numPr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lang w:val="cs-CZ"/>
        </w:rPr>
        <w:t>záznamů o incidentech,</w:t>
      </w:r>
      <w:r w:rsidRPr="00397AB4">
        <w:rPr>
          <w:rFonts w:ascii="Athiti" w:eastAsia="Athiti" w:hAnsi="Athiti" w:cs="Athiti"/>
          <w:lang w:val="cs-CZ"/>
        </w:rPr>
        <w:br/>
      </w:r>
    </w:p>
    <w:p w:rsidR="000B186D" w:rsidRPr="00397AB4" w:rsidRDefault="000B186D" w:rsidP="000B186D">
      <w:pPr>
        <w:pStyle w:val="normal"/>
        <w:numPr>
          <w:ilvl w:val="0"/>
          <w:numId w:val="4"/>
        </w:numPr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lang w:val="cs-CZ"/>
        </w:rPr>
        <w:t>řízení změn,</w:t>
      </w:r>
      <w:r w:rsidRPr="00397AB4">
        <w:rPr>
          <w:rFonts w:ascii="Athiti" w:eastAsia="Athiti" w:hAnsi="Athiti" w:cs="Athiti"/>
          <w:lang w:val="cs-CZ"/>
        </w:rPr>
        <w:br/>
      </w:r>
    </w:p>
    <w:p w:rsidR="000B186D" w:rsidRPr="00397AB4" w:rsidRDefault="000B186D" w:rsidP="000B186D">
      <w:pPr>
        <w:pStyle w:val="normal"/>
        <w:numPr>
          <w:ilvl w:val="0"/>
          <w:numId w:val="4"/>
        </w:numPr>
        <w:spacing w:after="240"/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lang w:val="cs-CZ"/>
        </w:rPr>
        <w:t>zdrojů hrozbové inteligence.</w:t>
      </w:r>
      <w:r w:rsidRPr="00397AB4">
        <w:rPr>
          <w:rFonts w:ascii="Athiti" w:eastAsia="Athiti" w:hAnsi="Athiti" w:cs="Athiti"/>
          <w:lang w:val="cs-CZ"/>
        </w:rPr>
        <w:br/>
      </w:r>
    </w:p>
    <w:p w:rsidR="000B186D" w:rsidRPr="00397AB4" w:rsidRDefault="000B186D" w:rsidP="000B186D">
      <w:pPr>
        <w:pStyle w:val="normal"/>
        <w:spacing w:before="240" w:after="240"/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lang w:val="cs-CZ"/>
        </w:rPr>
        <w:t xml:space="preserve">Formální přezkumy rizik probíhají minimálně </w:t>
      </w:r>
      <w:r w:rsidRPr="00397AB4">
        <w:rPr>
          <w:rFonts w:ascii="Athiti" w:eastAsia="Athiti" w:hAnsi="Athiti" w:cs="Athiti"/>
          <w:b/>
          <w:lang w:val="cs-CZ"/>
        </w:rPr>
        <w:t>čtvrtletně</w:t>
      </w:r>
      <w:r w:rsidRPr="00397AB4">
        <w:rPr>
          <w:rFonts w:ascii="Athiti" w:eastAsia="Athiti" w:hAnsi="Athiti" w:cs="Athiti"/>
          <w:lang w:val="cs-CZ"/>
        </w:rPr>
        <w:t>, nebo v reakci na:</w:t>
      </w:r>
    </w:p>
    <w:p w:rsidR="000B186D" w:rsidRPr="00397AB4" w:rsidRDefault="000B186D" w:rsidP="000B186D">
      <w:pPr>
        <w:pStyle w:val="normal"/>
        <w:numPr>
          <w:ilvl w:val="0"/>
          <w:numId w:val="27"/>
        </w:numPr>
        <w:spacing w:before="240"/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lang w:val="cs-CZ"/>
        </w:rPr>
        <w:t>závažné ICT incidenty,</w:t>
      </w:r>
      <w:r w:rsidRPr="00397AB4">
        <w:rPr>
          <w:rFonts w:ascii="Athiti" w:eastAsia="Athiti" w:hAnsi="Athiti" w:cs="Athiti"/>
          <w:lang w:val="cs-CZ"/>
        </w:rPr>
        <w:br/>
      </w:r>
    </w:p>
    <w:p w:rsidR="000B186D" w:rsidRPr="00397AB4" w:rsidRDefault="000B186D" w:rsidP="000B186D">
      <w:pPr>
        <w:pStyle w:val="normal"/>
        <w:numPr>
          <w:ilvl w:val="0"/>
          <w:numId w:val="27"/>
        </w:numPr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lang w:val="cs-CZ"/>
        </w:rPr>
        <w:t>významné změny v infrastruktuře nebo dodavatelském řetězci,</w:t>
      </w:r>
      <w:r w:rsidRPr="00397AB4">
        <w:rPr>
          <w:rFonts w:ascii="Athiti" w:eastAsia="Athiti" w:hAnsi="Athiti" w:cs="Athiti"/>
          <w:lang w:val="cs-CZ"/>
        </w:rPr>
        <w:br/>
      </w:r>
    </w:p>
    <w:p w:rsidR="000B186D" w:rsidRPr="00397AB4" w:rsidRDefault="000B186D" w:rsidP="000B186D">
      <w:pPr>
        <w:pStyle w:val="normal"/>
        <w:numPr>
          <w:ilvl w:val="0"/>
          <w:numId w:val="27"/>
        </w:numPr>
        <w:spacing w:after="240"/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lang w:val="cs-CZ"/>
        </w:rPr>
        <w:t>zjištění z auditů nebo doporučení regulátorů.</w:t>
      </w:r>
      <w:r w:rsidRPr="00397AB4">
        <w:rPr>
          <w:rFonts w:ascii="Athiti" w:eastAsia="Athiti" w:hAnsi="Athiti" w:cs="Athiti"/>
          <w:lang w:val="cs-CZ"/>
        </w:rPr>
        <w:br/>
      </w:r>
    </w:p>
    <w:p w:rsidR="000B186D" w:rsidRPr="00397AB4" w:rsidRDefault="000B186D" w:rsidP="000B186D">
      <w:pPr>
        <w:pStyle w:val="normal"/>
        <w:spacing w:before="240" w:after="240"/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b/>
          <w:lang w:val="cs-CZ"/>
        </w:rPr>
        <w:t>Řízení a reportování:</w:t>
      </w:r>
      <w:r w:rsidRPr="00397AB4">
        <w:rPr>
          <w:rFonts w:ascii="Athiti" w:eastAsia="Athiti" w:hAnsi="Athiti" w:cs="Athiti"/>
          <w:b/>
          <w:lang w:val="cs-CZ"/>
        </w:rPr>
        <w:br/>
      </w:r>
      <w:r w:rsidRPr="00397AB4">
        <w:rPr>
          <w:rFonts w:ascii="Athiti" w:eastAsia="Athiti" w:hAnsi="Athiti" w:cs="Athiti"/>
          <w:lang w:val="cs-CZ"/>
        </w:rPr>
        <w:t xml:space="preserve"> Závažná ICT rizika jsou eskalována vedení společnosti a představenstvu prostřednictvím strukturovaných </w:t>
      </w:r>
      <w:r w:rsidRPr="00397AB4">
        <w:rPr>
          <w:rFonts w:ascii="Athiti" w:eastAsia="Athiti" w:hAnsi="Athiti" w:cs="Athiti"/>
          <w:b/>
          <w:lang w:val="cs-CZ"/>
        </w:rPr>
        <w:t>zpráv o rizicích</w:t>
      </w:r>
      <w:r w:rsidRPr="00397AB4">
        <w:rPr>
          <w:rFonts w:ascii="Athiti" w:eastAsia="Athiti" w:hAnsi="Athiti" w:cs="Athiti"/>
          <w:lang w:val="cs-CZ"/>
        </w:rPr>
        <w:t xml:space="preserve">, </w:t>
      </w:r>
      <w:r w:rsidRPr="00397AB4">
        <w:rPr>
          <w:rFonts w:ascii="Athiti" w:eastAsia="Athiti" w:hAnsi="Athiti" w:cs="Athiti"/>
          <w:b/>
          <w:lang w:val="cs-CZ"/>
        </w:rPr>
        <w:t>dashboardů</w:t>
      </w:r>
      <w:r w:rsidRPr="00397AB4">
        <w:rPr>
          <w:rFonts w:ascii="Athiti" w:eastAsia="Athiti" w:hAnsi="Athiti" w:cs="Athiti"/>
          <w:lang w:val="cs-CZ"/>
        </w:rPr>
        <w:t xml:space="preserve"> a jednání </w:t>
      </w:r>
      <w:r w:rsidRPr="00397AB4">
        <w:rPr>
          <w:rFonts w:ascii="Athiti" w:eastAsia="Athiti" w:hAnsi="Athiti" w:cs="Athiti"/>
          <w:b/>
          <w:lang w:val="cs-CZ"/>
        </w:rPr>
        <w:t>rizikového výboru</w:t>
      </w:r>
      <w:r w:rsidRPr="00397AB4">
        <w:rPr>
          <w:rFonts w:ascii="Athiti" w:eastAsia="Athiti" w:hAnsi="Athiti" w:cs="Athiti"/>
          <w:lang w:val="cs-CZ"/>
        </w:rPr>
        <w:t>. Jakékoli překročení předem stanovené úrovně rizikového apetitu podléhá okamžitému plánu nápravy a dohledu.</w:t>
      </w:r>
    </w:p>
    <w:p w:rsidR="000B186D" w:rsidRPr="00397AB4" w:rsidRDefault="000B186D" w:rsidP="000B186D">
      <w:pPr>
        <w:pStyle w:val="Nadpis1"/>
        <w:spacing w:before="240" w:after="240"/>
        <w:rPr>
          <w:rFonts w:ascii="Athiti" w:eastAsia="Athiti" w:hAnsi="Athiti" w:cs="Athiti"/>
          <w:lang w:val="cs-CZ"/>
        </w:rPr>
      </w:pPr>
      <w:bookmarkStart w:id="6" w:name="_pifa90g3kgq0" w:colFirst="0" w:colLast="0"/>
      <w:bookmarkEnd w:id="6"/>
      <w:r w:rsidRPr="00397AB4">
        <w:rPr>
          <w:rFonts w:ascii="Athiti" w:eastAsia="Athiti" w:hAnsi="Athiti" w:cs="Athiti"/>
          <w:lang w:val="cs-CZ"/>
        </w:rPr>
        <w:lastRenderedPageBreak/>
        <w:t>4. Analýza dopadů na podnikání (Business Impact Analysis – BIA)</w:t>
      </w:r>
    </w:p>
    <w:p w:rsidR="000B186D" w:rsidRPr="00397AB4" w:rsidRDefault="000B186D" w:rsidP="000B186D">
      <w:pPr>
        <w:pStyle w:val="normal"/>
        <w:spacing w:before="240" w:after="240"/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lang w:val="cs-CZ"/>
        </w:rPr>
        <w:t>Společnost provádí formální analýzu dopadů na podnikání (BIA), jejímž cílem je identifikovat a vyhodnotit možné důsledky významných ICT výpadků na poskytování služeb v oblasti kryptoaktiv. Tento proces představuje klíčový základ pro plánování provozní odolnosti a kontinuity činností podle článku 10 nařízení DORA.</w:t>
      </w:r>
    </w:p>
    <w:p w:rsidR="000B186D" w:rsidRPr="00397AB4" w:rsidRDefault="000B186D" w:rsidP="000B186D">
      <w:pPr>
        <w:pStyle w:val="Nadpis4"/>
        <w:keepNext w:val="0"/>
        <w:keepLines w:val="0"/>
        <w:spacing w:before="240" w:after="40"/>
        <w:rPr>
          <w:rFonts w:ascii="Athiti" w:eastAsia="Athiti" w:hAnsi="Athiti" w:cs="Athiti"/>
          <w:b/>
          <w:color w:val="000000"/>
          <w:sz w:val="22"/>
          <w:szCs w:val="22"/>
          <w:lang w:val="cs-CZ"/>
        </w:rPr>
      </w:pPr>
      <w:bookmarkStart w:id="7" w:name="_6caafj3ca2jg" w:colFirst="0" w:colLast="0"/>
      <w:bookmarkEnd w:id="7"/>
      <w:r w:rsidRPr="00397AB4">
        <w:rPr>
          <w:rFonts w:ascii="Athiti" w:eastAsia="Athiti" w:hAnsi="Athiti" w:cs="Athiti"/>
          <w:b/>
          <w:color w:val="000000"/>
          <w:sz w:val="22"/>
          <w:szCs w:val="22"/>
          <w:lang w:val="cs-CZ"/>
        </w:rPr>
        <w:t>Metodika BIA zahrnuje následující klíčové prvky:</w:t>
      </w:r>
    </w:p>
    <w:p w:rsidR="000B186D" w:rsidRPr="00397AB4" w:rsidRDefault="000B186D" w:rsidP="000B186D">
      <w:pPr>
        <w:pStyle w:val="normal"/>
        <w:spacing w:before="240" w:after="240"/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b/>
          <w:lang w:val="cs-CZ"/>
        </w:rPr>
        <w:t>Identifikace kritických funkcí a systémů:</w:t>
      </w:r>
      <w:r w:rsidRPr="00397AB4">
        <w:rPr>
          <w:rFonts w:ascii="Athiti" w:eastAsia="Athiti" w:hAnsi="Athiti" w:cs="Athiti"/>
          <w:b/>
          <w:lang w:val="cs-CZ"/>
        </w:rPr>
        <w:br/>
      </w:r>
      <w:r w:rsidRPr="00397AB4">
        <w:rPr>
          <w:rFonts w:ascii="Athiti" w:eastAsia="Athiti" w:hAnsi="Athiti" w:cs="Athiti"/>
          <w:lang w:val="cs-CZ"/>
        </w:rPr>
        <w:t xml:space="preserve"> BIA identifikuje klíčové obchodní funkce, zásadní služby, podpůrné systémy a jejich vzájemné závislosti. To zahrnuje jak interní systémy (např. infrastruktura peněženek, zpracování transakcí), tak externě řízené služby (např. cloudové API, třetí strany poskytující úschovu kryptoaktiv).</w:t>
      </w:r>
    </w:p>
    <w:p w:rsidR="000B186D" w:rsidRPr="00397AB4" w:rsidRDefault="000B186D" w:rsidP="000B186D">
      <w:pPr>
        <w:pStyle w:val="normal"/>
        <w:spacing w:before="240" w:after="240"/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b/>
          <w:lang w:val="cs-CZ"/>
        </w:rPr>
        <w:t>Hodnocení dopadů:</w:t>
      </w:r>
      <w:r w:rsidRPr="00397AB4">
        <w:rPr>
          <w:rFonts w:ascii="Athiti" w:eastAsia="Athiti" w:hAnsi="Athiti" w:cs="Athiti"/>
          <w:b/>
          <w:lang w:val="cs-CZ"/>
        </w:rPr>
        <w:br/>
      </w:r>
      <w:r w:rsidRPr="00397AB4">
        <w:rPr>
          <w:rFonts w:ascii="Athiti" w:eastAsia="Athiti" w:hAnsi="Athiti" w:cs="Athiti"/>
          <w:lang w:val="cs-CZ"/>
        </w:rPr>
        <w:t xml:space="preserve"> Pro každou kritickou funkci BIA vyhodnocuje dopady výpadku napříč následujícími oblastmi:</w:t>
      </w:r>
    </w:p>
    <w:p w:rsidR="000B186D" w:rsidRPr="00397AB4" w:rsidRDefault="000B186D" w:rsidP="000B186D">
      <w:pPr>
        <w:pStyle w:val="normal"/>
        <w:numPr>
          <w:ilvl w:val="0"/>
          <w:numId w:val="2"/>
        </w:numPr>
        <w:spacing w:before="240"/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b/>
          <w:lang w:val="cs-CZ"/>
        </w:rPr>
        <w:t>Provozní dopad:</w:t>
      </w:r>
      <w:r w:rsidRPr="00397AB4">
        <w:rPr>
          <w:rFonts w:ascii="Athiti" w:eastAsia="Athiti" w:hAnsi="Athiti" w:cs="Athiti"/>
          <w:lang w:val="cs-CZ"/>
        </w:rPr>
        <w:t xml:space="preserve"> Neschopnost realizovat nebo vypořádávat transakce s kryptoaktivy;</w:t>
      </w:r>
      <w:r w:rsidRPr="00397AB4">
        <w:rPr>
          <w:rFonts w:ascii="Athiti" w:eastAsia="Athiti" w:hAnsi="Athiti" w:cs="Athiti"/>
          <w:lang w:val="cs-CZ"/>
        </w:rPr>
        <w:br/>
      </w:r>
    </w:p>
    <w:p w:rsidR="000B186D" w:rsidRPr="00397AB4" w:rsidRDefault="000B186D" w:rsidP="000B186D">
      <w:pPr>
        <w:pStyle w:val="normal"/>
        <w:numPr>
          <w:ilvl w:val="0"/>
          <w:numId w:val="2"/>
        </w:numPr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b/>
          <w:lang w:val="cs-CZ"/>
        </w:rPr>
        <w:t>Dopad na klienty:</w:t>
      </w:r>
      <w:r w:rsidRPr="00397AB4">
        <w:rPr>
          <w:rFonts w:ascii="Athiti" w:eastAsia="Athiti" w:hAnsi="Athiti" w:cs="Athiti"/>
          <w:lang w:val="cs-CZ"/>
        </w:rPr>
        <w:t xml:space="preserve"> Zpoždění, finanční ztráty nebo oslabení důvěry zákazníků;</w:t>
      </w:r>
      <w:r w:rsidRPr="00397AB4">
        <w:rPr>
          <w:rFonts w:ascii="Athiti" w:eastAsia="Athiti" w:hAnsi="Athiti" w:cs="Athiti"/>
          <w:lang w:val="cs-CZ"/>
        </w:rPr>
        <w:br/>
      </w:r>
    </w:p>
    <w:p w:rsidR="000B186D" w:rsidRPr="00397AB4" w:rsidRDefault="000B186D" w:rsidP="000B186D">
      <w:pPr>
        <w:pStyle w:val="normal"/>
        <w:numPr>
          <w:ilvl w:val="0"/>
          <w:numId w:val="2"/>
        </w:numPr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b/>
          <w:lang w:val="cs-CZ"/>
        </w:rPr>
        <w:t>Regulatorní a právní dopad:</w:t>
      </w:r>
      <w:r w:rsidRPr="00397AB4">
        <w:rPr>
          <w:rFonts w:ascii="Athiti" w:eastAsia="Athiti" w:hAnsi="Athiti" w:cs="Athiti"/>
          <w:lang w:val="cs-CZ"/>
        </w:rPr>
        <w:t xml:space="preserve"> Porušení smluvních nebo zákonných povinností;</w:t>
      </w:r>
      <w:r w:rsidRPr="00397AB4">
        <w:rPr>
          <w:rFonts w:ascii="Athiti" w:eastAsia="Athiti" w:hAnsi="Athiti" w:cs="Athiti"/>
          <w:lang w:val="cs-CZ"/>
        </w:rPr>
        <w:br/>
      </w:r>
    </w:p>
    <w:p w:rsidR="000B186D" w:rsidRPr="00397AB4" w:rsidRDefault="000B186D" w:rsidP="000B186D">
      <w:pPr>
        <w:pStyle w:val="normal"/>
        <w:numPr>
          <w:ilvl w:val="0"/>
          <w:numId w:val="2"/>
        </w:numPr>
        <w:spacing w:after="240"/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b/>
          <w:lang w:val="cs-CZ"/>
        </w:rPr>
        <w:t>Reputační dopad:</w:t>
      </w:r>
      <w:r w:rsidRPr="00397AB4">
        <w:rPr>
          <w:rFonts w:ascii="Athiti" w:eastAsia="Athiti" w:hAnsi="Athiti" w:cs="Athiti"/>
          <w:lang w:val="cs-CZ"/>
        </w:rPr>
        <w:t xml:space="preserve"> Poškození značky a důvěry trhu.</w:t>
      </w:r>
      <w:r w:rsidRPr="00397AB4">
        <w:rPr>
          <w:rFonts w:ascii="Athiti" w:eastAsia="Athiti" w:hAnsi="Athiti" w:cs="Athiti"/>
          <w:lang w:val="cs-CZ"/>
        </w:rPr>
        <w:br/>
      </w:r>
    </w:p>
    <w:p w:rsidR="000B186D" w:rsidRPr="00397AB4" w:rsidRDefault="000B186D" w:rsidP="000B186D">
      <w:pPr>
        <w:pStyle w:val="normal"/>
        <w:spacing w:before="240" w:after="240"/>
        <w:rPr>
          <w:rFonts w:ascii="Athiti" w:eastAsia="Athiti" w:hAnsi="Athiti" w:cs="Athiti"/>
          <w:b/>
          <w:lang w:val="cs-CZ"/>
        </w:rPr>
      </w:pPr>
      <w:r w:rsidRPr="00397AB4">
        <w:rPr>
          <w:rFonts w:ascii="Athiti" w:eastAsia="Athiti" w:hAnsi="Athiti" w:cs="Athiti"/>
          <w:b/>
          <w:lang w:val="cs-CZ"/>
        </w:rPr>
        <w:t>Hranice provozní odolnosti:</w:t>
      </w:r>
    </w:p>
    <w:p w:rsidR="000B186D" w:rsidRPr="00397AB4" w:rsidRDefault="000B186D" w:rsidP="000B186D">
      <w:pPr>
        <w:pStyle w:val="normal"/>
        <w:numPr>
          <w:ilvl w:val="0"/>
          <w:numId w:val="3"/>
        </w:numPr>
        <w:spacing w:before="240"/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b/>
          <w:lang w:val="cs-CZ"/>
        </w:rPr>
        <w:t>Maximálně tolerovatelná doba výpadku (MTD):</w:t>
      </w:r>
      <w:r w:rsidRPr="00397AB4">
        <w:rPr>
          <w:rFonts w:ascii="Athiti" w:eastAsia="Athiti" w:hAnsi="Athiti" w:cs="Athiti"/>
          <w:lang w:val="cs-CZ"/>
        </w:rPr>
        <w:t xml:space="preserve"> Nejdelší možná doba, po kterou může být funkce nedostupná, aniž by to mělo nepřijatelné následky;</w:t>
      </w:r>
      <w:r w:rsidRPr="00397AB4">
        <w:rPr>
          <w:rFonts w:ascii="Athiti" w:eastAsia="Athiti" w:hAnsi="Athiti" w:cs="Athiti"/>
          <w:lang w:val="cs-CZ"/>
        </w:rPr>
        <w:br/>
      </w:r>
    </w:p>
    <w:p w:rsidR="000B186D" w:rsidRPr="00397AB4" w:rsidRDefault="000B186D" w:rsidP="000B186D">
      <w:pPr>
        <w:pStyle w:val="normal"/>
        <w:numPr>
          <w:ilvl w:val="0"/>
          <w:numId w:val="3"/>
        </w:numPr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b/>
          <w:lang w:val="cs-CZ"/>
        </w:rPr>
        <w:t>Cílová doba obnovy (RTO):</w:t>
      </w:r>
      <w:r w:rsidRPr="00397AB4">
        <w:rPr>
          <w:rFonts w:ascii="Athiti" w:eastAsia="Athiti" w:hAnsi="Athiti" w:cs="Athiti"/>
          <w:lang w:val="cs-CZ"/>
        </w:rPr>
        <w:t xml:space="preserve"> Cílový čas, za který má být funkce obnovena po výpadku;</w:t>
      </w:r>
      <w:r w:rsidRPr="00397AB4">
        <w:rPr>
          <w:rFonts w:ascii="Athiti" w:eastAsia="Athiti" w:hAnsi="Athiti" w:cs="Athiti"/>
          <w:lang w:val="cs-CZ"/>
        </w:rPr>
        <w:br/>
      </w:r>
    </w:p>
    <w:p w:rsidR="000B186D" w:rsidRPr="00397AB4" w:rsidRDefault="000B186D" w:rsidP="000B186D">
      <w:pPr>
        <w:pStyle w:val="normal"/>
        <w:numPr>
          <w:ilvl w:val="0"/>
          <w:numId w:val="3"/>
        </w:numPr>
        <w:spacing w:after="240"/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b/>
          <w:lang w:val="cs-CZ"/>
        </w:rPr>
        <w:t>Cílový bod obnovy (RPO):</w:t>
      </w:r>
      <w:r w:rsidRPr="00397AB4">
        <w:rPr>
          <w:rFonts w:ascii="Athiti" w:eastAsia="Athiti" w:hAnsi="Athiti" w:cs="Athiti"/>
          <w:lang w:val="cs-CZ"/>
        </w:rPr>
        <w:t xml:space="preserve"> Maximální tolerovatelný interval ztráty dat v případě poruchy systému.</w:t>
      </w:r>
      <w:r w:rsidRPr="00397AB4">
        <w:rPr>
          <w:rFonts w:ascii="Athiti" w:eastAsia="Athiti" w:hAnsi="Athiti" w:cs="Athiti"/>
          <w:lang w:val="cs-CZ"/>
        </w:rPr>
        <w:br/>
      </w:r>
    </w:p>
    <w:p w:rsidR="000B186D" w:rsidRPr="00397AB4" w:rsidRDefault="000B186D" w:rsidP="000B186D">
      <w:pPr>
        <w:pStyle w:val="normal"/>
        <w:spacing w:before="240" w:after="240"/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b/>
          <w:lang w:val="cs-CZ"/>
        </w:rPr>
        <w:t>Plánování zdrojů a investic:</w:t>
      </w:r>
      <w:r w:rsidRPr="00397AB4">
        <w:rPr>
          <w:rFonts w:ascii="Athiti" w:eastAsia="Athiti" w:hAnsi="Athiti" w:cs="Athiti"/>
          <w:b/>
          <w:lang w:val="cs-CZ"/>
        </w:rPr>
        <w:br/>
      </w:r>
      <w:r w:rsidRPr="00397AB4">
        <w:rPr>
          <w:rFonts w:ascii="Athiti" w:eastAsia="Athiti" w:hAnsi="Athiti" w:cs="Athiti"/>
          <w:lang w:val="cs-CZ"/>
        </w:rPr>
        <w:t xml:space="preserve"> Na základě vyhodnocení dopadů BIA podporuje </w:t>
      </w:r>
      <w:r w:rsidR="00397AB4" w:rsidRPr="00397AB4">
        <w:rPr>
          <w:rFonts w:ascii="Athiti" w:eastAsia="Athiti" w:hAnsi="Athiti" w:cs="Athiti"/>
          <w:lang w:val="cs-CZ"/>
        </w:rPr>
        <w:t>prioritizace</w:t>
      </w:r>
      <w:r w:rsidRPr="00397AB4">
        <w:rPr>
          <w:rFonts w:ascii="Athiti" w:eastAsia="Athiti" w:hAnsi="Athiti" w:cs="Athiti"/>
          <w:lang w:val="cs-CZ"/>
        </w:rPr>
        <w:t xml:space="preserve"> investic do provozní odolnosti, jako je:</w:t>
      </w:r>
    </w:p>
    <w:p w:rsidR="000B186D" w:rsidRPr="00397AB4" w:rsidRDefault="000B186D" w:rsidP="000B186D">
      <w:pPr>
        <w:pStyle w:val="normal"/>
        <w:numPr>
          <w:ilvl w:val="0"/>
          <w:numId w:val="1"/>
        </w:numPr>
        <w:spacing w:before="240"/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lang w:val="cs-CZ"/>
        </w:rPr>
        <w:t>vysoce dostupná infrastruktura,</w:t>
      </w:r>
      <w:r w:rsidRPr="00397AB4">
        <w:rPr>
          <w:rFonts w:ascii="Athiti" w:eastAsia="Athiti" w:hAnsi="Athiti" w:cs="Athiti"/>
          <w:lang w:val="cs-CZ"/>
        </w:rPr>
        <w:br/>
      </w:r>
    </w:p>
    <w:p w:rsidR="000B186D" w:rsidRPr="00397AB4" w:rsidRDefault="000B186D" w:rsidP="000B186D">
      <w:pPr>
        <w:pStyle w:val="normal"/>
        <w:numPr>
          <w:ilvl w:val="0"/>
          <w:numId w:val="1"/>
        </w:numPr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lang w:val="cs-CZ"/>
        </w:rPr>
        <w:lastRenderedPageBreak/>
        <w:t>redundantní systémy,</w:t>
      </w:r>
      <w:r w:rsidRPr="00397AB4">
        <w:rPr>
          <w:rFonts w:ascii="Athiti" w:eastAsia="Athiti" w:hAnsi="Athiti" w:cs="Athiti"/>
          <w:lang w:val="cs-CZ"/>
        </w:rPr>
        <w:br/>
      </w:r>
    </w:p>
    <w:p w:rsidR="000B186D" w:rsidRPr="00397AB4" w:rsidRDefault="000B186D" w:rsidP="000B186D">
      <w:pPr>
        <w:pStyle w:val="normal"/>
        <w:numPr>
          <w:ilvl w:val="0"/>
          <w:numId w:val="1"/>
        </w:numPr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lang w:val="cs-CZ"/>
        </w:rPr>
        <w:t>záložní lokality,</w:t>
      </w:r>
      <w:r w:rsidRPr="00397AB4">
        <w:rPr>
          <w:rFonts w:ascii="Athiti" w:eastAsia="Athiti" w:hAnsi="Athiti" w:cs="Athiti"/>
          <w:lang w:val="cs-CZ"/>
        </w:rPr>
        <w:br/>
      </w:r>
    </w:p>
    <w:p w:rsidR="000B186D" w:rsidRPr="00397AB4" w:rsidRDefault="000B186D" w:rsidP="000B186D">
      <w:pPr>
        <w:pStyle w:val="normal"/>
        <w:numPr>
          <w:ilvl w:val="0"/>
          <w:numId w:val="1"/>
        </w:numPr>
        <w:spacing w:after="240"/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lang w:val="cs-CZ"/>
        </w:rPr>
        <w:t>posílené kapacity pro reakci na incidenty.</w:t>
      </w:r>
      <w:r w:rsidRPr="00397AB4">
        <w:rPr>
          <w:rFonts w:ascii="Athiti" w:eastAsia="Athiti" w:hAnsi="Athiti" w:cs="Athiti"/>
          <w:lang w:val="cs-CZ"/>
        </w:rPr>
        <w:br/>
      </w:r>
    </w:p>
    <w:p w:rsidR="000B186D" w:rsidRPr="00397AB4" w:rsidRDefault="000B186D" w:rsidP="000B186D">
      <w:pPr>
        <w:pStyle w:val="normal"/>
        <w:spacing w:before="240" w:after="240"/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b/>
          <w:lang w:val="cs-CZ"/>
        </w:rPr>
        <w:t>Dokumentace a odpovědnost:</w:t>
      </w:r>
      <w:r w:rsidRPr="00397AB4">
        <w:rPr>
          <w:rFonts w:ascii="Athiti" w:eastAsia="Athiti" w:hAnsi="Athiti" w:cs="Athiti"/>
          <w:b/>
          <w:lang w:val="cs-CZ"/>
        </w:rPr>
        <w:br/>
      </w:r>
      <w:r w:rsidRPr="00397AB4">
        <w:rPr>
          <w:rFonts w:ascii="Athiti" w:eastAsia="Athiti" w:hAnsi="Athiti" w:cs="Athiti"/>
          <w:lang w:val="cs-CZ"/>
        </w:rPr>
        <w:t xml:space="preserve"> Výsledky BIA jsou zdokumentovány a uloženy v centrálním úložišti a obsahují:</w:t>
      </w:r>
    </w:p>
    <w:p w:rsidR="000B186D" w:rsidRPr="00397AB4" w:rsidRDefault="000B186D" w:rsidP="000B186D">
      <w:pPr>
        <w:pStyle w:val="normal"/>
        <w:numPr>
          <w:ilvl w:val="0"/>
          <w:numId w:val="17"/>
        </w:numPr>
        <w:spacing w:before="240"/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lang w:val="cs-CZ"/>
        </w:rPr>
        <w:t>klasifikaci služeb podle úrovně kritičnosti;</w:t>
      </w:r>
      <w:r w:rsidRPr="00397AB4">
        <w:rPr>
          <w:rFonts w:ascii="Athiti" w:eastAsia="Athiti" w:hAnsi="Athiti" w:cs="Athiti"/>
          <w:lang w:val="cs-CZ"/>
        </w:rPr>
        <w:br/>
      </w:r>
    </w:p>
    <w:p w:rsidR="000B186D" w:rsidRPr="00397AB4" w:rsidRDefault="000B186D" w:rsidP="000B186D">
      <w:pPr>
        <w:pStyle w:val="normal"/>
        <w:numPr>
          <w:ilvl w:val="0"/>
          <w:numId w:val="17"/>
        </w:numPr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lang w:val="cs-CZ"/>
        </w:rPr>
        <w:t>stanovené hodnoty MTD / RTO / RPO;</w:t>
      </w:r>
      <w:r w:rsidRPr="00397AB4">
        <w:rPr>
          <w:rFonts w:ascii="Athiti" w:eastAsia="Athiti" w:hAnsi="Athiti" w:cs="Athiti"/>
          <w:lang w:val="cs-CZ"/>
        </w:rPr>
        <w:br/>
      </w:r>
    </w:p>
    <w:p w:rsidR="000B186D" w:rsidRPr="00397AB4" w:rsidRDefault="000B186D" w:rsidP="000B186D">
      <w:pPr>
        <w:pStyle w:val="normal"/>
        <w:numPr>
          <w:ilvl w:val="0"/>
          <w:numId w:val="17"/>
        </w:numPr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lang w:val="cs-CZ"/>
        </w:rPr>
        <w:t>závislosti na třetích stranách nebo infrastrukturních komponentech;</w:t>
      </w:r>
      <w:r w:rsidRPr="00397AB4">
        <w:rPr>
          <w:rFonts w:ascii="Athiti" w:eastAsia="Athiti" w:hAnsi="Athiti" w:cs="Athiti"/>
          <w:lang w:val="cs-CZ"/>
        </w:rPr>
        <w:br/>
      </w:r>
    </w:p>
    <w:p w:rsidR="000B186D" w:rsidRPr="00397AB4" w:rsidRDefault="000B186D" w:rsidP="000B186D">
      <w:pPr>
        <w:pStyle w:val="normal"/>
        <w:numPr>
          <w:ilvl w:val="0"/>
          <w:numId w:val="17"/>
        </w:numPr>
        <w:spacing w:after="240"/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lang w:val="cs-CZ"/>
        </w:rPr>
        <w:t>doporučené strategie zmírnění rizik.</w:t>
      </w:r>
      <w:r w:rsidRPr="00397AB4">
        <w:rPr>
          <w:rFonts w:ascii="Athiti" w:eastAsia="Athiti" w:hAnsi="Athiti" w:cs="Athiti"/>
          <w:lang w:val="cs-CZ"/>
        </w:rPr>
        <w:br/>
      </w:r>
    </w:p>
    <w:p w:rsidR="000B186D" w:rsidRPr="00397AB4" w:rsidRDefault="000B186D" w:rsidP="000B186D">
      <w:pPr>
        <w:pStyle w:val="normal"/>
        <w:spacing w:before="240" w:after="240"/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b/>
          <w:lang w:val="cs-CZ"/>
        </w:rPr>
        <w:t>Přezkum a údržba:</w:t>
      </w:r>
      <w:r w:rsidRPr="00397AB4">
        <w:rPr>
          <w:rFonts w:ascii="Athiti" w:eastAsia="Athiti" w:hAnsi="Athiti" w:cs="Athiti"/>
          <w:b/>
          <w:lang w:val="cs-CZ"/>
        </w:rPr>
        <w:br/>
      </w:r>
      <w:r w:rsidRPr="00397AB4">
        <w:rPr>
          <w:rFonts w:ascii="Athiti" w:eastAsia="Athiti" w:hAnsi="Athiti" w:cs="Athiti"/>
          <w:lang w:val="cs-CZ"/>
        </w:rPr>
        <w:t xml:space="preserve"> BIA je přezkoumávána minimálně jednou ročně, případně častěji v případě, že:</w:t>
      </w:r>
    </w:p>
    <w:p w:rsidR="000B186D" w:rsidRPr="00397AB4" w:rsidRDefault="000B186D" w:rsidP="000B186D">
      <w:pPr>
        <w:pStyle w:val="normal"/>
        <w:numPr>
          <w:ilvl w:val="0"/>
          <w:numId w:val="22"/>
        </w:numPr>
        <w:spacing w:before="240"/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lang w:val="cs-CZ"/>
        </w:rPr>
        <w:t>dojde k významným změnám v procesech, službách nebo infrastruktuře;</w:t>
      </w:r>
      <w:r w:rsidRPr="00397AB4">
        <w:rPr>
          <w:rFonts w:ascii="Athiti" w:eastAsia="Athiti" w:hAnsi="Athiti" w:cs="Athiti"/>
          <w:lang w:val="cs-CZ"/>
        </w:rPr>
        <w:br/>
      </w:r>
    </w:p>
    <w:p w:rsidR="000B186D" w:rsidRPr="00397AB4" w:rsidRDefault="000B186D" w:rsidP="000B186D">
      <w:pPr>
        <w:pStyle w:val="normal"/>
        <w:numPr>
          <w:ilvl w:val="0"/>
          <w:numId w:val="22"/>
        </w:numPr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lang w:val="cs-CZ"/>
        </w:rPr>
        <w:t>dojde ke změně regulatorních požadavků nebo prahových hodnot rizikového apetitu;</w:t>
      </w:r>
      <w:r w:rsidRPr="00397AB4">
        <w:rPr>
          <w:rFonts w:ascii="Athiti" w:eastAsia="Athiti" w:hAnsi="Athiti" w:cs="Athiti"/>
          <w:lang w:val="cs-CZ"/>
        </w:rPr>
        <w:br/>
      </w:r>
    </w:p>
    <w:p w:rsidR="000B186D" w:rsidRPr="00397AB4" w:rsidRDefault="000B186D" w:rsidP="000B186D">
      <w:pPr>
        <w:pStyle w:val="normal"/>
        <w:numPr>
          <w:ilvl w:val="0"/>
          <w:numId w:val="22"/>
        </w:numPr>
        <w:spacing w:after="240"/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lang w:val="cs-CZ"/>
        </w:rPr>
        <w:t>se objeví nové hrozby nebo poznatky z předchozích incidentů.</w:t>
      </w:r>
      <w:r w:rsidRPr="00397AB4">
        <w:rPr>
          <w:rFonts w:ascii="Athiti" w:eastAsia="Athiti" w:hAnsi="Athiti" w:cs="Athiti"/>
          <w:lang w:val="cs-CZ"/>
        </w:rPr>
        <w:br/>
      </w:r>
    </w:p>
    <w:p w:rsidR="000B186D" w:rsidRPr="00397AB4" w:rsidRDefault="000B186D" w:rsidP="000B186D">
      <w:pPr>
        <w:pStyle w:val="normal"/>
        <w:spacing w:before="240" w:after="240"/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lang w:val="cs-CZ"/>
        </w:rPr>
        <w:t>BIA je schvalována vrcholovým vedením a přímo ovlivňuje ICT strategii společnosti v oblasti reakce, obnovy a zajištění kontinuity provozu.</w:t>
      </w:r>
    </w:p>
    <w:p w:rsidR="000B186D" w:rsidRPr="00397AB4" w:rsidRDefault="000B186D" w:rsidP="000B186D">
      <w:pPr>
        <w:pStyle w:val="Nadpis1"/>
        <w:spacing w:before="240" w:after="240"/>
        <w:rPr>
          <w:rFonts w:ascii="Athiti" w:eastAsia="Athiti" w:hAnsi="Athiti" w:cs="Athiti"/>
          <w:lang w:val="cs-CZ"/>
        </w:rPr>
      </w:pPr>
      <w:bookmarkStart w:id="8" w:name="_b1myj0obvzuu" w:colFirst="0" w:colLast="0"/>
      <w:bookmarkEnd w:id="8"/>
      <w:r w:rsidRPr="00397AB4">
        <w:rPr>
          <w:rFonts w:ascii="Athiti" w:eastAsia="Athiti" w:hAnsi="Athiti" w:cs="Athiti"/>
          <w:lang w:val="cs-CZ"/>
        </w:rPr>
        <w:t>5. Plány reakce a obnovy ICT</w:t>
      </w:r>
    </w:p>
    <w:p w:rsidR="000B186D" w:rsidRPr="00397AB4" w:rsidRDefault="000B186D" w:rsidP="000B186D">
      <w:pPr>
        <w:pStyle w:val="normal"/>
        <w:spacing w:before="240" w:after="240"/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lang w:val="cs-CZ"/>
        </w:rPr>
        <w:t xml:space="preserve">V souladu s články 10 až 13 nařízení DORA společnost udržuje a pravidelně aktualizuje komplexní </w:t>
      </w:r>
      <w:r w:rsidRPr="00397AB4">
        <w:rPr>
          <w:rFonts w:ascii="Athiti" w:eastAsia="Athiti" w:hAnsi="Athiti" w:cs="Athiti"/>
          <w:b/>
          <w:lang w:val="cs-CZ"/>
        </w:rPr>
        <w:t>plány reakce a obnovy ICT</w:t>
      </w:r>
      <w:r w:rsidRPr="00397AB4">
        <w:rPr>
          <w:rFonts w:ascii="Athiti" w:eastAsia="Athiti" w:hAnsi="Athiti" w:cs="Athiti"/>
          <w:lang w:val="cs-CZ"/>
        </w:rPr>
        <w:t>. Tyto plány slouží k zajištění včasné reakce na narušení a k obnově provozu po přerušení poskytování služeb v oblasti kryptoaktiv.</w:t>
      </w:r>
    </w:p>
    <w:p w:rsidR="000B186D" w:rsidRPr="00397AB4" w:rsidRDefault="000B186D" w:rsidP="000B186D">
      <w:pPr>
        <w:pStyle w:val="Nadpis4"/>
        <w:keepNext w:val="0"/>
        <w:keepLines w:val="0"/>
        <w:spacing w:before="240" w:after="40"/>
        <w:rPr>
          <w:rFonts w:ascii="Athiti" w:eastAsia="Athiti" w:hAnsi="Athiti" w:cs="Athiti"/>
          <w:b/>
          <w:color w:val="000000"/>
          <w:sz w:val="22"/>
          <w:szCs w:val="22"/>
          <w:lang w:val="cs-CZ"/>
        </w:rPr>
      </w:pPr>
      <w:bookmarkStart w:id="9" w:name="_tf82ps51syde" w:colFirst="0" w:colLast="0"/>
      <w:bookmarkEnd w:id="9"/>
      <w:r w:rsidRPr="00397AB4">
        <w:rPr>
          <w:rFonts w:ascii="Athiti" w:eastAsia="Athiti" w:hAnsi="Athiti" w:cs="Athiti"/>
          <w:b/>
          <w:color w:val="000000"/>
          <w:sz w:val="22"/>
          <w:szCs w:val="22"/>
          <w:lang w:val="cs-CZ"/>
        </w:rPr>
        <w:t>Hlavní prvky plánů reakce a obnovy:</w:t>
      </w:r>
    </w:p>
    <w:p w:rsidR="000B186D" w:rsidRPr="00397AB4" w:rsidRDefault="000B186D" w:rsidP="000B186D">
      <w:pPr>
        <w:pStyle w:val="normal"/>
        <w:spacing w:before="240" w:after="240"/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b/>
          <w:lang w:val="cs-CZ"/>
        </w:rPr>
        <w:t>Definované role a eskalační cesty:</w:t>
      </w:r>
      <w:r w:rsidRPr="00397AB4">
        <w:rPr>
          <w:rFonts w:ascii="Athiti" w:eastAsia="Athiti" w:hAnsi="Athiti" w:cs="Athiti"/>
          <w:b/>
          <w:lang w:val="cs-CZ"/>
        </w:rPr>
        <w:br/>
      </w:r>
      <w:r w:rsidRPr="00397AB4">
        <w:rPr>
          <w:rFonts w:ascii="Athiti" w:eastAsia="Athiti" w:hAnsi="Athiti" w:cs="Athiti"/>
          <w:lang w:val="cs-CZ"/>
        </w:rPr>
        <w:t xml:space="preserve"> Plány jasně určují role a odpovědnosti zapojených osob při reakci na incident, včetně eskalačních cest směrem k vrcholovému vedení, pracovníkům compliance, externím poskytovatelům služeb a dozorovým orgánům. Určené týmy jsou pravidelně školeny k rychlé a koordinované reakci při výpadcích ICT.</w:t>
      </w:r>
    </w:p>
    <w:p w:rsidR="000B186D" w:rsidRPr="00397AB4" w:rsidRDefault="000B186D" w:rsidP="000B186D">
      <w:pPr>
        <w:pStyle w:val="normal"/>
        <w:spacing w:before="240" w:after="240"/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b/>
          <w:lang w:val="cs-CZ"/>
        </w:rPr>
        <w:lastRenderedPageBreak/>
        <w:t>Pokrytí celého životního cyklu incidentu:</w:t>
      </w:r>
      <w:r w:rsidRPr="00397AB4">
        <w:rPr>
          <w:rFonts w:ascii="Athiti" w:eastAsia="Athiti" w:hAnsi="Athiti" w:cs="Athiti"/>
          <w:b/>
          <w:lang w:val="cs-CZ"/>
        </w:rPr>
        <w:br/>
      </w:r>
      <w:r w:rsidRPr="00397AB4">
        <w:rPr>
          <w:rFonts w:ascii="Athiti" w:eastAsia="Athiti" w:hAnsi="Athiti" w:cs="Athiti"/>
          <w:lang w:val="cs-CZ"/>
        </w:rPr>
        <w:t xml:space="preserve"> Plány se vztahují na všechny fáze životního cyklu incidentu:</w:t>
      </w:r>
    </w:p>
    <w:p w:rsidR="000B186D" w:rsidRPr="00397AB4" w:rsidRDefault="000B186D" w:rsidP="000B186D">
      <w:pPr>
        <w:pStyle w:val="normal"/>
        <w:numPr>
          <w:ilvl w:val="0"/>
          <w:numId w:val="28"/>
        </w:numPr>
        <w:spacing w:before="240"/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b/>
          <w:lang w:val="cs-CZ"/>
        </w:rPr>
        <w:t>Detekce:</w:t>
      </w:r>
      <w:r w:rsidRPr="00397AB4">
        <w:rPr>
          <w:rFonts w:ascii="Athiti" w:eastAsia="Athiti" w:hAnsi="Athiti" w:cs="Athiti"/>
          <w:lang w:val="cs-CZ"/>
        </w:rPr>
        <w:t xml:space="preserve"> Využití nástrojů pro monitorování v reálném čase, detekci narušení a identifikaci anomálií;</w:t>
      </w:r>
      <w:r w:rsidRPr="00397AB4">
        <w:rPr>
          <w:rFonts w:ascii="Athiti" w:eastAsia="Athiti" w:hAnsi="Athiti" w:cs="Athiti"/>
          <w:lang w:val="cs-CZ"/>
        </w:rPr>
        <w:br/>
      </w:r>
    </w:p>
    <w:p w:rsidR="000B186D" w:rsidRPr="00397AB4" w:rsidRDefault="000B186D" w:rsidP="000B186D">
      <w:pPr>
        <w:pStyle w:val="normal"/>
        <w:numPr>
          <w:ilvl w:val="0"/>
          <w:numId w:val="28"/>
        </w:numPr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b/>
          <w:lang w:val="cs-CZ"/>
        </w:rPr>
        <w:t>Izolace:</w:t>
      </w:r>
      <w:r w:rsidRPr="00397AB4">
        <w:rPr>
          <w:rFonts w:ascii="Athiti" w:eastAsia="Athiti" w:hAnsi="Athiti" w:cs="Athiti"/>
          <w:lang w:val="cs-CZ"/>
        </w:rPr>
        <w:t xml:space="preserve"> Postupy k oddělení postižených systémů a prevenci šíření incidentu nebo úniku dat;</w:t>
      </w:r>
      <w:r w:rsidRPr="00397AB4">
        <w:rPr>
          <w:rFonts w:ascii="Athiti" w:eastAsia="Athiti" w:hAnsi="Athiti" w:cs="Athiti"/>
          <w:lang w:val="cs-CZ"/>
        </w:rPr>
        <w:br/>
      </w:r>
    </w:p>
    <w:p w:rsidR="000B186D" w:rsidRPr="00397AB4" w:rsidRDefault="000B186D" w:rsidP="000B186D">
      <w:pPr>
        <w:pStyle w:val="normal"/>
        <w:numPr>
          <w:ilvl w:val="0"/>
          <w:numId w:val="28"/>
        </w:numPr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b/>
          <w:lang w:val="cs-CZ"/>
        </w:rPr>
        <w:t>Odstranění:</w:t>
      </w:r>
      <w:r w:rsidRPr="00397AB4">
        <w:rPr>
          <w:rFonts w:ascii="Athiti" w:eastAsia="Athiti" w:hAnsi="Athiti" w:cs="Athiti"/>
          <w:lang w:val="cs-CZ"/>
        </w:rPr>
        <w:t xml:space="preserve"> Kroky k eliminaci hrozeb, malwaru nebo zranitelností z napadeného prostředí;</w:t>
      </w:r>
      <w:r w:rsidRPr="00397AB4">
        <w:rPr>
          <w:rFonts w:ascii="Athiti" w:eastAsia="Athiti" w:hAnsi="Athiti" w:cs="Athiti"/>
          <w:lang w:val="cs-CZ"/>
        </w:rPr>
        <w:br/>
      </w:r>
    </w:p>
    <w:p w:rsidR="000B186D" w:rsidRPr="00397AB4" w:rsidRDefault="000B186D" w:rsidP="000B186D">
      <w:pPr>
        <w:pStyle w:val="normal"/>
        <w:numPr>
          <w:ilvl w:val="0"/>
          <w:numId w:val="28"/>
        </w:numPr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b/>
          <w:lang w:val="cs-CZ"/>
        </w:rPr>
        <w:t>Obnova:</w:t>
      </w:r>
      <w:r w:rsidRPr="00397AB4">
        <w:rPr>
          <w:rFonts w:ascii="Athiti" w:eastAsia="Athiti" w:hAnsi="Athiti" w:cs="Athiti"/>
          <w:lang w:val="cs-CZ"/>
        </w:rPr>
        <w:t xml:space="preserve"> Opatření k obnovení provozu, včetně obnovy dat, opětovného ověření systémů a testování;</w:t>
      </w:r>
      <w:r w:rsidRPr="00397AB4">
        <w:rPr>
          <w:rFonts w:ascii="Athiti" w:eastAsia="Athiti" w:hAnsi="Athiti" w:cs="Athiti"/>
          <w:lang w:val="cs-CZ"/>
        </w:rPr>
        <w:br/>
      </w:r>
    </w:p>
    <w:p w:rsidR="000B186D" w:rsidRPr="00397AB4" w:rsidRDefault="000B186D" w:rsidP="000B186D">
      <w:pPr>
        <w:pStyle w:val="normal"/>
        <w:numPr>
          <w:ilvl w:val="0"/>
          <w:numId w:val="28"/>
        </w:numPr>
        <w:spacing w:after="240"/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b/>
          <w:lang w:val="cs-CZ"/>
        </w:rPr>
        <w:t>Analýza po incidentu:</w:t>
      </w:r>
      <w:r w:rsidRPr="00397AB4">
        <w:rPr>
          <w:rFonts w:ascii="Athiti" w:eastAsia="Athiti" w:hAnsi="Athiti" w:cs="Athiti"/>
          <w:lang w:val="cs-CZ"/>
        </w:rPr>
        <w:t xml:space="preserve"> Zjištění hlavní příčiny, poučení a plánování nápravných opatření.</w:t>
      </w:r>
      <w:r w:rsidRPr="00397AB4">
        <w:rPr>
          <w:rFonts w:ascii="Athiti" w:eastAsia="Athiti" w:hAnsi="Athiti" w:cs="Athiti"/>
          <w:lang w:val="cs-CZ"/>
        </w:rPr>
        <w:br/>
      </w:r>
    </w:p>
    <w:p w:rsidR="000B186D" w:rsidRPr="00397AB4" w:rsidRDefault="000B186D" w:rsidP="000B186D">
      <w:pPr>
        <w:pStyle w:val="normal"/>
        <w:spacing w:before="240" w:after="240"/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b/>
          <w:lang w:val="cs-CZ"/>
        </w:rPr>
        <w:t>Zaměření na interní i externí hrozby:</w:t>
      </w:r>
      <w:r w:rsidRPr="00397AB4">
        <w:rPr>
          <w:rFonts w:ascii="Athiti" w:eastAsia="Athiti" w:hAnsi="Athiti" w:cs="Athiti"/>
          <w:b/>
          <w:lang w:val="cs-CZ"/>
        </w:rPr>
        <w:br/>
      </w:r>
      <w:r w:rsidRPr="00397AB4">
        <w:rPr>
          <w:rFonts w:ascii="Athiti" w:eastAsia="Athiti" w:hAnsi="Athiti" w:cs="Athiti"/>
          <w:lang w:val="cs-CZ"/>
        </w:rPr>
        <w:t xml:space="preserve"> Plány pokrývají široké spektrum incidentů, včetně:</w:t>
      </w:r>
    </w:p>
    <w:p w:rsidR="000B186D" w:rsidRPr="00397AB4" w:rsidRDefault="000B186D" w:rsidP="000B186D">
      <w:pPr>
        <w:pStyle w:val="normal"/>
        <w:numPr>
          <w:ilvl w:val="0"/>
          <w:numId w:val="19"/>
        </w:numPr>
        <w:spacing w:before="240"/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b/>
          <w:lang w:val="cs-CZ"/>
        </w:rPr>
        <w:t>Interních selhání systémů</w:t>
      </w:r>
      <w:r w:rsidRPr="00397AB4">
        <w:rPr>
          <w:rFonts w:ascii="Athiti" w:eastAsia="Athiti" w:hAnsi="Athiti" w:cs="Athiti"/>
          <w:lang w:val="cs-CZ"/>
        </w:rPr>
        <w:t xml:space="preserve"> (např. poškození databáze, chybné konfigurace);</w:t>
      </w:r>
      <w:r w:rsidRPr="00397AB4">
        <w:rPr>
          <w:rFonts w:ascii="Athiti" w:eastAsia="Athiti" w:hAnsi="Athiti" w:cs="Athiti"/>
          <w:lang w:val="cs-CZ"/>
        </w:rPr>
        <w:br/>
      </w:r>
    </w:p>
    <w:p w:rsidR="000B186D" w:rsidRPr="00397AB4" w:rsidRDefault="000B186D" w:rsidP="000B186D">
      <w:pPr>
        <w:pStyle w:val="normal"/>
        <w:numPr>
          <w:ilvl w:val="0"/>
          <w:numId w:val="19"/>
        </w:numPr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b/>
          <w:lang w:val="cs-CZ"/>
        </w:rPr>
        <w:t>Externích hrozeb</w:t>
      </w:r>
      <w:r w:rsidRPr="00397AB4">
        <w:rPr>
          <w:rFonts w:ascii="Athiti" w:eastAsia="Athiti" w:hAnsi="Athiti" w:cs="Athiti"/>
          <w:lang w:val="cs-CZ"/>
        </w:rPr>
        <w:t xml:space="preserve"> (např. DDoS útoky, ransomware, kompromitace dodavatelského řetězce);</w:t>
      </w:r>
      <w:r w:rsidRPr="00397AB4">
        <w:rPr>
          <w:rFonts w:ascii="Athiti" w:eastAsia="Athiti" w:hAnsi="Athiti" w:cs="Athiti"/>
          <w:lang w:val="cs-CZ"/>
        </w:rPr>
        <w:br/>
      </w:r>
    </w:p>
    <w:p w:rsidR="000B186D" w:rsidRPr="00397AB4" w:rsidRDefault="000B186D" w:rsidP="000B186D">
      <w:pPr>
        <w:pStyle w:val="normal"/>
        <w:numPr>
          <w:ilvl w:val="0"/>
          <w:numId w:val="19"/>
        </w:numPr>
        <w:spacing w:after="240"/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b/>
          <w:lang w:val="cs-CZ"/>
        </w:rPr>
        <w:t>Výpadků nebo narušení služeb třetích stran.</w:t>
      </w:r>
      <w:r w:rsidRPr="00397AB4">
        <w:rPr>
          <w:rFonts w:ascii="Athiti" w:eastAsia="Athiti" w:hAnsi="Athiti" w:cs="Athiti"/>
          <w:b/>
          <w:lang w:val="cs-CZ"/>
        </w:rPr>
        <w:br/>
      </w:r>
    </w:p>
    <w:p w:rsidR="000B186D" w:rsidRPr="00397AB4" w:rsidRDefault="000B186D" w:rsidP="000B186D">
      <w:pPr>
        <w:pStyle w:val="normal"/>
        <w:spacing w:before="240" w:after="240"/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b/>
          <w:lang w:val="cs-CZ"/>
        </w:rPr>
        <w:t>Soulad s regulatorním oznamováním:</w:t>
      </w:r>
      <w:r w:rsidRPr="00397AB4">
        <w:rPr>
          <w:rFonts w:ascii="Athiti" w:eastAsia="Athiti" w:hAnsi="Athiti" w:cs="Athiti"/>
          <w:b/>
          <w:lang w:val="cs-CZ"/>
        </w:rPr>
        <w:br/>
      </w:r>
      <w:r w:rsidRPr="00397AB4">
        <w:rPr>
          <w:rFonts w:ascii="Athiti" w:eastAsia="Athiti" w:hAnsi="Athiti" w:cs="Athiti"/>
          <w:lang w:val="cs-CZ"/>
        </w:rPr>
        <w:t xml:space="preserve"> Plány zajišťují plnění povinnosti oznamování závažných ICT incidentů dle článku 19 DORA. Interní pracovní postupy odpovídají požadovaným lhůtám a formátům předkládání zpráv.</w:t>
      </w:r>
    </w:p>
    <w:p w:rsidR="000B186D" w:rsidRPr="00397AB4" w:rsidRDefault="000B186D" w:rsidP="000B186D">
      <w:pPr>
        <w:pStyle w:val="normal"/>
        <w:spacing w:before="240" w:after="240"/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b/>
          <w:lang w:val="cs-CZ"/>
        </w:rPr>
        <w:t>Integrace s řízením kontinuity a krizovou komunikací:</w:t>
      </w:r>
      <w:r w:rsidRPr="00397AB4">
        <w:rPr>
          <w:rFonts w:ascii="Athiti" w:eastAsia="Athiti" w:hAnsi="Athiti" w:cs="Athiti"/>
          <w:b/>
          <w:lang w:val="cs-CZ"/>
        </w:rPr>
        <w:br/>
      </w:r>
      <w:r w:rsidRPr="00397AB4">
        <w:rPr>
          <w:rFonts w:ascii="Athiti" w:eastAsia="Athiti" w:hAnsi="Athiti" w:cs="Athiti"/>
          <w:lang w:val="cs-CZ"/>
        </w:rPr>
        <w:t xml:space="preserve"> Plány reakce a obnovy ICT jsou plně propojeny s širším plánováním kontinuity činností a krizovou komunikací společnosti, čímž je zajištěna koordinace technických i netechnických oblastí.</w:t>
      </w:r>
    </w:p>
    <w:p w:rsidR="000B186D" w:rsidRPr="00397AB4" w:rsidRDefault="000B186D" w:rsidP="000B186D">
      <w:pPr>
        <w:pStyle w:val="normal"/>
        <w:spacing w:before="240" w:after="240"/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b/>
          <w:lang w:val="cs-CZ"/>
        </w:rPr>
        <w:t>Testování a ověřování účinnosti:</w:t>
      </w:r>
      <w:r w:rsidRPr="00397AB4">
        <w:rPr>
          <w:rFonts w:ascii="Athiti" w:eastAsia="Athiti" w:hAnsi="Athiti" w:cs="Athiti"/>
          <w:b/>
          <w:lang w:val="cs-CZ"/>
        </w:rPr>
        <w:br/>
      </w:r>
      <w:r w:rsidRPr="00397AB4">
        <w:rPr>
          <w:rFonts w:ascii="Athiti" w:eastAsia="Athiti" w:hAnsi="Athiti" w:cs="Athiti"/>
          <w:lang w:val="cs-CZ"/>
        </w:rPr>
        <w:t xml:space="preserve"> Účinnost plánů je ověřována minimálně </w:t>
      </w:r>
      <w:r w:rsidRPr="00397AB4">
        <w:rPr>
          <w:rFonts w:ascii="Athiti" w:eastAsia="Athiti" w:hAnsi="Athiti" w:cs="Athiti"/>
          <w:b/>
          <w:lang w:val="cs-CZ"/>
        </w:rPr>
        <w:t>dvakrát ročně</w:t>
      </w:r>
      <w:r w:rsidRPr="00397AB4">
        <w:rPr>
          <w:rFonts w:ascii="Athiti" w:eastAsia="Athiti" w:hAnsi="Athiti" w:cs="Athiti"/>
          <w:lang w:val="cs-CZ"/>
        </w:rPr>
        <w:t xml:space="preserve"> prostřednictvím:</w:t>
      </w:r>
    </w:p>
    <w:p w:rsidR="000B186D" w:rsidRPr="00397AB4" w:rsidRDefault="000B186D" w:rsidP="000B186D">
      <w:pPr>
        <w:pStyle w:val="normal"/>
        <w:numPr>
          <w:ilvl w:val="0"/>
          <w:numId w:val="24"/>
        </w:numPr>
        <w:spacing w:before="240"/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b/>
          <w:lang w:val="cs-CZ"/>
        </w:rPr>
        <w:t>Simulačních cvičení typu tabletop</w:t>
      </w:r>
      <w:r w:rsidRPr="00397AB4">
        <w:rPr>
          <w:rFonts w:ascii="Athiti" w:eastAsia="Athiti" w:hAnsi="Athiti" w:cs="Athiti"/>
          <w:lang w:val="cs-CZ"/>
        </w:rPr>
        <w:t xml:space="preserve"> (nácvik kybernetických incidentů a výpadků);</w:t>
      </w:r>
      <w:r w:rsidRPr="00397AB4">
        <w:rPr>
          <w:rFonts w:ascii="Athiti" w:eastAsia="Athiti" w:hAnsi="Athiti" w:cs="Athiti"/>
          <w:lang w:val="cs-CZ"/>
        </w:rPr>
        <w:br/>
      </w:r>
    </w:p>
    <w:p w:rsidR="000B186D" w:rsidRPr="00397AB4" w:rsidRDefault="000B186D" w:rsidP="000B186D">
      <w:pPr>
        <w:pStyle w:val="normal"/>
        <w:numPr>
          <w:ilvl w:val="0"/>
          <w:numId w:val="24"/>
        </w:numPr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b/>
          <w:lang w:val="cs-CZ"/>
        </w:rPr>
        <w:t>Technických cvičení obnovy</w:t>
      </w:r>
      <w:r w:rsidRPr="00397AB4">
        <w:rPr>
          <w:rFonts w:ascii="Athiti" w:eastAsia="Athiti" w:hAnsi="Athiti" w:cs="Athiti"/>
          <w:lang w:val="cs-CZ"/>
        </w:rPr>
        <w:t>, včetně obnovy ze záloh a aktivace záložních systémů;</w:t>
      </w:r>
      <w:r w:rsidRPr="00397AB4">
        <w:rPr>
          <w:rFonts w:ascii="Athiti" w:eastAsia="Athiti" w:hAnsi="Athiti" w:cs="Athiti"/>
          <w:lang w:val="cs-CZ"/>
        </w:rPr>
        <w:br/>
      </w:r>
    </w:p>
    <w:p w:rsidR="000B186D" w:rsidRPr="00397AB4" w:rsidRDefault="000B186D" w:rsidP="000B186D">
      <w:pPr>
        <w:pStyle w:val="normal"/>
        <w:numPr>
          <w:ilvl w:val="0"/>
          <w:numId w:val="24"/>
        </w:numPr>
        <w:spacing w:after="240"/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b/>
          <w:lang w:val="cs-CZ"/>
        </w:rPr>
        <w:t>Zapojení zainteresovaných stran</w:t>
      </w:r>
      <w:r w:rsidRPr="00397AB4">
        <w:rPr>
          <w:rFonts w:ascii="Athiti" w:eastAsia="Athiti" w:hAnsi="Athiti" w:cs="Athiti"/>
          <w:lang w:val="cs-CZ"/>
        </w:rPr>
        <w:t xml:space="preserve"> a vyhodnocení zpětné vazby po simulacích.</w:t>
      </w:r>
      <w:r w:rsidRPr="00397AB4">
        <w:rPr>
          <w:rFonts w:ascii="Athiti" w:eastAsia="Athiti" w:hAnsi="Athiti" w:cs="Athiti"/>
          <w:lang w:val="cs-CZ"/>
        </w:rPr>
        <w:br/>
      </w:r>
    </w:p>
    <w:p w:rsidR="000B186D" w:rsidRPr="00397AB4" w:rsidRDefault="000B186D" w:rsidP="000B186D">
      <w:pPr>
        <w:pStyle w:val="normal"/>
        <w:spacing w:before="240" w:after="240"/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b/>
          <w:lang w:val="cs-CZ"/>
        </w:rPr>
        <w:lastRenderedPageBreak/>
        <w:t>Průběžné zlepšování:</w:t>
      </w:r>
      <w:r w:rsidRPr="00397AB4">
        <w:rPr>
          <w:rFonts w:ascii="Athiti" w:eastAsia="Athiti" w:hAnsi="Athiti" w:cs="Athiti"/>
          <w:b/>
          <w:lang w:val="cs-CZ"/>
        </w:rPr>
        <w:br/>
      </w:r>
      <w:r w:rsidRPr="00397AB4">
        <w:rPr>
          <w:rFonts w:ascii="Athiti" w:eastAsia="Athiti" w:hAnsi="Athiti" w:cs="Athiti"/>
          <w:lang w:val="cs-CZ"/>
        </w:rPr>
        <w:t xml:space="preserve"> Plány jsou aktualizovány po každém testu, významném incidentu nebo zásadní změně infrastruktury či služeb. Poznatky jsou formálně zaznamenány a schvalovány funkcí řízení ICT rizik.</w:t>
      </w:r>
    </w:p>
    <w:p w:rsidR="000B186D" w:rsidRPr="00397AB4" w:rsidRDefault="000B186D" w:rsidP="000B186D">
      <w:pPr>
        <w:pStyle w:val="Nadpis1"/>
        <w:spacing w:before="240" w:after="240"/>
        <w:rPr>
          <w:rFonts w:ascii="Athiti" w:eastAsia="Athiti" w:hAnsi="Athiti" w:cs="Athiti"/>
          <w:lang w:val="cs-CZ"/>
        </w:rPr>
      </w:pPr>
      <w:bookmarkStart w:id="10" w:name="_cm8zc53qjy6u" w:colFirst="0" w:colLast="0"/>
      <w:bookmarkEnd w:id="10"/>
      <w:r w:rsidRPr="00397AB4">
        <w:rPr>
          <w:rFonts w:ascii="Athiti" w:eastAsia="Athiti" w:hAnsi="Athiti" w:cs="Athiti"/>
          <w:lang w:val="cs-CZ"/>
        </w:rPr>
        <w:t>6. Plány kontinuity ICT provozu a krizové komunikace</w:t>
      </w:r>
    </w:p>
    <w:p w:rsidR="000B186D" w:rsidRPr="00397AB4" w:rsidRDefault="000B186D" w:rsidP="000B186D">
      <w:pPr>
        <w:pStyle w:val="normal"/>
        <w:spacing w:before="240" w:after="240"/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lang w:val="cs-CZ"/>
        </w:rPr>
        <w:t xml:space="preserve">Společnost zavedla a udržuje robustní </w:t>
      </w:r>
      <w:r w:rsidRPr="00397AB4">
        <w:rPr>
          <w:rFonts w:ascii="Athiti" w:eastAsia="Athiti" w:hAnsi="Athiti" w:cs="Athiti"/>
          <w:b/>
          <w:lang w:val="cs-CZ"/>
        </w:rPr>
        <w:t>plány kontinuity ICT provozu (BCP)</w:t>
      </w:r>
      <w:r w:rsidRPr="00397AB4">
        <w:rPr>
          <w:rFonts w:ascii="Athiti" w:eastAsia="Athiti" w:hAnsi="Athiti" w:cs="Athiti"/>
          <w:lang w:val="cs-CZ"/>
        </w:rPr>
        <w:t xml:space="preserve"> a </w:t>
      </w:r>
      <w:r w:rsidRPr="00397AB4">
        <w:rPr>
          <w:rFonts w:ascii="Athiti" w:eastAsia="Athiti" w:hAnsi="Athiti" w:cs="Athiti"/>
          <w:b/>
          <w:lang w:val="cs-CZ"/>
        </w:rPr>
        <w:t>plány krizové komunikace</w:t>
      </w:r>
      <w:r w:rsidRPr="00397AB4">
        <w:rPr>
          <w:rFonts w:ascii="Athiti" w:eastAsia="Athiti" w:hAnsi="Athiti" w:cs="Athiti"/>
          <w:lang w:val="cs-CZ"/>
        </w:rPr>
        <w:t xml:space="preserve"> v souladu s články 10 a 13 nařízení DORA. Tyto plány zajišťují, že společnost dokáže během a po narušení ICT infrastruktury udržet nebo obnovit poskytování klíčových služeb v oblasti kryptoaktiv a zároveň komunikovat transparentně a efektivně s interními i externími partnery.</w:t>
      </w:r>
    </w:p>
    <w:p w:rsidR="000B186D" w:rsidRPr="00397AB4" w:rsidRDefault="000B186D" w:rsidP="000B186D">
      <w:pPr>
        <w:pStyle w:val="Nadpis4"/>
        <w:keepNext w:val="0"/>
        <w:keepLines w:val="0"/>
        <w:spacing w:before="240" w:after="40"/>
        <w:rPr>
          <w:rFonts w:ascii="Athiti" w:eastAsia="Athiti" w:hAnsi="Athiti" w:cs="Athiti"/>
          <w:b/>
          <w:color w:val="000000"/>
          <w:sz w:val="22"/>
          <w:szCs w:val="22"/>
          <w:lang w:val="cs-CZ"/>
        </w:rPr>
      </w:pPr>
      <w:bookmarkStart w:id="11" w:name="_ipyqgjxwufzz" w:colFirst="0" w:colLast="0"/>
      <w:bookmarkEnd w:id="11"/>
      <w:r w:rsidRPr="00397AB4">
        <w:rPr>
          <w:rFonts w:ascii="Athiti" w:eastAsia="Athiti" w:hAnsi="Athiti" w:cs="Athiti"/>
          <w:b/>
          <w:color w:val="000000"/>
          <w:sz w:val="22"/>
          <w:szCs w:val="22"/>
          <w:lang w:val="cs-CZ"/>
        </w:rPr>
        <w:t>Hlavní komponenty těchto plánů zahrnují:</w:t>
      </w:r>
    </w:p>
    <w:p w:rsidR="000B186D" w:rsidRPr="00397AB4" w:rsidRDefault="000B186D" w:rsidP="000B186D">
      <w:pPr>
        <w:pStyle w:val="normal"/>
        <w:spacing w:before="240" w:after="240"/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b/>
          <w:lang w:val="cs-CZ"/>
        </w:rPr>
        <w:t>Scénáře narušení a pokrytí rizik:</w:t>
      </w:r>
      <w:r w:rsidRPr="00397AB4">
        <w:rPr>
          <w:rFonts w:ascii="Athiti" w:eastAsia="Athiti" w:hAnsi="Athiti" w:cs="Athiti"/>
          <w:b/>
          <w:lang w:val="cs-CZ"/>
        </w:rPr>
        <w:br/>
      </w:r>
      <w:r w:rsidRPr="00397AB4">
        <w:rPr>
          <w:rFonts w:ascii="Athiti" w:eastAsia="Athiti" w:hAnsi="Athiti" w:cs="Athiti"/>
          <w:lang w:val="cs-CZ"/>
        </w:rPr>
        <w:t xml:space="preserve"> Plány BCP jsou navrženy tak, aby pokrývaly různorodé scénáře narušení, včetně:</w:t>
      </w:r>
    </w:p>
    <w:p w:rsidR="000B186D" w:rsidRPr="00397AB4" w:rsidRDefault="000B186D" w:rsidP="000B186D">
      <w:pPr>
        <w:pStyle w:val="normal"/>
        <w:numPr>
          <w:ilvl w:val="0"/>
          <w:numId w:val="14"/>
        </w:numPr>
        <w:spacing w:before="240"/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lang w:val="cs-CZ"/>
        </w:rPr>
        <w:t>úplné nebo částečné ztráty přístupu k ICT systémům, sítím nebo datům;</w:t>
      </w:r>
      <w:r w:rsidRPr="00397AB4">
        <w:rPr>
          <w:rFonts w:ascii="Athiti" w:eastAsia="Athiti" w:hAnsi="Athiti" w:cs="Athiti"/>
          <w:lang w:val="cs-CZ"/>
        </w:rPr>
        <w:br/>
      </w:r>
    </w:p>
    <w:p w:rsidR="000B186D" w:rsidRPr="00397AB4" w:rsidRDefault="000B186D" w:rsidP="000B186D">
      <w:pPr>
        <w:pStyle w:val="normal"/>
        <w:numPr>
          <w:ilvl w:val="0"/>
          <w:numId w:val="14"/>
        </w:numPr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lang w:val="cs-CZ"/>
        </w:rPr>
        <w:t>poškození nebo zničení kritických informačních aktiv;</w:t>
      </w:r>
      <w:r w:rsidRPr="00397AB4">
        <w:rPr>
          <w:rFonts w:ascii="Athiti" w:eastAsia="Athiti" w:hAnsi="Athiti" w:cs="Athiti"/>
          <w:lang w:val="cs-CZ"/>
        </w:rPr>
        <w:br/>
      </w:r>
    </w:p>
    <w:p w:rsidR="000B186D" w:rsidRPr="00397AB4" w:rsidRDefault="000B186D" w:rsidP="000B186D">
      <w:pPr>
        <w:pStyle w:val="normal"/>
        <w:numPr>
          <w:ilvl w:val="0"/>
          <w:numId w:val="14"/>
        </w:numPr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lang w:val="cs-CZ"/>
        </w:rPr>
        <w:t>výpadků u poskytovatelů služeb třetích stran nebo cloudových řešení;</w:t>
      </w:r>
      <w:r w:rsidRPr="00397AB4">
        <w:rPr>
          <w:rFonts w:ascii="Athiti" w:eastAsia="Athiti" w:hAnsi="Athiti" w:cs="Athiti"/>
          <w:lang w:val="cs-CZ"/>
        </w:rPr>
        <w:br/>
      </w:r>
    </w:p>
    <w:p w:rsidR="000B186D" w:rsidRPr="00397AB4" w:rsidRDefault="000B186D" w:rsidP="000B186D">
      <w:pPr>
        <w:pStyle w:val="normal"/>
        <w:numPr>
          <w:ilvl w:val="0"/>
          <w:numId w:val="14"/>
        </w:numPr>
        <w:spacing w:after="240"/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lang w:val="cs-CZ"/>
        </w:rPr>
        <w:t>rozsáhlých kybernetických útoků nebo koordinovaných hrozeb.</w:t>
      </w:r>
      <w:r w:rsidRPr="00397AB4">
        <w:rPr>
          <w:rFonts w:ascii="Athiti" w:eastAsia="Athiti" w:hAnsi="Athiti" w:cs="Athiti"/>
          <w:lang w:val="cs-CZ"/>
        </w:rPr>
        <w:br/>
      </w:r>
    </w:p>
    <w:p w:rsidR="000B186D" w:rsidRPr="00397AB4" w:rsidRDefault="000B186D" w:rsidP="000B186D">
      <w:pPr>
        <w:pStyle w:val="normal"/>
        <w:spacing w:before="240" w:after="240"/>
        <w:rPr>
          <w:rFonts w:ascii="Athiti" w:eastAsia="Athiti" w:hAnsi="Athiti" w:cs="Athiti"/>
          <w:b/>
          <w:lang w:val="cs-CZ"/>
        </w:rPr>
      </w:pPr>
      <w:r w:rsidRPr="00397AB4">
        <w:rPr>
          <w:rFonts w:ascii="Athiti" w:eastAsia="Athiti" w:hAnsi="Athiti" w:cs="Athiti"/>
          <w:b/>
          <w:lang w:val="cs-CZ"/>
        </w:rPr>
        <w:t>Komunikační protokoly:</w:t>
      </w:r>
    </w:p>
    <w:p w:rsidR="000B186D" w:rsidRPr="00397AB4" w:rsidRDefault="000B186D" w:rsidP="000B186D">
      <w:pPr>
        <w:pStyle w:val="normal"/>
        <w:numPr>
          <w:ilvl w:val="0"/>
          <w:numId w:val="5"/>
        </w:numPr>
        <w:spacing w:before="240"/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lang w:val="cs-CZ"/>
        </w:rPr>
        <w:t>Jasně definované interní komunikační postupy, včetně pravidel eskalace a úrovní pravomocí pro spuštění plánů kontinuity a krizového řízení;</w:t>
      </w:r>
      <w:r w:rsidRPr="00397AB4">
        <w:rPr>
          <w:rFonts w:ascii="Athiti" w:eastAsia="Athiti" w:hAnsi="Athiti" w:cs="Athiti"/>
          <w:lang w:val="cs-CZ"/>
        </w:rPr>
        <w:br/>
      </w:r>
    </w:p>
    <w:p w:rsidR="000B186D" w:rsidRPr="00397AB4" w:rsidRDefault="000B186D" w:rsidP="000B186D">
      <w:pPr>
        <w:pStyle w:val="normal"/>
        <w:numPr>
          <w:ilvl w:val="0"/>
          <w:numId w:val="5"/>
        </w:numPr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lang w:val="cs-CZ"/>
        </w:rPr>
        <w:t>Postupy externí komunikace přizpůsobené pro klienty, regulátory, finanční partnery a média;</w:t>
      </w:r>
      <w:r w:rsidRPr="00397AB4">
        <w:rPr>
          <w:rFonts w:ascii="Athiti" w:eastAsia="Athiti" w:hAnsi="Athiti" w:cs="Athiti"/>
          <w:lang w:val="cs-CZ"/>
        </w:rPr>
        <w:br/>
      </w:r>
    </w:p>
    <w:p w:rsidR="000B186D" w:rsidRPr="00397AB4" w:rsidRDefault="000B186D" w:rsidP="000B186D">
      <w:pPr>
        <w:pStyle w:val="normal"/>
        <w:numPr>
          <w:ilvl w:val="0"/>
          <w:numId w:val="5"/>
        </w:numPr>
        <w:spacing w:after="240"/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lang w:val="cs-CZ"/>
        </w:rPr>
        <w:t xml:space="preserve">Šablony a kontrolní seznamy pro urgentní oznámení, regulatorní hlášení a zákaznickou komunikaci v souladu s </w:t>
      </w:r>
      <w:r w:rsidRPr="00397AB4">
        <w:rPr>
          <w:rFonts w:ascii="Athiti" w:eastAsia="Athiti" w:hAnsi="Athiti" w:cs="Athiti"/>
          <w:b/>
          <w:lang w:val="cs-CZ"/>
        </w:rPr>
        <w:t>GDPR</w:t>
      </w:r>
      <w:r w:rsidRPr="00397AB4">
        <w:rPr>
          <w:rFonts w:ascii="Athiti" w:eastAsia="Athiti" w:hAnsi="Athiti" w:cs="Athiti"/>
          <w:lang w:val="cs-CZ"/>
        </w:rPr>
        <w:t xml:space="preserve">, </w:t>
      </w:r>
      <w:r w:rsidRPr="00397AB4">
        <w:rPr>
          <w:rFonts w:ascii="Athiti" w:eastAsia="Athiti" w:hAnsi="Athiti" w:cs="Athiti"/>
          <w:b/>
          <w:lang w:val="cs-CZ"/>
        </w:rPr>
        <w:t>MiCA</w:t>
      </w:r>
      <w:r w:rsidRPr="00397AB4">
        <w:rPr>
          <w:rFonts w:ascii="Athiti" w:eastAsia="Athiti" w:hAnsi="Athiti" w:cs="Athiti"/>
          <w:lang w:val="cs-CZ"/>
        </w:rPr>
        <w:t xml:space="preserve"> a </w:t>
      </w:r>
      <w:r w:rsidRPr="00397AB4">
        <w:rPr>
          <w:rFonts w:ascii="Athiti" w:eastAsia="Athiti" w:hAnsi="Athiti" w:cs="Athiti"/>
          <w:b/>
          <w:lang w:val="cs-CZ"/>
        </w:rPr>
        <w:t>DORA</w:t>
      </w:r>
      <w:r w:rsidRPr="00397AB4">
        <w:rPr>
          <w:rFonts w:ascii="Athiti" w:eastAsia="Athiti" w:hAnsi="Athiti" w:cs="Athiti"/>
          <w:lang w:val="cs-CZ"/>
        </w:rPr>
        <w:t>.</w:t>
      </w:r>
      <w:r w:rsidRPr="00397AB4">
        <w:rPr>
          <w:rFonts w:ascii="Athiti" w:eastAsia="Athiti" w:hAnsi="Athiti" w:cs="Athiti"/>
          <w:lang w:val="cs-CZ"/>
        </w:rPr>
        <w:br/>
      </w:r>
    </w:p>
    <w:p w:rsidR="000B186D" w:rsidRPr="00397AB4" w:rsidRDefault="000B186D" w:rsidP="000B186D">
      <w:pPr>
        <w:pStyle w:val="normal"/>
        <w:spacing w:before="240" w:after="240"/>
        <w:rPr>
          <w:rFonts w:ascii="Athiti" w:eastAsia="Athiti" w:hAnsi="Athiti" w:cs="Athiti"/>
          <w:b/>
          <w:lang w:val="cs-CZ"/>
        </w:rPr>
      </w:pPr>
      <w:r w:rsidRPr="00397AB4">
        <w:rPr>
          <w:rFonts w:ascii="Athiti" w:eastAsia="Athiti" w:hAnsi="Athiti" w:cs="Athiti"/>
          <w:b/>
          <w:lang w:val="cs-CZ"/>
        </w:rPr>
        <w:t>Redundance a záložní řešení:</w:t>
      </w:r>
    </w:p>
    <w:p w:rsidR="000B186D" w:rsidRPr="00397AB4" w:rsidRDefault="000B186D" w:rsidP="000B186D">
      <w:pPr>
        <w:pStyle w:val="normal"/>
        <w:numPr>
          <w:ilvl w:val="0"/>
          <w:numId w:val="11"/>
        </w:numPr>
        <w:spacing w:before="240"/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lang w:val="cs-CZ"/>
        </w:rPr>
        <w:t>Určení alternativních zpracovatelských míst, záložní infrastruktury a předem dohodnutých komunikačních nástrojů pro krizové situace;</w:t>
      </w:r>
      <w:r w:rsidRPr="00397AB4">
        <w:rPr>
          <w:rFonts w:ascii="Athiti" w:eastAsia="Athiti" w:hAnsi="Athiti" w:cs="Athiti"/>
          <w:lang w:val="cs-CZ"/>
        </w:rPr>
        <w:br/>
      </w:r>
    </w:p>
    <w:p w:rsidR="000B186D" w:rsidRPr="00397AB4" w:rsidRDefault="000B186D" w:rsidP="000B186D">
      <w:pPr>
        <w:pStyle w:val="normal"/>
        <w:numPr>
          <w:ilvl w:val="0"/>
          <w:numId w:val="11"/>
        </w:numPr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lang w:val="cs-CZ"/>
        </w:rPr>
        <w:t>Redundantní cloudové plány s mechanismy failover a geografickou replikací kritických dat;</w:t>
      </w:r>
      <w:r w:rsidRPr="00397AB4">
        <w:rPr>
          <w:rFonts w:ascii="Athiti" w:eastAsia="Athiti" w:hAnsi="Athiti" w:cs="Athiti"/>
          <w:lang w:val="cs-CZ"/>
        </w:rPr>
        <w:br/>
      </w:r>
    </w:p>
    <w:p w:rsidR="000B186D" w:rsidRPr="00397AB4" w:rsidRDefault="000B186D" w:rsidP="000B186D">
      <w:pPr>
        <w:pStyle w:val="normal"/>
        <w:numPr>
          <w:ilvl w:val="0"/>
          <w:numId w:val="11"/>
        </w:numPr>
        <w:spacing w:after="240"/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lang w:val="cs-CZ"/>
        </w:rPr>
        <w:t>Pravidelné ověřování integrity záloh a spolehlivosti externího úložiště.</w:t>
      </w:r>
      <w:r w:rsidRPr="00397AB4">
        <w:rPr>
          <w:rFonts w:ascii="Athiti" w:eastAsia="Athiti" w:hAnsi="Athiti" w:cs="Athiti"/>
          <w:lang w:val="cs-CZ"/>
        </w:rPr>
        <w:br/>
      </w:r>
    </w:p>
    <w:p w:rsidR="000B186D" w:rsidRPr="00397AB4" w:rsidRDefault="000B186D" w:rsidP="000B186D">
      <w:pPr>
        <w:pStyle w:val="normal"/>
        <w:spacing w:before="240" w:after="240"/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b/>
          <w:lang w:val="cs-CZ"/>
        </w:rPr>
        <w:lastRenderedPageBreak/>
        <w:t>Integrace s celopodnikovým systémem řízení kontinuity (BCMS):</w:t>
      </w:r>
      <w:r w:rsidRPr="00397AB4">
        <w:rPr>
          <w:rFonts w:ascii="Athiti" w:eastAsia="Athiti" w:hAnsi="Athiti" w:cs="Athiti"/>
          <w:b/>
          <w:lang w:val="cs-CZ"/>
        </w:rPr>
        <w:br/>
      </w:r>
      <w:r w:rsidRPr="00397AB4">
        <w:rPr>
          <w:rFonts w:ascii="Athiti" w:eastAsia="Athiti" w:hAnsi="Athiti" w:cs="Athiti"/>
          <w:lang w:val="cs-CZ"/>
        </w:rPr>
        <w:t xml:space="preserve"> ICT BCP jsou začleněny do širšího </w:t>
      </w:r>
      <w:r w:rsidRPr="00397AB4">
        <w:rPr>
          <w:rFonts w:ascii="Athiti" w:eastAsia="Athiti" w:hAnsi="Athiti" w:cs="Athiti"/>
          <w:b/>
          <w:lang w:val="cs-CZ"/>
        </w:rPr>
        <w:t>systému řízení kontinuity činností (BCMS)</w:t>
      </w:r>
      <w:r w:rsidRPr="00397AB4">
        <w:rPr>
          <w:rFonts w:ascii="Athiti" w:eastAsia="Athiti" w:hAnsi="Athiti" w:cs="Athiti"/>
          <w:lang w:val="cs-CZ"/>
        </w:rPr>
        <w:t>, aby byla zajištěna koordinovaná reakce napříč obchodními, technickými a podpůrnými jednotkami.</w:t>
      </w:r>
      <w:r w:rsidRPr="00397AB4">
        <w:rPr>
          <w:rFonts w:ascii="Athiti" w:eastAsia="Athiti" w:hAnsi="Athiti" w:cs="Athiti"/>
          <w:lang w:val="cs-CZ"/>
        </w:rPr>
        <w:br/>
        <w:t xml:space="preserve"> Jsou určeni a školeni členové krizového týmu a koordinátoři kontinuity činností.</w:t>
      </w:r>
    </w:p>
    <w:p w:rsidR="000B186D" w:rsidRPr="00397AB4" w:rsidRDefault="000B186D" w:rsidP="000B186D">
      <w:pPr>
        <w:pStyle w:val="normal"/>
        <w:spacing w:before="240" w:after="240"/>
        <w:rPr>
          <w:rFonts w:ascii="Athiti" w:eastAsia="Athiti" w:hAnsi="Athiti" w:cs="Athiti"/>
          <w:b/>
          <w:lang w:val="cs-CZ"/>
        </w:rPr>
      </w:pPr>
      <w:r w:rsidRPr="00397AB4">
        <w:rPr>
          <w:rFonts w:ascii="Athiti" w:eastAsia="Athiti" w:hAnsi="Athiti" w:cs="Athiti"/>
          <w:b/>
          <w:lang w:val="cs-CZ"/>
        </w:rPr>
        <w:t>Testování, školení a údržba:</w:t>
      </w:r>
    </w:p>
    <w:p w:rsidR="000B186D" w:rsidRPr="00397AB4" w:rsidRDefault="000B186D" w:rsidP="000B186D">
      <w:pPr>
        <w:pStyle w:val="normal"/>
        <w:numPr>
          <w:ilvl w:val="0"/>
          <w:numId w:val="15"/>
        </w:numPr>
        <w:spacing w:before="240"/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lang w:val="cs-CZ"/>
        </w:rPr>
        <w:t xml:space="preserve">Plány BCP a krizové komunikace jsou testovány </w:t>
      </w:r>
      <w:r w:rsidRPr="00397AB4">
        <w:rPr>
          <w:rFonts w:ascii="Athiti" w:eastAsia="Athiti" w:hAnsi="Athiti" w:cs="Athiti"/>
          <w:b/>
          <w:lang w:val="cs-CZ"/>
        </w:rPr>
        <w:t>minimálně jednou ročně</w:t>
      </w:r>
      <w:r w:rsidRPr="00397AB4">
        <w:rPr>
          <w:rFonts w:ascii="Athiti" w:eastAsia="Athiti" w:hAnsi="Athiti" w:cs="Athiti"/>
          <w:lang w:val="cs-CZ"/>
        </w:rPr>
        <w:t xml:space="preserve"> prostřednictvím simulačních cvičení, průchodů scénáři a blackout testů;</w:t>
      </w:r>
      <w:r w:rsidRPr="00397AB4">
        <w:rPr>
          <w:rFonts w:ascii="Athiti" w:eastAsia="Athiti" w:hAnsi="Athiti" w:cs="Athiti"/>
          <w:lang w:val="cs-CZ"/>
        </w:rPr>
        <w:br/>
      </w:r>
    </w:p>
    <w:p w:rsidR="000B186D" w:rsidRPr="00397AB4" w:rsidRDefault="000B186D" w:rsidP="000B186D">
      <w:pPr>
        <w:pStyle w:val="normal"/>
        <w:numPr>
          <w:ilvl w:val="0"/>
          <w:numId w:val="15"/>
        </w:numPr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lang w:val="cs-CZ"/>
        </w:rPr>
        <w:t>Zjištěné poznatky jsou dokumentovány a použity k úpravám postupů;</w:t>
      </w:r>
      <w:r w:rsidRPr="00397AB4">
        <w:rPr>
          <w:rFonts w:ascii="Athiti" w:eastAsia="Athiti" w:hAnsi="Athiti" w:cs="Athiti"/>
          <w:lang w:val="cs-CZ"/>
        </w:rPr>
        <w:br/>
      </w:r>
    </w:p>
    <w:p w:rsidR="000B186D" w:rsidRPr="00397AB4" w:rsidRDefault="000B186D" w:rsidP="000B186D">
      <w:pPr>
        <w:pStyle w:val="normal"/>
        <w:numPr>
          <w:ilvl w:val="0"/>
          <w:numId w:val="15"/>
        </w:numPr>
        <w:spacing w:after="240"/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lang w:val="cs-CZ"/>
        </w:rPr>
        <w:t>Plány jsou přezkoumávány a aktualizovány po významných obchodních změnách, modernizaci infrastruktury nebo reálném výskytu incidentů.</w:t>
      </w:r>
    </w:p>
    <w:p w:rsidR="000B186D" w:rsidRPr="00397AB4" w:rsidRDefault="000B186D" w:rsidP="000B186D">
      <w:pPr>
        <w:pStyle w:val="normal"/>
        <w:spacing w:before="240" w:after="240"/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lang w:val="cs-CZ"/>
        </w:rPr>
        <w:t xml:space="preserve">Tyto plány zajišťují, že společnost je schopna </w:t>
      </w:r>
      <w:r w:rsidRPr="00397AB4">
        <w:rPr>
          <w:rFonts w:ascii="Athiti" w:eastAsia="Athiti" w:hAnsi="Athiti" w:cs="Athiti"/>
          <w:b/>
          <w:lang w:val="cs-CZ"/>
        </w:rPr>
        <w:t>udržet důvěru zákazníků, plnit regulatorní povinnosti a obnovit provoz v rámci stanovených prahových hodnot provozní odolnosti</w:t>
      </w:r>
      <w:r w:rsidRPr="00397AB4">
        <w:rPr>
          <w:rFonts w:ascii="Athiti" w:eastAsia="Athiti" w:hAnsi="Athiti" w:cs="Athiti"/>
          <w:lang w:val="cs-CZ"/>
        </w:rPr>
        <w:t>, i za nepříznivých podmínek.</w:t>
      </w:r>
    </w:p>
    <w:p w:rsidR="000B186D" w:rsidRPr="00397AB4" w:rsidRDefault="000B186D" w:rsidP="000B186D">
      <w:pPr>
        <w:pStyle w:val="Nadpis1"/>
        <w:spacing w:before="240" w:after="240"/>
        <w:rPr>
          <w:rFonts w:ascii="Athiti" w:eastAsia="Athiti" w:hAnsi="Athiti" w:cs="Athiti"/>
          <w:lang w:val="cs-CZ"/>
        </w:rPr>
      </w:pPr>
      <w:bookmarkStart w:id="12" w:name="_7wtcfzfslq1p" w:colFirst="0" w:colLast="0"/>
      <w:bookmarkEnd w:id="12"/>
      <w:r w:rsidRPr="00397AB4">
        <w:rPr>
          <w:rFonts w:ascii="Athiti" w:eastAsia="Athiti" w:hAnsi="Athiti" w:cs="Athiti"/>
          <w:lang w:val="cs-CZ"/>
        </w:rPr>
        <w:t>7. Programy zvyšování povědomí o bezpečnosti ICT a školení</w:t>
      </w:r>
    </w:p>
    <w:p w:rsidR="000B186D" w:rsidRPr="00397AB4" w:rsidRDefault="000B186D" w:rsidP="000B186D">
      <w:pPr>
        <w:pStyle w:val="normal"/>
        <w:spacing w:before="240" w:after="240"/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lang w:val="cs-CZ"/>
        </w:rPr>
        <w:t xml:space="preserve">Společnost zavádí strukturované </w:t>
      </w:r>
      <w:r w:rsidRPr="00397AB4">
        <w:rPr>
          <w:rFonts w:ascii="Athiti" w:eastAsia="Athiti" w:hAnsi="Athiti" w:cs="Athiti"/>
          <w:b/>
          <w:lang w:val="cs-CZ"/>
        </w:rPr>
        <w:t>programy zvyšování povědomí o bezpečnosti ICT a školení</w:t>
      </w:r>
      <w:r w:rsidRPr="00397AB4">
        <w:rPr>
          <w:rFonts w:ascii="Athiti" w:eastAsia="Athiti" w:hAnsi="Athiti" w:cs="Athiti"/>
          <w:lang w:val="cs-CZ"/>
        </w:rPr>
        <w:t>, jejichž cílem je podpořit kulturu bezpečnosti, zajistit soulad s nařízením DORA a omezit rizika incidentů způsobených lidským faktorem.</w:t>
      </w:r>
    </w:p>
    <w:p w:rsidR="000B186D" w:rsidRPr="00397AB4" w:rsidRDefault="000B186D" w:rsidP="000B186D">
      <w:pPr>
        <w:pStyle w:val="Nadpis4"/>
        <w:keepNext w:val="0"/>
        <w:keepLines w:val="0"/>
        <w:spacing w:before="240" w:after="40"/>
        <w:rPr>
          <w:rFonts w:ascii="Athiti" w:eastAsia="Athiti" w:hAnsi="Athiti" w:cs="Athiti"/>
          <w:b/>
          <w:color w:val="000000"/>
          <w:sz w:val="22"/>
          <w:szCs w:val="22"/>
          <w:lang w:val="cs-CZ"/>
        </w:rPr>
      </w:pPr>
      <w:bookmarkStart w:id="13" w:name="_1f5th2i8p719" w:colFirst="0" w:colLast="0"/>
      <w:bookmarkEnd w:id="13"/>
      <w:r w:rsidRPr="00397AB4">
        <w:rPr>
          <w:rFonts w:ascii="Athiti" w:eastAsia="Athiti" w:hAnsi="Athiti" w:cs="Athiti"/>
          <w:b/>
          <w:color w:val="000000"/>
          <w:sz w:val="22"/>
          <w:szCs w:val="22"/>
          <w:lang w:val="cs-CZ"/>
        </w:rPr>
        <w:t>Klíčové charakteristiky školení:</w:t>
      </w:r>
    </w:p>
    <w:p w:rsidR="000B186D" w:rsidRPr="00397AB4" w:rsidRDefault="000B186D" w:rsidP="000B186D">
      <w:pPr>
        <w:pStyle w:val="normal"/>
        <w:spacing w:before="240" w:after="240"/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b/>
          <w:lang w:val="cs-CZ"/>
        </w:rPr>
        <w:t>Přizpůsobení podle rolí:</w:t>
      </w:r>
      <w:r w:rsidRPr="00397AB4">
        <w:rPr>
          <w:rFonts w:ascii="Athiti" w:eastAsia="Athiti" w:hAnsi="Athiti" w:cs="Athiti"/>
          <w:b/>
          <w:lang w:val="cs-CZ"/>
        </w:rPr>
        <w:br/>
      </w:r>
      <w:r w:rsidRPr="00397AB4">
        <w:rPr>
          <w:rFonts w:ascii="Athiti" w:eastAsia="Athiti" w:hAnsi="Athiti" w:cs="Athiti"/>
          <w:lang w:val="cs-CZ"/>
        </w:rPr>
        <w:t xml:space="preserve"> Školící moduly jsou upraveny podle pracovní role a míry vystavení rizikům:</w:t>
      </w:r>
    </w:p>
    <w:p w:rsidR="000B186D" w:rsidRPr="00397AB4" w:rsidRDefault="000B186D" w:rsidP="000B186D">
      <w:pPr>
        <w:pStyle w:val="normal"/>
        <w:numPr>
          <w:ilvl w:val="0"/>
          <w:numId w:val="7"/>
        </w:numPr>
        <w:spacing w:before="240"/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b/>
          <w:lang w:val="cs-CZ"/>
        </w:rPr>
        <w:t>Obecní uživatelé:</w:t>
      </w:r>
      <w:r w:rsidRPr="00397AB4">
        <w:rPr>
          <w:rFonts w:ascii="Athiti" w:eastAsia="Athiti" w:hAnsi="Athiti" w:cs="Athiti"/>
          <w:lang w:val="cs-CZ"/>
        </w:rPr>
        <w:t xml:space="preserve"> Základy bezpečnosti – bezpečné heslo, bezpečné chování na internetu, ochrana soukromí;</w:t>
      </w:r>
      <w:r w:rsidRPr="00397AB4">
        <w:rPr>
          <w:rFonts w:ascii="Athiti" w:eastAsia="Athiti" w:hAnsi="Athiti" w:cs="Athiti"/>
          <w:lang w:val="cs-CZ"/>
        </w:rPr>
        <w:br/>
      </w:r>
    </w:p>
    <w:p w:rsidR="000B186D" w:rsidRPr="00397AB4" w:rsidRDefault="000B186D" w:rsidP="000B186D">
      <w:pPr>
        <w:pStyle w:val="normal"/>
        <w:numPr>
          <w:ilvl w:val="0"/>
          <w:numId w:val="7"/>
        </w:numPr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b/>
          <w:lang w:val="cs-CZ"/>
        </w:rPr>
        <w:t>Privilegovaní uživatelé:</w:t>
      </w:r>
      <w:r w:rsidRPr="00397AB4">
        <w:rPr>
          <w:rFonts w:ascii="Athiti" w:eastAsia="Athiti" w:hAnsi="Athiti" w:cs="Athiti"/>
          <w:lang w:val="cs-CZ"/>
        </w:rPr>
        <w:t xml:space="preserve"> Pokročilé moduly – zabezpečení systémů, řízení přístupu, administrativní kontrolní mechanismy;</w:t>
      </w:r>
      <w:r w:rsidRPr="00397AB4">
        <w:rPr>
          <w:rFonts w:ascii="Athiti" w:eastAsia="Athiti" w:hAnsi="Athiti" w:cs="Athiti"/>
          <w:lang w:val="cs-CZ"/>
        </w:rPr>
        <w:br/>
      </w:r>
    </w:p>
    <w:p w:rsidR="000B186D" w:rsidRPr="00397AB4" w:rsidRDefault="000B186D" w:rsidP="000B186D">
      <w:pPr>
        <w:pStyle w:val="normal"/>
        <w:numPr>
          <w:ilvl w:val="0"/>
          <w:numId w:val="7"/>
        </w:numPr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b/>
          <w:lang w:val="cs-CZ"/>
        </w:rPr>
        <w:t>Vývojáři:</w:t>
      </w:r>
      <w:r w:rsidRPr="00397AB4">
        <w:rPr>
          <w:rFonts w:ascii="Athiti" w:eastAsia="Athiti" w:hAnsi="Athiti" w:cs="Athiti"/>
          <w:lang w:val="cs-CZ"/>
        </w:rPr>
        <w:t xml:space="preserve"> Bezpečný vývojový cyklus softwaru (SSDLC), bezpečné programovací praktiky, řízení zranitelností;</w:t>
      </w:r>
      <w:r w:rsidRPr="00397AB4">
        <w:rPr>
          <w:rFonts w:ascii="Athiti" w:eastAsia="Athiti" w:hAnsi="Athiti" w:cs="Athiti"/>
          <w:lang w:val="cs-CZ"/>
        </w:rPr>
        <w:br/>
      </w:r>
    </w:p>
    <w:p w:rsidR="000B186D" w:rsidRPr="00397AB4" w:rsidRDefault="000B186D" w:rsidP="000B186D">
      <w:pPr>
        <w:pStyle w:val="normal"/>
        <w:numPr>
          <w:ilvl w:val="0"/>
          <w:numId w:val="7"/>
        </w:numPr>
        <w:spacing w:after="240"/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b/>
          <w:lang w:val="cs-CZ"/>
        </w:rPr>
        <w:t>Compliance a management:</w:t>
      </w:r>
      <w:r w:rsidRPr="00397AB4">
        <w:rPr>
          <w:rFonts w:ascii="Athiti" w:eastAsia="Athiti" w:hAnsi="Athiti" w:cs="Athiti"/>
          <w:lang w:val="cs-CZ"/>
        </w:rPr>
        <w:t xml:space="preserve"> Regulační požadavky dle DORA, role v oblasti governance, povinnosti při reakci na incidenty.</w:t>
      </w:r>
      <w:r w:rsidRPr="00397AB4">
        <w:rPr>
          <w:rFonts w:ascii="Athiti" w:eastAsia="Athiti" w:hAnsi="Athiti" w:cs="Athiti"/>
          <w:lang w:val="cs-CZ"/>
        </w:rPr>
        <w:br/>
      </w:r>
    </w:p>
    <w:p w:rsidR="000B186D" w:rsidRPr="00397AB4" w:rsidRDefault="000B186D" w:rsidP="000B186D">
      <w:pPr>
        <w:pStyle w:val="normal"/>
        <w:spacing w:before="240" w:after="240"/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b/>
          <w:lang w:val="cs-CZ"/>
        </w:rPr>
        <w:lastRenderedPageBreak/>
        <w:t>Oblasti obsahu:</w:t>
      </w:r>
      <w:r w:rsidRPr="00397AB4">
        <w:rPr>
          <w:rFonts w:ascii="Athiti" w:eastAsia="Athiti" w:hAnsi="Athiti" w:cs="Athiti"/>
          <w:b/>
          <w:lang w:val="cs-CZ"/>
        </w:rPr>
        <w:br/>
      </w:r>
      <w:r w:rsidRPr="00397AB4">
        <w:rPr>
          <w:rFonts w:ascii="Athiti" w:eastAsia="Athiti" w:hAnsi="Athiti" w:cs="Athiti"/>
          <w:lang w:val="cs-CZ"/>
        </w:rPr>
        <w:t xml:space="preserve"> Výukový plán pokrývá klíčová témata včetně:</w:t>
      </w:r>
    </w:p>
    <w:p w:rsidR="000B186D" w:rsidRPr="00397AB4" w:rsidRDefault="000B186D" w:rsidP="000B186D">
      <w:pPr>
        <w:pStyle w:val="normal"/>
        <w:numPr>
          <w:ilvl w:val="0"/>
          <w:numId w:val="8"/>
        </w:numPr>
        <w:spacing w:before="240"/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lang w:val="cs-CZ"/>
        </w:rPr>
        <w:t>Rozpoznání phishingu a spear phishingu;</w:t>
      </w:r>
      <w:r w:rsidRPr="00397AB4">
        <w:rPr>
          <w:rFonts w:ascii="Athiti" w:eastAsia="Athiti" w:hAnsi="Athiti" w:cs="Athiti"/>
          <w:lang w:val="cs-CZ"/>
        </w:rPr>
        <w:br/>
      </w:r>
    </w:p>
    <w:p w:rsidR="000B186D" w:rsidRPr="00397AB4" w:rsidRDefault="000B186D" w:rsidP="000B186D">
      <w:pPr>
        <w:pStyle w:val="normal"/>
        <w:numPr>
          <w:ilvl w:val="0"/>
          <w:numId w:val="8"/>
        </w:numPr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lang w:val="cs-CZ"/>
        </w:rPr>
        <w:t>Taktiky sociálního inženýrství a preventivní chování;</w:t>
      </w:r>
      <w:r w:rsidRPr="00397AB4">
        <w:rPr>
          <w:rFonts w:ascii="Athiti" w:eastAsia="Athiti" w:hAnsi="Athiti" w:cs="Athiti"/>
          <w:lang w:val="cs-CZ"/>
        </w:rPr>
        <w:br/>
      </w:r>
    </w:p>
    <w:p w:rsidR="000B186D" w:rsidRPr="00397AB4" w:rsidRDefault="000B186D" w:rsidP="000B186D">
      <w:pPr>
        <w:pStyle w:val="normal"/>
        <w:numPr>
          <w:ilvl w:val="0"/>
          <w:numId w:val="8"/>
        </w:numPr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lang w:val="cs-CZ"/>
        </w:rPr>
        <w:t>Bezpečné používání vzdáleného přístupu a mobilních zařízení;</w:t>
      </w:r>
      <w:r w:rsidRPr="00397AB4">
        <w:rPr>
          <w:rFonts w:ascii="Athiti" w:eastAsia="Athiti" w:hAnsi="Athiti" w:cs="Athiti"/>
          <w:lang w:val="cs-CZ"/>
        </w:rPr>
        <w:br/>
      </w:r>
    </w:p>
    <w:p w:rsidR="000B186D" w:rsidRPr="00397AB4" w:rsidRDefault="000B186D" w:rsidP="000B186D">
      <w:pPr>
        <w:pStyle w:val="normal"/>
        <w:numPr>
          <w:ilvl w:val="0"/>
          <w:numId w:val="8"/>
        </w:numPr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lang w:val="cs-CZ"/>
        </w:rPr>
        <w:t>Regulační povinnosti dle DORA, GDPR a MiCA;</w:t>
      </w:r>
      <w:r w:rsidRPr="00397AB4">
        <w:rPr>
          <w:rFonts w:ascii="Athiti" w:eastAsia="Athiti" w:hAnsi="Athiti" w:cs="Athiti"/>
          <w:lang w:val="cs-CZ"/>
        </w:rPr>
        <w:br/>
      </w:r>
    </w:p>
    <w:p w:rsidR="000B186D" w:rsidRPr="00397AB4" w:rsidRDefault="000B186D" w:rsidP="000B186D">
      <w:pPr>
        <w:pStyle w:val="normal"/>
        <w:numPr>
          <w:ilvl w:val="0"/>
          <w:numId w:val="8"/>
        </w:numPr>
        <w:spacing w:after="240"/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lang w:val="cs-CZ"/>
        </w:rPr>
        <w:t>Interní postupy pro hlášení podezřelých aktivit nebo incidentů.</w:t>
      </w:r>
      <w:r w:rsidRPr="00397AB4">
        <w:rPr>
          <w:rFonts w:ascii="Athiti" w:eastAsia="Athiti" w:hAnsi="Athiti" w:cs="Athiti"/>
          <w:lang w:val="cs-CZ"/>
        </w:rPr>
        <w:br/>
      </w:r>
    </w:p>
    <w:p w:rsidR="000B186D" w:rsidRPr="00397AB4" w:rsidRDefault="000B186D" w:rsidP="000B186D">
      <w:pPr>
        <w:pStyle w:val="normal"/>
        <w:spacing w:before="240" w:after="240"/>
        <w:rPr>
          <w:rFonts w:ascii="Athiti" w:eastAsia="Athiti" w:hAnsi="Athiti" w:cs="Athiti"/>
          <w:b/>
          <w:lang w:val="cs-CZ"/>
        </w:rPr>
      </w:pPr>
      <w:r w:rsidRPr="00397AB4">
        <w:rPr>
          <w:rFonts w:ascii="Athiti" w:eastAsia="Athiti" w:hAnsi="Athiti" w:cs="Athiti"/>
          <w:b/>
          <w:lang w:val="cs-CZ"/>
        </w:rPr>
        <w:t>Frekvence a forma školení:</w:t>
      </w:r>
    </w:p>
    <w:p w:rsidR="000B186D" w:rsidRPr="00397AB4" w:rsidRDefault="000B186D" w:rsidP="000B186D">
      <w:pPr>
        <w:pStyle w:val="normal"/>
        <w:numPr>
          <w:ilvl w:val="0"/>
          <w:numId w:val="16"/>
        </w:numPr>
        <w:spacing w:before="240"/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lang w:val="cs-CZ"/>
        </w:rPr>
        <w:t>Při nástupu – povinné školení pro všechny nové zaměstnance;</w:t>
      </w:r>
      <w:r w:rsidRPr="00397AB4">
        <w:rPr>
          <w:rFonts w:ascii="Athiti" w:eastAsia="Athiti" w:hAnsi="Athiti" w:cs="Athiti"/>
          <w:lang w:val="cs-CZ"/>
        </w:rPr>
        <w:br/>
      </w:r>
    </w:p>
    <w:p w:rsidR="000B186D" w:rsidRPr="00397AB4" w:rsidRDefault="000B186D" w:rsidP="000B186D">
      <w:pPr>
        <w:pStyle w:val="normal"/>
        <w:numPr>
          <w:ilvl w:val="0"/>
          <w:numId w:val="16"/>
        </w:numPr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lang w:val="cs-CZ"/>
        </w:rPr>
        <w:t>Každoroční povinné školení pro všechny pracovníky;</w:t>
      </w:r>
      <w:r w:rsidRPr="00397AB4">
        <w:rPr>
          <w:rFonts w:ascii="Athiti" w:eastAsia="Athiti" w:hAnsi="Athiti" w:cs="Athiti"/>
          <w:lang w:val="cs-CZ"/>
        </w:rPr>
        <w:br/>
      </w:r>
    </w:p>
    <w:p w:rsidR="000B186D" w:rsidRPr="00397AB4" w:rsidRDefault="000B186D" w:rsidP="000B186D">
      <w:pPr>
        <w:pStyle w:val="normal"/>
        <w:numPr>
          <w:ilvl w:val="0"/>
          <w:numId w:val="16"/>
        </w:numPr>
        <w:spacing w:after="240"/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lang w:val="cs-CZ"/>
        </w:rPr>
        <w:t>Ad hoc školení v návaznosti na incidenty, změny hrozeb nebo aktualizace regulací.</w:t>
      </w:r>
      <w:r w:rsidRPr="00397AB4">
        <w:rPr>
          <w:rFonts w:ascii="Athiti" w:eastAsia="Athiti" w:hAnsi="Athiti" w:cs="Athiti"/>
          <w:lang w:val="cs-CZ"/>
        </w:rPr>
        <w:br/>
      </w:r>
    </w:p>
    <w:p w:rsidR="000B186D" w:rsidRPr="00397AB4" w:rsidRDefault="000B186D" w:rsidP="000B186D">
      <w:pPr>
        <w:pStyle w:val="normal"/>
        <w:spacing w:before="240" w:after="240"/>
        <w:rPr>
          <w:rFonts w:ascii="Athiti" w:eastAsia="Athiti" w:hAnsi="Athiti" w:cs="Athiti"/>
          <w:b/>
          <w:lang w:val="cs-CZ"/>
        </w:rPr>
      </w:pPr>
      <w:r w:rsidRPr="00397AB4">
        <w:rPr>
          <w:rFonts w:ascii="Athiti" w:eastAsia="Athiti" w:hAnsi="Athiti" w:cs="Athiti"/>
          <w:b/>
          <w:lang w:val="cs-CZ"/>
        </w:rPr>
        <w:t>Simulace a kampaně:</w:t>
      </w:r>
    </w:p>
    <w:p w:rsidR="000B186D" w:rsidRPr="00397AB4" w:rsidRDefault="000B186D" w:rsidP="000B186D">
      <w:pPr>
        <w:pStyle w:val="normal"/>
        <w:numPr>
          <w:ilvl w:val="0"/>
          <w:numId w:val="6"/>
        </w:numPr>
        <w:spacing w:before="240"/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lang w:val="cs-CZ"/>
        </w:rPr>
        <w:t>Pravidelné phishingové simulace cílené na různé typy uživatelů;</w:t>
      </w:r>
      <w:r w:rsidRPr="00397AB4">
        <w:rPr>
          <w:rFonts w:ascii="Athiti" w:eastAsia="Athiti" w:hAnsi="Athiti" w:cs="Athiti"/>
          <w:lang w:val="cs-CZ"/>
        </w:rPr>
        <w:br/>
      </w:r>
    </w:p>
    <w:p w:rsidR="000B186D" w:rsidRPr="00397AB4" w:rsidRDefault="000B186D" w:rsidP="000B186D">
      <w:pPr>
        <w:pStyle w:val="normal"/>
        <w:numPr>
          <w:ilvl w:val="0"/>
          <w:numId w:val="6"/>
        </w:numPr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lang w:val="cs-CZ"/>
        </w:rPr>
        <w:t>Průběžné kampaně zvyšující povědomí prostřednictvím e-mailů, intranetu, plakátů a interaktivních výzev;</w:t>
      </w:r>
      <w:r w:rsidRPr="00397AB4">
        <w:rPr>
          <w:rFonts w:ascii="Athiti" w:eastAsia="Athiti" w:hAnsi="Athiti" w:cs="Athiti"/>
          <w:lang w:val="cs-CZ"/>
        </w:rPr>
        <w:br/>
      </w:r>
    </w:p>
    <w:p w:rsidR="000B186D" w:rsidRPr="00397AB4" w:rsidRDefault="000B186D" w:rsidP="000B186D">
      <w:pPr>
        <w:pStyle w:val="normal"/>
        <w:numPr>
          <w:ilvl w:val="0"/>
          <w:numId w:val="6"/>
        </w:numPr>
        <w:spacing w:after="240"/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lang w:val="cs-CZ"/>
        </w:rPr>
        <w:t>„Capture-the-flag“ (CTF) cvičení pro technické týmy.</w:t>
      </w:r>
      <w:r w:rsidRPr="00397AB4">
        <w:rPr>
          <w:rFonts w:ascii="Athiti" w:eastAsia="Athiti" w:hAnsi="Athiti" w:cs="Athiti"/>
          <w:lang w:val="cs-CZ"/>
        </w:rPr>
        <w:br/>
      </w:r>
    </w:p>
    <w:p w:rsidR="000B186D" w:rsidRPr="00397AB4" w:rsidRDefault="000B186D" w:rsidP="000B186D">
      <w:pPr>
        <w:pStyle w:val="normal"/>
        <w:spacing w:before="240" w:after="240"/>
        <w:rPr>
          <w:rFonts w:ascii="Athiti" w:eastAsia="Athiti" w:hAnsi="Athiti" w:cs="Athiti"/>
          <w:b/>
          <w:lang w:val="cs-CZ"/>
        </w:rPr>
      </w:pPr>
      <w:r w:rsidRPr="00397AB4">
        <w:rPr>
          <w:rFonts w:ascii="Athiti" w:eastAsia="Athiti" w:hAnsi="Athiti" w:cs="Athiti"/>
          <w:b/>
          <w:lang w:val="cs-CZ"/>
        </w:rPr>
        <w:t>Měření efektivity:</w:t>
      </w:r>
    </w:p>
    <w:p w:rsidR="000B186D" w:rsidRPr="00397AB4" w:rsidRDefault="000B186D" w:rsidP="000B186D">
      <w:pPr>
        <w:pStyle w:val="normal"/>
        <w:numPr>
          <w:ilvl w:val="0"/>
          <w:numId w:val="26"/>
        </w:numPr>
        <w:spacing w:before="240"/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lang w:val="cs-CZ"/>
        </w:rPr>
        <w:t>Testy a kvízy po školení;</w:t>
      </w:r>
      <w:r w:rsidRPr="00397AB4">
        <w:rPr>
          <w:rFonts w:ascii="Athiti" w:eastAsia="Athiti" w:hAnsi="Athiti" w:cs="Athiti"/>
          <w:lang w:val="cs-CZ"/>
        </w:rPr>
        <w:br/>
      </w:r>
    </w:p>
    <w:p w:rsidR="000B186D" w:rsidRPr="00397AB4" w:rsidRDefault="000B186D" w:rsidP="000B186D">
      <w:pPr>
        <w:pStyle w:val="normal"/>
        <w:numPr>
          <w:ilvl w:val="0"/>
          <w:numId w:val="26"/>
        </w:numPr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lang w:val="cs-CZ"/>
        </w:rPr>
        <w:t>Analýza míry prokliků ve phishingových simulacích a chování při hlášení incidentů;</w:t>
      </w:r>
      <w:r w:rsidRPr="00397AB4">
        <w:rPr>
          <w:rFonts w:ascii="Athiti" w:eastAsia="Athiti" w:hAnsi="Athiti" w:cs="Athiti"/>
          <w:lang w:val="cs-CZ"/>
        </w:rPr>
        <w:br/>
      </w:r>
    </w:p>
    <w:p w:rsidR="000B186D" w:rsidRPr="00397AB4" w:rsidRDefault="000B186D" w:rsidP="000B186D">
      <w:pPr>
        <w:pStyle w:val="normal"/>
        <w:numPr>
          <w:ilvl w:val="0"/>
          <w:numId w:val="26"/>
        </w:numPr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lang w:val="cs-CZ"/>
        </w:rPr>
        <w:t>Metriky přisuzující incidenty chybám nebo neznalosti uživatelů;</w:t>
      </w:r>
      <w:r w:rsidRPr="00397AB4">
        <w:rPr>
          <w:rFonts w:ascii="Athiti" w:eastAsia="Athiti" w:hAnsi="Athiti" w:cs="Athiti"/>
          <w:lang w:val="cs-CZ"/>
        </w:rPr>
        <w:br/>
      </w:r>
    </w:p>
    <w:p w:rsidR="000B186D" w:rsidRPr="00397AB4" w:rsidRDefault="000B186D" w:rsidP="000B186D">
      <w:pPr>
        <w:pStyle w:val="normal"/>
        <w:numPr>
          <w:ilvl w:val="0"/>
          <w:numId w:val="26"/>
        </w:numPr>
        <w:spacing w:after="240"/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lang w:val="cs-CZ"/>
        </w:rPr>
        <w:t>Evidence účasti a statistik dokončených školení.</w:t>
      </w:r>
      <w:r w:rsidRPr="00397AB4">
        <w:rPr>
          <w:rFonts w:ascii="Athiti" w:eastAsia="Athiti" w:hAnsi="Athiti" w:cs="Athiti"/>
          <w:lang w:val="cs-CZ"/>
        </w:rPr>
        <w:br/>
      </w:r>
    </w:p>
    <w:p w:rsidR="000B186D" w:rsidRPr="00397AB4" w:rsidRDefault="000B186D" w:rsidP="000B186D">
      <w:pPr>
        <w:pStyle w:val="normal"/>
        <w:spacing w:before="240" w:after="240"/>
        <w:rPr>
          <w:rFonts w:ascii="Athiti" w:eastAsia="Athiti" w:hAnsi="Athiti" w:cs="Athiti"/>
          <w:lang w:val="cs-CZ"/>
        </w:rPr>
      </w:pPr>
      <w:r w:rsidRPr="00397AB4">
        <w:rPr>
          <w:rFonts w:ascii="Athiti" w:eastAsia="Athiti" w:hAnsi="Athiti" w:cs="Athiti"/>
          <w:lang w:val="cs-CZ"/>
        </w:rPr>
        <w:lastRenderedPageBreak/>
        <w:t xml:space="preserve">Záznamy o školeních jsou uloženy v centrálním </w:t>
      </w:r>
      <w:r w:rsidRPr="00397AB4">
        <w:rPr>
          <w:rFonts w:ascii="Athiti" w:eastAsia="Athiti" w:hAnsi="Athiti" w:cs="Athiti"/>
          <w:b/>
          <w:lang w:val="cs-CZ"/>
        </w:rPr>
        <w:t>systému řízení vzdělávání (LMS)</w:t>
      </w:r>
      <w:r w:rsidRPr="00397AB4">
        <w:rPr>
          <w:rFonts w:ascii="Athiti" w:eastAsia="Athiti" w:hAnsi="Athiti" w:cs="Athiti"/>
          <w:lang w:val="cs-CZ"/>
        </w:rPr>
        <w:t xml:space="preserve"> a celková efektivita programu je čtvrtletně přezkoumávána </w:t>
      </w:r>
      <w:r w:rsidRPr="00397AB4">
        <w:rPr>
          <w:rFonts w:ascii="Athiti" w:eastAsia="Athiti" w:hAnsi="Athiti" w:cs="Athiti"/>
          <w:b/>
          <w:lang w:val="cs-CZ"/>
        </w:rPr>
        <w:t>vedoucím bezpečnosti informací (ISO)</w:t>
      </w:r>
      <w:r w:rsidRPr="00397AB4">
        <w:rPr>
          <w:rFonts w:ascii="Athiti" w:eastAsia="Athiti" w:hAnsi="Athiti" w:cs="Athiti"/>
          <w:lang w:val="cs-CZ"/>
        </w:rPr>
        <w:t xml:space="preserve"> a </w:t>
      </w:r>
      <w:r w:rsidRPr="00397AB4">
        <w:rPr>
          <w:rFonts w:ascii="Athiti" w:eastAsia="Athiti" w:hAnsi="Athiti" w:cs="Athiti"/>
          <w:b/>
          <w:lang w:val="cs-CZ"/>
        </w:rPr>
        <w:t>odpovědnou osobou za compliance</w:t>
      </w:r>
      <w:r w:rsidRPr="00397AB4">
        <w:rPr>
          <w:rFonts w:ascii="Athiti" w:eastAsia="Athiti" w:hAnsi="Athiti" w:cs="Athiti"/>
          <w:lang w:val="cs-CZ"/>
        </w:rPr>
        <w:t>.</w:t>
      </w:r>
    </w:p>
    <w:p w:rsidR="000B186D" w:rsidRPr="00397AB4" w:rsidRDefault="000B186D" w:rsidP="000B186D">
      <w:pPr>
        <w:pStyle w:val="normal"/>
        <w:rPr>
          <w:rFonts w:ascii="Athiti" w:eastAsia="Athiti" w:hAnsi="Athiti" w:cs="Athiti"/>
          <w:lang w:val="cs-CZ"/>
        </w:rPr>
      </w:pPr>
    </w:p>
    <w:p w:rsidR="00570BD6" w:rsidRPr="00397AB4" w:rsidRDefault="00570BD6"/>
    <w:sectPr w:rsidR="00570BD6" w:rsidRPr="00397AB4" w:rsidSect="005A1878"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210C" w:rsidRDefault="00B7210C" w:rsidP="001A1BDD">
      <w:pPr>
        <w:spacing w:line="240" w:lineRule="auto"/>
      </w:pPr>
      <w:r>
        <w:separator/>
      </w:r>
    </w:p>
  </w:endnote>
  <w:endnote w:type="continuationSeparator" w:id="1">
    <w:p w:rsidR="00B7210C" w:rsidRDefault="00B7210C" w:rsidP="001A1BD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hit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1878" w:rsidRDefault="004C79D9">
    <w:pPr>
      <w:pStyle w:val="normal"/>
      <w:jc w:val="right"/>
    </w:pPr>
    <w:r>
      <w:fldChar w:fldCharType="begin"/>
    </w:r>
    <w:r w:rsidR="000B186D">
      <w:instrText>PAGE</w:instrText>
    </w:r>
    <w:r>
      <w:fldChar w:fldCharType="separate"/>
    </w:r>
    <w:r w:rsidR="00E57B91">
      <w:rPr>
        <w:noProof/>
      </w:rPr>
      <w:t>13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210C" w:rsidRDefault="00B7210C" w:rsidP="001A1BDD">
      <w:pPr>
        <w:spacing w:line="240" w:lineRule="auto"/>
      </w:pPr>
      <w:r>
        <w:separator/>
      </w:r>
    </w:p>
  </w:footnote>
  <w:footnote w:type="continuationSeparator" w:id="1">
    <w:p w:rsidR="00B7210C" w:rsidRDefault="00B7210C" w:rsidP="001A1BD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93F3D"/>
    <w:multiLevelType w:val="multilevel"/>
    <w:tmpl w:val="B54A74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0BF723D8"/>
    <w:multiLevelType w:val="multilevel"/>
    <w:tmpl w:val="76C4D3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11F518FF"/>
    <w:multiLevelType w:val="multilevel"/>
    <w:tmpl w:val="2332A8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14041391"/>
    <w:multiLevelType w:val="multilevel"/>
    <w:tmpl w:val="9BF23D5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15AF1B1F"/>
    <w:multiLevelType w:val="multilevel"/>
    <w:tmpl w:val="500C3C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1BC46AF8"/>
    <w:multiLevelType w:val="multilevel"/>
    <w:tmpl w:val="037282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1E443C60"/>
    <w:multiLevelType w:val="multilevel"/>
    <w:tmpl w:val="FFB095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204A6EF2"/>
    <w:multiLevelType w:val="multilevel"/>
    <w:tmpl w:val="1A966E4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nsid w:val="26E1411D"/>
    <w:multiLevelType w:val="multilevel"/>
    <w:tmpl w:val="6470BB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nsid w:val="30A445CF"/>
    <w:multiLevelType w:val="multilevel"/>
    <w:tmpl w:val="ADA8AA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nsid w:val="30B605A5"/>
    <w:multiLevelType w:val="multilevel"/>
    <w:tmpl w:val="748CA5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nsid w:val="328C7024"/>
    <w:multiLevelType w:val="multilevel"/>
    <w:tmpl w:val="B1B4DF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nsid w:val="3FE32EB9"/>
    <w:multiLevelType w:val="multilevel"/>
    <w:tmpl w:val="31BE8E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nsid w:val="3FEF674A"/>
    <w:multiLevelType w:val="multilevel"/>
    <w:tmpl w:val="BF6C16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nsid w:val="4C866BE3"/>
    <w:multiLevelType w:val="multilevel"/>
    <w:tmpl w:val="6AEC45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nsid w:val="4DC70041"/>
    <w:multiLevelType w:val="multilevel"/>
    <w:tmpl w:val="F2461A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nsid w:val="503A0D16"/>
    <w:multiLevelType w:val="multilevel"/>
    <w:tmpl w:val="58A887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nsid w:val="50673FA4"/>
    <w:multiLevelType w:val="multilevel"/>
    <w:tmpl w:val="7A1CFA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nsid w:val="513639EB"/>
    <w:multiLevelType w:val="multilevel"/>
    <w:tmpl w:val="769E0B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nsid w:val="54DC4B63"/>
    <w:multiLevelType w:val="multilevel"/>
    <w:tmpl w:val="AE6251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nsid w:val="5CD778CC"/>
    <w:multiLevelType w:val="multilevel"/>
    <w:tmpl w:val="EA2E6C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nsid w:val="637555B9"/>
    <w:multiLevelType w:val="multilevel"/>
    <w:tmpl w:val="A1828C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>
    <w:nsid w:val="67DE0B11"/>
    <w:multiLevelType w:val="multilevel"/>
    <w:tmpl w:val="6BCC03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>
    <w:nsid w:val="73637C38"/>
    <w:multiLevelType w:val="multilevel"/>
    <w:tmpl w:val="72C0CB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>
    <w:nsid w:val="75C422E3"/>
    <w:multiLevelType w:val="multilevel"/>
    <w:tmpl w:val="4860F0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>
    <w:nsid w:val="75C973FB"/>
    <w:multiLevelType w:val="multilevel"/>
    <w:tmpl w:val="45D690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>
    <w:nsid w:val="7B3C0EEC"/>
    <w:multiLevelType w:val="multilevel"/>
    <w:tmpl w:val="3D4865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>
    <w:nsid w:val="7B4B3EF2"/>
    <w:multiLevelType w:val="multilevel"/>
    <w:tmpl w:val="33CA38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3"/>
  </w:num>
  <w:num w:numId="2">
    <w:abstractNumId w:val="6"/>
  </w:num>
  <w:num w:numId="3">
    <w:abstractNumId w:val="1"/>
  </w:num>
  <w:num w:numId="4">
    <w:abstractNumId w:val="10"/>
  </w:num>
  <w:num w:numId="5">
    <w:abstractNumId w:val="13"/>
  </w:num>
  <w:num w:numId="6">
    <w:abstractNumId w:val="11"/>
  </w:num>
  <w:num w:numId="7">
    <w:abstractNumId w:val="5"/>
  </w:num>
  <w:num w:numId="8">
    <w:abstractNumId w:val="18"/>
  </w:num>
  <w:num w:numId="9">
    <w:abstractNumId w:val="8"/>
  </w:num>
  <w:num w:numId="10">
    <w:abstractNumId w:val="26"/>
  </w:num>
  <w:num w:numId="11">
    <w:abstractNumId w:val="7"/>
  </w:num>
  <w:num w:numId="12">
    <w:abstractNumId w:val="9"/>
  </w:num>
  <w:num w:numId="13">
    <w:abstractNumId w:val="17"/>
  </w:num>
  <w:num w:numId="14">
    <w:abstractNumId w:val="15"/>
  </w:num>
  <w:num w:numId="15">
    <w:abstractNumId w:val="24"/>
  </w:num>
  <w:num w:numId="16">
    <w:abstractNumId w:val="22"/>
  </w:num>
  <w:num w:numId="17">
    <w:abstractNumId w:val="0"/>
  </w:num>
  <w:num w:numId="18">
    <w:abstractNumId w:val="4"/>
  </w:num>
  <w:num w:numId="19">
    <w:abstractNumId w:val="12"/>
  </w:num>
  <w:num w:numId="20">
    <w:abstractNumId w:val="14"/>
  </w:num>
  <w:num w:numId="21">
    <w:abstractNumId w:val="19"/>
  </w:num>
  <w:num w:numId="22">
    <w:abstractNumId w:val="25"/>
  </w:num>
  <w:num w:numId="23">
    <w:abstractNumId w:val="21"/>
  </w:num>
  <w:num w:numId="24">
    <w:abstractNumId w:val="27"/>
  </w:num>
  <w:num w:numId="25">
    <w:abstractNumId w:val="2"/>
  </w:num>
  <w:num w:numId="26">
    <w:abstractNumId w:val="3"/>
  </w:num>
  <w:num w:numId="27">
    <w:abstractNumId w:val="16"/>
  </w:num>
  <w:num w:numId="28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B186D"/>
    <w:rsid w:val="000B186D"/>
    <w:rsid w:val="001A1BDD"/>
    <w:rsid w:val="00397AB4"/>
    <w:rsid w:val="003C603E"/>
    <w:rsid w:val="004C79D9"/>
    <w:rsid w:val="00570BD6"/>
    <w:rsid w:val="00906C87"/>
    <w:rsid w:val="00A86A1D"/>
    <w:rsid w:val="00B374FD"/>
    <w:rsid w:val="00B7210C"/>
    <w:rsid w:val="00E57B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B186D"/>
    <w:pPr>
      <w:spacing w:after="0"/>
    </w:pPr>
    <w:rPr>
      <w:rFonts w:ascii="Arial" w:eastAsia="Arial" w:hAnsi="Arial" w:cs="Arial"/>
      <w:lang w:val="cs-CZ"/>
    </w:rPr>
  </w:style>
  <w:style w:type="paragraph" w:styleId="Nadpis1">
    <w:name w:val="heading 1"/>
    <w:basedOn w:val="normal"/>
    <w:next w:val="normal"/>
    <w:link w:val="Nadpis1Char"/>
    <w:rsid w:val="000B186D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4">
    <w:name w:val="heading 4"/>
    <w:basedOn w:val="normal"/>
    <w:next w:val="normal"/>
    <w:link w:val="Nadpis4Char"/>
    <w:rsid w:val="000B186D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B186D"/>
    <w:rPr>
      <w:rFonts w:ascii="Arial" w:eastAsia="Arial" w:hAnsi="Arial" w:cs="Arial"/>
      <w:sz w:val="40"/>
      <w:szCs w:val="40"/>
    </w:rPr>
  </w:style>
  <w:style w:type="character" w:customStyle="1" w:styleId="Nadpis4Char">
    <w:name w:val="Nadpis 4 Char"/>
    <w:basedOn w:val="Standardnpsmoodstavce"/>
    <w:link w:val="Nadpis4"/>
    <w:rsid w:val="000B186D"/>
    <w:rPr>
      <w:rFonts w:ascii="Arial" w:eastAsia="Arial" w:hAnsi="Arial" w:cs="Arial"/>
      <w:color w:val="666666"/>
      <w:sz w:val="24"/>
      <w:szCs w:val="24"/>
    </w:rPr>
  </w:style>
  <w:style w:type="paragraph" w:customStyle="1" w:styleId="normal">
    <w:name w:val="normal"/>
    <w:rsid w:val="000B186D"/>
    <w:pPr>
      <w:spacing w:after="0"/>
    </w:pPr>
    <w:rPr>
      <w:rFonts w:ascii="Arial" w:eastAsia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</Pages>
  <Words>2817</Words>
  <Characters>16057</Characters>
  <Application>Microsoft Office Word</Application>
  <DocSecurity>0</DocSecurity>
  <Lines>133</Lines>
  <Paragraphs>37</Paragraphs>
  <ScaleCrop>false</ScaleCrop>
  <Company/>
  <LinksUpToDate>false</LinksUpToDate>
  <CharactersWithSpaces>18837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Zman Kesef</dc:creator>
  <cp:lastModifiedBy>Zman Kesef</cp:lastModifiedBy>
  <cp:revision>4</cp:revision>
  <dcterms:created xsi:type="dcterms:W3CDTF">2025-07-24T23:05:00Z</dcterms:created>
  <dcterms:modified xsi:type="dcterms:W3CDTF">2025-07-30T00:13:00Z</dcterms:modified>
</cp:coreProperties>
</file>