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88"/>
      </w:tblGrid>
      <w:tr w:rsidR="00766C3E" w:rsidRPr="004A470F" w:rsidTr="00DC1C05">
        <w:trPr>
          <w:cantSplit/>
          <w:trHeight w:val="4427"/>
          <w:tblHeader/>
        </w:trPr>
        <w:tc>
          <w:tcPr>
            <w:tcW w:w="9288" w:type="dxa"/>
            <w:tcBorders>
              <w:top w:val="nil"/>
              <w:left w:val="nil"/>
              <w:bottom w:val="nil"/>
              <w:right w:val="nil"/>
            </w:tcBorders>
          </w:tcPr>
          <w:p w:rsidR="00766C3E" w:rsidRPr="004A470F" w:rsidRDefault="00766C3E" w:rsidP="00666BB6">
            <w:pPr>
              <w:suppressAutoHyphens w:val="0"/>
              <w:spacing w:after="200" w:line="276" w:lineRule="auto"/>
              <w:ind w:leftChars="0" w:left="0" w:firstLineChars="0" w:firstLine="0"/>
              <w:textDirection w:val="lrTb"/>
              <w:textAlignment w:val="auto"/>
              <w:outlineLvl w:val="9"/>
              <w:rPr>
                <w:rFonts w:ascii="Athiti" w:eastAsia="Athiti" w:hAnsi="Athiti" w:cs="Athiti"/>
              </w:rPr>
            </w:pPr>
          </w:p>
        </w:tc>
      </w:tr>
      <w:tr w:rsidR="00766C3E" w:rsidRPr="004A470F" w:rsidTr="00DC1C05">
        <w:trPr>
          <w:cantSplit/>
          <w:trHeight w:val="1805"/>
          <w:tblHeader/>
        </w:trPr>
        <w:tc>
          <w:tcPr>
            <w:tcW w:w="9288" w:type="dxa"/>
            <w:tcBorders>
              <w:top w:val="nil"/>
              <w:left w:val="nil"/>
              <w:bottom w:val="nil"/>
              <w:right w:val="nil"/>
            </w:tcBorders>
          </w:tcPr>
          <w:p w:rsidR="00766C3E" w:rsidRPr="004A470F" w:rsidRDefault="00766C3E" w:rsidP="00DC1C05">
            <w:pPr>
              <w:pStyle w:val="normal"/>
              <w:pBdr>
                <w:top w:val="nil"/>
                <w:left w:val="nil"/>
                <w:bottom w:val="nil"/>
                <w:right w:val="nil"/>
                <w:between w:val="nil"/>
              </w:pBdr>
              <w:spacing w:after="180"/>
              <w:ind w:left="3" w:hanging="5"/>
              <w:jc w:val="center"/>
              <w:rPr>
                <w:rFonts w:ascii="Athiti" w:eastAsia="Athiti" w:hAnsi="Athiti" w:cs="Athiti"/>
                <w:b/>
                <w:color w:val="000000"/>
                <w:sz w:val="52"/>
                <w:szCs w:val="52"/>
                <w:lang w:val="cs-CZ"/>
              </w:rPr>
            </w:pPr>
            <w:r w:rsidRPr="004A470F">
              <w:rPr>
                <w:rFonts w:ascii="Athiti" w:eastAsia="Athiti" w:hAnsi="Athiti" w:cs="Athiti"/>
                <w:b/>
                <w:color w:val="000000"/>
                <w:sz w:val="52"/>
                <w:szCs w:val="52"/>
                <w:lang w:val="cs-CZ"/>
              </w:rPr>
              <w:t>Písemné posouzení rizik legalizace výnosů z trestné činnosti a financování terorismu</w:t>
            </w:r>
          </w:p>
          <w:p w:rsidR="00766C3E" w:rsidRPr="004A470F" w:rsidRDefault="00766C3E" w:rsidP="00DC1C05">
            <w:pPr>
              <w:pStyle w:val="normal"/>
              <w:pBdr>
                <w:top w:val="nil"/>
                <w:left w:val="nil"/>
                <w:bottom w:val="nil"/>
                <w:right w:val="nil"/>
                <w:between w:val="nil"/>
              </w:pBdr>
              <w:spacing w:after="180"/>
              <w:ind w:left="2" w:hanging="4"/>
              <w:jc w:val="center"/>
              <w:rPr>
                <w:rFonts w:ascii="Athiti" w:eastAsia="Athiti" w:hAnsi="Athiti" w:cs="Athiti"/>
                <w:color w:val="000000"/>
                <w:sz w:val="36"/>
                <w:szCs w:val="36"/>
                <w:lang w:val="cs-CZ"/>
              </w:rPr>
            </w:pPr>
            <w:r w:rsidRPr="004A470F">
              <w:rPr>
                <w:rFonts w:ascii="Athiti" w:eastAsia="Athiti" w:hAnsi="Athiti" w:cs="Athiti"/>
                <w:color w:val="000000"/>
                <w:sz w:val="36"/>
                <w:szCs w:val="36"/>
                <w:lang w:val="cs-CZ"/>
              </w:rPr>
              <w:t>(podle § 21a AML zákona)</w:t>
            </w:r>
          </w:p>
          <w:p w:rsidR="00766C3E" w:rsidRPr="004A470F" w:rsidRDefault="00766C3E" w:rsidP="00DC1C05">
            <w:pPr>
              <w:pStyle w:val="normal"/>
              <w:pBdr>
                <w:top w:val="nil"/>
                <w:left w:val="nil"/>
                <w:bottom w:val="nil"/>
                <w:right w:val="nil"/>
                <w:between w:val="nil"/>
              </w:pBdr>
              <w:spacing w:after="180"/>
              <w:ind w:left="4" w:hanging="6"/>
              <w:jc w:val="center"/>
              <w:rPr>
                <w:rFonts w:ascii="Athiti" w:eastAsia="Athiti" w:hAnsi="Athiti" w:cs="Athiti"/>
                <w:color w:val="000000"/>
                <w:sz w:val="60"/>
                <w:szCs w:val="60"/>
                <w:lang w:val="cs-CZ"/>
              </w:rPr>
            </w:pPr>
          </w:p>
        </w:tc>
      </w:tr>
    </w:tbl>
    <w:p w:rsidR="00766C3E" w:rsidRPr="004A470F" w:rsidRDefault="00766C3E" w:rsidP="00766C3E">
      <w:pPr>
        <w:pStyle w:val="normal"/>
        <w:spacing w:after="0" w:line="240" w:lineRule="auto"/>
        <w:rPr>
          <w:rFonts w:ascii="Athiti" w:eastAsia="Athiti" w:hAnsi="Athiti" w:cs="Athiti"/>
          <w:color w:val="000000"/>
          <w:lang w:val="cs-CZ"/>
        </w:rPr>
      </w:pPr>
    </w:p>
    <w:p w:rsidR="00766C3E" w:rsidRPr="004A470F" w:rsidRDefault="00766C3E" w:rsidP="00766C3E">
      <w:pPr>
        <w:pStyle w:val="normal"/>
        <w:spacing w:after="0" w:line="240" w:lineRule="auto"/>
        <w:jc w:val="center"/>
        <w:rPr>
          <w:rFonts w:ascii="Athiti" w:eastAsia="Athiti" w:hAnsi="Athiti" w:cs="Athiti"/>
          <w:color w:val="000000"/>
          <w:lang w:val="cs-CZ"/>
        </w:rPr>
      </w:pPr>
    </w:p>
    <w:p w:rsidR="00766C3E" w:rsidRPr="004A470F" w:rsidRDefault="00766C3E" w:rsidP="00766C3E">
      <w:pPr>
        <w:pStyle w:val="normal"/>
        <w:spacing w:after="0" w:line="240" w:lineRule="auto"/>
        <w:jc w:val="center"/>
        <w:rPr>
          <w:rFonts w:ascii="Athiti" w:eastAsia="Athiti" w:hAnsi="Athiti" w:cs="Athiti"/>
          <w:color w:val="000000"/>
          <w:lang w:val="cs-CZ"/>
        </w:rPr>
      </w:pPr>
    </w:p>
    <w:p w:rsidR="00766C3E" w:rsidRPr="004A470F" w:rsidRDefault="00766C3E" w:rsidP="00766C3E">
      <w:pPr>
        <w:pStyle w:val="normal"/>
        <w:spacing w:after="0" w:line="240" w:lineRule="auto"/>
        <w:jc w:val="center"/>
        <w:rPr>
          <w:rFonts w:ascii="Athiti" w:eastAsia="Athiti" w:hAnsi="Athiti" w:cs="Athiti"/>
          <w:color w:val="000000"/>
          <w:lang w:val="cs-CZ"/>
        </w:rPr>
      </w:pPr>
    </w:p>
    <w:p w:rsidR="00766C3E" w:rsidRPr="004A470F" w:rsidRDefault="00766C3E" w:rsidP="00766C3E">
      <w:pPr>
        <w:pStyle w:val="normal"/>
        <w:spacing w:after="0" w:line="240" w:lineRule="auto"/>
        <w:jc w:val="center"/>
        <w:rPr>
          <w:rFonts w:ascii="Athiti" w:eastAsia="Athiti" w:hAnsi="Athiti" w:cs="Athiti"/>
          <w:color w:val="000000"/>
          <w:lang w:val="cs-CZ"/>
        </w:rPr>
      </w:pPr>
    </w:p>
    <w:p w:rsidR="00766C3E" w:rsidRPr="004A470F" w:rsidRDefault="00766C3E" w:rsidP="00766C3E">
      <w:pPr>
        <w:pStyle w:val="normal"/>
        <w:spacing w:after="0" w:line="240" w:lineRule="auto"/>
        <w:jc w:val="center"/>
        <w:rPr>
          <w:rFonts w:ascii="Athiti" w:eastAsia="Athiti" w:hAnsi="Athiti" w:cs="Athiti"/>
          <w:color w:val="000000"/>
          <w:sz w:val="36"/>
          <w:szCs w:val="36"/>
          <w:lang w:val="cs-CZ"/>
        </w:rPr>
      </w:pPr>
    </w:p>
    <w:p w:rsidR="00766C3E" w:rsidRPr="004A470F" w:rsidRDefault="00766C3E" w:rsidP="00766C3E">
      <w:pPr>
        <w:pStyle w:val="normal"/>
        <w:spacing w:after="0" w:line="240" w:lineRule="auto"/>
        <w:jc w:val="center"/>
        <w:rPr>
          <w:rFonts w:ascii="Athiti" w:eastAsia="Athiti" w:hAnsi="Athiti" w:cs="Athiti"/>
          <w:sz w:val="32"/>
          <w:szCs w:val="32"/>
          <w:lang w:val="cs-CZ"/>
        </w:rPr>
      </w:pPr>
      <w:r w:rsidRPr="004A470F">
        <w:rPr>
          <w:rFonts w:ascii="Athiti" w:eastAsia="Athiti" w:hAnsi="Athiti" w:cs="Athiti"/>
          <w:color w:val="000000"/>
          <w:sz w:val="32"/>
          <w:szCs w:val="32"/>
          <w:lang w:val="cs-CZ"/>
        </w:rPr>
        <w:t>Praha 202</w:t>
      </w:r>
      <w:r w:rsidRPr="004A470F">
        <w:rPr>
          <w:rFonts w:ascii="Athiti" w:eastAsia="Athiti" w:hAnsi="Athiti" w:cs="Athiti"/>
          <w:sz w:val="32"/>
          <w:szCs w:val="32"/>
          <w:lang w:val="cs-CZ"/>
        </w:rPr>
        <w:t>5</w:t>
      </w:r>
    </w:p>
    <w:p w:rsidR="00666BB6" w:rsidRPr="004A470F" w:rsidRDefault="00666BB6" w:rsidP="00766C3E">
      <w:pPr>
        <w:pStyle w:val="normal"/>
        <w:spacing w:after="0" w:line="240" w:lineRule="auto"/>
        <w:jc w:val="center"/>
        <w:rPr>
          <w:rFonts w:ascii="Athiti" w:eastAsia="Athiti" w:hAnsi="Athiti" w:cs="Athiti"/>
          <w:sz w:val="32"/>
          <w:szCs w:val="32"/>
          <w:lang w:val="cs-CZ"/>
        </w:rPr>
      </w:pPr>
    </w:p>
    <w:p w:rsidR="00666BB6" w:rsidRPr="004A470F" w:rsidRDefault="00666BB6" w:rsidP="00766C3E">
      <w:pPr>
        <w:pStyle w:val="normal"/>
        <w:spacing w:after="0" w:line="240" w:lineRule="auto"/>
        <w:jc w:val="center"/>
        <w:rPr>
          <w:rFonts w:ascii="Athiti" w:eastAsia="Athiti" w:hAnsi="Athiti" w:cs="Athiti"/>
          <w:sz w:val="32"/>
          <w:szCs w:val="32"/>
          <w:lang w:val="cs-CZ"/>
        </w:rPr>
      </w:pPr>
    </w:p>
    <w:p w:rsidR="00666BB6" w:rsidRPr="004A470F" w:rsidRDefault="00666BB6" w:rsidP="00766C3E">
      <w:pPr>
        <w:pStyle w:val="normal"/>
        <w:spacing w:after="0" w:line="240" w:lineRule="auto"/>
        <w:jc w:val="center"/>
        <w:rPr>
          <w:rFonts w:ascii="Athiti" w:eastAsia="Athiti" w:hAnsi="Athiti" w:cs="Athiti"/>
          <w:sz w:val="32"/>
          <w:szCs w:val="32"/>
          <w:lang w:val="cs-CZ"/>
        </w:rPr>
      </w:pPr>
    </w:p>
    <w:p w:rsidR="00666BB6" w:rsidRPr="004A470F" w:rsidRDefault="00666BB6" w:rsidP="00766C3E">
      <w:pPr>
        <w:pStyle w:val="normal"/>
        <w:spacing w:after="0" w:line="240" w:lineRule="auto"/>
        <w:jc w:val="center"/>
        <w:rPr>
          <w:rFonts w:ascii="Athiti" w:eastAsia="Athiti" w:hAnsi="Athiti" w:cs="Athiti"/>
          <w:sz w:val="32"/>
          <w:szCs w:val="32"/>
          <w:lang w:val="cs-CZ"/>
        </w:rPr>
      </w:pPr>
    </w:p>
    <w:p w:rsidR="00666BB6" w:rsidRPr="004A470F" w:rsidRDefault="00666BB6" w:rsidP="00766C3E">
      <w:pPr>
        <w:pStyle w:val="normal"/>
        <w:spacing w:after="0" w:line="240" w:lineRule="auto"/>
        <w:jc w:val="center"/>
        <w:rPr>
          <w:rFonts w:ascii="Athiti" w:eastAsia="Athiti" w:hAnsi="Athiti" w:cs="Athiti"/>
          <w:sz w:val="32"/>
          <w:szCs w:val="32"/>
          <w:lang w:val="cs-CZ"/>
        </w:rPr>
      </w:pPr>
    </w:p>
    <w:p w:rsidR="00666BB6" w:rsidRPr="004A470F" w:rsidRDefault="00666BB6" w:rsidP="00766C3E">
      <w:pPr>
        <w:pStyle w:val="normal"/>
        <w:spacing w:after="0" w:line="240" w:lineRule="auto"/>
        <w:jc w:val="center"/>
        <w:rPr>
          <w:rFonts w:ascii="Athiti" w:eastAsia="Athiti" w:hAnsi="Athiti" w:cs="Athiti"/>
          <w:sz w:val="32"/>
          <w:szCs w:val="32"/>
          <w:lang w:val="cs-CZ"/>
        </w:rPr>
      </w:pPr>
    </w:p>
    <w:p w:rsidR="00666BB6" w:rsidRPr="004A470F" w:rsidRDefault="00666BB6" w:rsidP="00766C3E">
      <w:pPr>
        <w:pStyle w:val="normal"/>
        <w:spacing w:after="0" w:line="240" w:lineRule="auto"/>
        <w:jc w:val="center"/>
        <w:rPr>
          <w:rFonts w:ascii="Athiti" w:eastAsia="Athiti" w:hAnsi="Athiti" w:cs="Athiti"/>
          <w:sz w:val="32"/>
          <w:szCs w:val="32"/>
          <w:lang w:val="cs-CZ"/>
        </w:rPr>
      </w:pPr>
    </w:p>
    <w:p w:rsidR="00666BB6" w:rsidRPr="004A470F" w:rsidRDefault="00666BB6" w:rsidP="00766C3E">
      <w:pPr>
        <w:pStyle w:val="normal"/>
        <w:spacing w:after="0" w:line="240" w:lineRule="auto"/>
        <w:jc w:val="center"/>
        <w:rPr>
          <w:rFonts w:ascii="Athiti" w:eastAsia="Athiti" w:hAnsi="Athiti" w:cs="Athiti"/>
          <w:sz w:val="32"/>
          <w:szCs w:val="32"/>
          <w:lang w:val="cs-CZ"/>
        </w:rPr>
      </w:pPr>
    </w:p>
    <w:p w:rsidR="00666BB6" w:rsidRPr="004A470F" w:rsidRDefault="00666BB6" w:rsidP="00766C3E">
      <w:pPr>
        <w:pStyle w:val="normal"/>
        <w:spacing w:after="0" w:line="240" w:lineRule="auto"/>
        <w:jc w:val="center"/>
        <w:rPr>
          <w:rFonts w:ascii="Athiti" w:eastAsia="Athiti" w:hAnsi="Athiti" w:cs="Athiti"/>
          <w:color w:val="000000"/>
          <w:sz w:val="32"/>
          <w:szCs w:val="32"/>
          <w:lang w:val="cs-CZ"/>
        </w:rPr>
      </w:pPr>
    </w:p>
    <w:p w:rsidR="00766C3E" w:rsidRPr="004A470F" w:rsidRDefault="00766C3E" w:rsidP="00766C3E">
      <w:pPr>
        <w:pStyle w:val="normal"/>
        <w:spacing w:after="0" w:line="240" w:lineRule="auto"/>
        <w:jc w:val="both"/>
        <w:rPr>
          <w:rFonts w:ascii="Athiti" w:eastAsia="Athiti" w:hAnsi="Athiti" w:cs="Athiti"/>
          <w:color w:val="000000"/>
          <w:sz w:val="24"/>
          <w:szCs w:val="24"/>
          <w:lang w:val="cs-CZ"/>
        </w:rPr>
      </w:pPr>
    </w:p>
    <w:p w:rsidR="00766C3E" w:rsidRPr="004A470F" w:rsidRDefault="00766C3E" w:rsidP="00766C3E">
      <w:pPr>
        <w:pStyle w:val="normal"/>
        <w:spacing w:after="0" w:line="240" w:lineRule="auto"/>
        <w:jc w:val="center"/>
        <w:rPr>
          <w:rFonts w:ascii="Athiti" w:eastAsia="Athiti" w:hAnsi="Athiti" w:cs="Athiti"/>
          <w:color w:val="000000"/>
          <w:sz w:val="24"/>
          <w:szCs w:val="24"/>
          <w:lang w:val="cs-CZ"/>
        </w:rPr>
      </w:pPr>
      <w:r w:rsidRPr="004A470F">
        <w:rPr>
          <w:rFonts w:ascii="Athiti" w:eastAsia="Athiti" w:hAnsi="Athiti" w:cs="Athiti"/>
          <w:color w:val="000000"/>
          <w:sz w:val="24"/>
          <w:szCs w:val="24"/>
          <w:lang w:val="cs-CZ"/>
        </w:rPr>
        <w:lastRenderedPageBreak/>
        <w:t>Obsah</w:t>
      </w:r>
    </w:p>
    <w:sdt>
      <w:sdtPr>
        <w:rPr>
          <w:position w:val="0"/>
          <w:lang w:val="en-US"/>
        </w:rPr>
        <w:id w:val="165779079"/>
        <w:docPartObj>
          <w:docPartGallery w:val="Table of Contents"/>
          <w:docPartUnique/>
        </w:docPartObj>
      </w:sdtPr>
      <w:sdtContent>
        <w:p w:rsidR="004A470F" w:rsidRPr="004A470F" w:rsidRDefault="00876F0E" w:rsidP="004A470F">
          <w:pPr>
            <w:pStyle w:val="Obsah1"/>
            <w:tabs>
              <w:tab w:val="right" w:pos="9062"/>
            </w:tabs>
            <w:ind w:hanging="2"/>
          </w:pPr>
          <w:r w:rsidRPr="00876F0E">
            <w:fldChar w:fldCharType="begin"/>
          </w:r>
          <w:r w:rsidR="00766C3E" w:rsidRPr="004A470F">
            <w:instrText xml:space="preserve"> TOC \h \u \z \t "Heading 1,1,Heading 2,2,Heading 3,3,"</w:instrText>
          </w:r>
          <w:r w:rsidRPr="00876F0E">
            <w:fldChar w:fldCharType="separate"/>
          </w:r>
          <w:hyperlink w:anchor="_Toc204266946" w:history="1">
            <w:r w:rsidR="004A470F" w:rsidRPr="004A470F">
              <w:rPr>
                <w:rStyle w:val="Hypertextovodkaz"/>
                <w:rFonts w:ascii="Athiti" w:eastAsia="Athiti" w:hAnsi="Athiti" w:cs="Athiti"/>
                <w:b/>
              </w:rPr>
              <w:t>1. Úvod</w:t>
            </w:r>
            <w:r w:rsidR="004A470F" w:rsidRPr="004A470F">
              <w:rPr>
                <w:webHidden/>
              </w:rPr>
              <w:tab/>
            </w:r>
            <w:r w:rsidRPr="004A470F">
              <w:rPr>
                <w:webHidden/>
              </w:rPr>
              <w:fldChar w:fldCharType="begin"/>
            </w:r>
            <w:r w:rsidR="004A470F" w:rsidRPr="004A470F">
              <w:rPr>
                <w:webHidden/>
              </w:rPr>
              <w:instrText xml:space="preserve"> PAGEREF _Toc204266946 \h </w:instrText>
            </w:r>
            <w:r w:rsidRPr="004A470F">
              <w:rPr>
                <w:webHidden/>
              </w:rPr>
            </w:r>
            <w:r w:rsidRPr="004A470F">
              <w:rPr>
                <w:webHidden/>
              </w:rPr>
              <w:fldChar w:fldCharType="separate"/>
            </w:r>
            <w:r w:rsidR="004A470F" w:rsidRPr="004A470F">
              <w:rPr>
                <w:webHidden/>
              </w:rPr>
              <w:t>2</w:t>
            </w:r>
            <w:r w:rsidRPr="004A470F">
              <w:rPr>
                <w:webHidden/>
              </w:rPr>
              <w:fldChar w:fldCharType="end"/>
            </w:r>
          </w:hyperlink>
        </w:p>
        <w:p w:rsidR="004A470F" w:rsidRPr="004A470F" w:rsidRDefault="00876F0E" w:rsidP="004A470F">
          <w:pPr>
            <w:pStyle w:val="Obsah1"/>
            <w:tabs>
              <w:tab w:val="right" w:pos="9062"/>
            </w:tabs>
            <w:ind w:hanging="2"/>
          </w:pPr>
          <w:hyperlink w:anchor="_Toc204266947" w:history="1">
            <w:r w:rsidR="004A470F" w:rsidRPr="004A470F">
              <w:rPr>
                <w:rStyle w:val="Hypertextovodkaz"/>
                <w:rFonts w:ascii="Athiti" w:eastAsia="Athiti" w:hAnsi="Athiti" w:cs="Athiti"/>
                <w:b/>
              </w:rPr>
              <w:t>2. Právní zdroje</w:t>
            </w:r>
            <w:r w:rsidR="004A470F" w:rsidRPr="004A470F">
              <w:rPr>
                <w:webHidden/>
              </w:rPr>
              <w:tab/>
            </w:r>
            <w:r w:rsidRPr="004A470F">
              <w:rPr>
                <w:webHidden/>
              </w:rPr>
              <w:fldChar w:fldCharType="begin"/>
            </w:r>
            <w:r w:rsidR="004A470F" w:rsidRPr="004A470F">
              <w:rPr>
                <w:webHidden/>
              </w:rPr>
              <w:instrText xml:space="preserve"> PAGEREF _Toc204266947 \h </w:instrText>
            </w:r>
            <w:r w:rsidRPr="004A470F">
              <w:rPr>
                <w:webHidden/>
              </w:rPr>
            </w:r>
            <w:r w:rsidRPr="004A470F">
              <w:rPr>
                <w:webHidden/>
              </w:rPr>
              <w:fldChar w:fldCharType="separate"/>
            </w:r>
            <w:r w:rsidR="004A470F" w:rsidRPr="004A470F">
              <w:rPr>
                <w:webHidden/>
              </w:rPr>
              <w:t>2</w:t>
            </w:r>
            <w:r w:rsidRPr="004A470F">
              <w:rPr>
                <w:webHidden/>
              </w:rPr>
              <w:fldChar w:fldCharType="end"/>
            </w:r>
          </w:hyperlink>
        </w:p>
        <w:p w:rsidR="004A470F" w:rsidRPr="004A470F" w:rsidRDefault="00876F0E" w:rsidP="004A470F">
          <w:pPr>
            <w:pStyle w:val="Obsah1"/>
            <w:tabs>
              <w:tab w:val="right" w:pos="9062"/>
            </w:tabs>
            <w:ind w:hanging="2"/>
          </w:pPr>
          <w:hyperlink w:anchor="_Toc204266948" w:history="1">
            <w:r w:rsidR="004A470F" w:rsidRPr="004A470F">
              <w:rPr>
                <w:rStyle w:val="Hypertextovodkaz"/>
                <w:rFonts w:ascii="Athiti" w:eastAsia="Athiti" w:hAnsi="Athiti" w:cs="Athiti"/>
                <w:b/>
              </w:rPr>
              <w:t>3. Povaha, velikost a složitost podnikání</w:t>
            </w:r>
            <w:r w:rsidR="004A470F" w:rsidRPr="004A470F">
              <w:rPr>
                <w:webHidden/>
              </w:rPr>
              <w:tab/>
            </w:r>
            <w:r w:rsidRPr="004A470F">
              <w:rPr>
                <w:webHidden/>
              </w:rPr>
              <w:fldChar w:fldCharType="begin"/>
            </w:r>
            <w:r w:rsidR="004A470F" w:rsidRPr="004A470F">
              <w:rPr>
                <w:webHidden/>
              </w:rPr>
              <w:instrText xml:space="preserve"> PAGEREF _Toc204266948 \h </w:instrText>
            </w:r>
            <w:r w:rsidRPr="004A470F">
              <w:rPr>
                <w:webHidden/>
              </w:rPr>
            </w:r>
            <w:r w:rsidRPr="004A470F">
              <w:rPr>
                <w:webHidden/>
              </w:rPr>
              <w:fldChar w:fldCharType="separate"/>
            </w:r>
            <w:r w:rsidR="004A470F" w:rsidRPr="004A470F">
              <w:rPr>
                <w:webHidden/>
              </w:rPr>
              <w:t>2</w:t>
            </w:r>
            <w:r w:rsidRPr="004A470F">
              <w:rPr>
                <w:webHidden/>
              </w:rPr>
              <w:fldChar w:fldCharType="end"/>
            </w:r>
          </w:hyperlink>
        </w:p>
        <w:p w:rsidR="004A470F" w:rsidRPr="004A470F" w:rsidRDefault="00876F0E" w:rsidP="004A470F">
          <w:pPr>
            <w:pStyle w:val="Obsah2"/>
            <w:tabs>
              <w:tab w:val="right" w:pos="9062"/>
            </w:tabs>
            <w:ind w:left="0" w:hanging="2"/>
          </w:pPr>
          <w:hyperlink w:anchor="_Toc204266949" w:history="1">
            <w:r w:rsidR="004A470F" w:rsidRPr="004A470F">
              <w:rPr>
                <w:rStyle w:val="Hypertextovodkaz"/>
                <w:rFonts w:ascii="Athiti" w:eastAsia="Athiti" w:hAnsi="Athiti" w:cs="Athiti"/>
              </w:rPr>
              <w:t>3.1 Povaha podnikání</w:t>
            </w:r>
            <w:r w:rsidR="004A470F" w:rsidRPr="004A470F">
              <w:rPr>
                <w:webHidden/>
              </w:rPr>
              <w:tab/>
            </w:r>
            <w:r w:rsidRPr="004A470F">
              <w:rPr>
                <w:webHidden/>
              </w:rPr>
              <w:fldChar w:fldCharType="begin"/>
            </w:r>
            <w:r w:rsidR="004A470F" w:rsidRPr="004A470F">
              <w:rPr>
                <w:webHidden/>
              </w:rPr>
              <w:instrText xml:space="preserve"> PAGEREF _Toc204266949 \h </w:instrText>
            </w:r>
            <w:r w:rsidRPr="004A470F">
              <w:rPr>
                <w:webHidden/>
              </w:rPr>
            </w:r>
            <w:r w:rsidRPr="004A470F">
              <w:rPr>
                <w:webHidden/>
              </w:rPr>
              <w:fldChar w:fldCharType="separate"/>
            </w:r>
            <w:r w:rsidR="004A470F" w:rsidRPr="004A470F">
              <w:rPr>
                <w:webHidden/>
              </w:rPr>
              <w:t>2</w:t>
            </w:r>
            <w:r w:rsidRPr="004A470F">
              <w:rPr>
                <w:webHidden/>
              </w:rPr>
              <w:fldChar w:fldCharType="end"/>
            </w:r>
          </w:hyperlink>
        </w:p>
        <w:p w:rsidR="004A470F" w:rsidRPr="004A470F" w:rsidRDefault="00876F0E" w:rsidP="004A470F">
          <w:pPr>
            <w:pStyle w:val="Obsah2"/>
            <w:tabs>
              <w:tab w:val="right" w:pos="9062"/>
            </w:tabs>
            <w:ind w:left="0" w:hanging="2"/>
          </w:pPr>
          <w:hyperlink w:anchor="_Toc204266950" w:history="1">
            <w:r w:rsidR="004A470F" w:rsidRPr="004A470F">
              <w:rPr>
                <w:rStyle w:val="Hypertextovodkaz"/>
                <w:rFonts w:ascii="Athiti" w:eastAsia="Athiti" w:hAnsi="Athiti" w:cs="Athiti"/>
              </w:rPr>
              <w:t>3.2 Velikost podniku</w:t>
            </w:r>
            <w:r w:rsidR="004A470F" w:rsidRPr="004A470F">
              <w:rPr>
                <w:webHidden/>
              </w:rPr>
              <w:tab/>
            </w:r>
            <w:r w:rsidRPr="004A470F">
              <w:rPr>
                <w:webHidden/>
              </w:rPr>
              <w:fldChar w:fldCharType="begin"/>
            </w:r>
            <w:r w:rsidR="004A470F" w:rsidRPr="004A470F">
              <w:rPr>
                <w:webHidden/>
              </w:rPr>
              <w:instrText xml:space="preserve"> PAGEREF _Toc204266950 \h </w:instrText>
            </w:r>
            <w:r w:rsidRPr="004A470F">
              <w:rPr>
                <w:webHidden/>
              </w:rPr>
            </w:r>
            <w:r w:rsidRPr="004A470F">
              <w:rPr>
                <w:webHidden/>
              </w:rPr>
              <w:fldChar w:fldCharType="separate"/>
            </w:r>
            <w:r w:rsidR="004A470F" w:rsidRPr="004A470F">
              <w:rPr>
                <w:webHidden/>
              </w:rPr>
              <w:t>3</w:t>
            </w:r>
            <w:r w:rsidRPr="004A470F">
              <w:rPr>
                <w:webHidden/>
              </w:rPr>
              <w:fldChar w:fldCharType="end"/>
            </w:r>
          </w:hyperlink>
        </w:p>
        <w:p w:rsidR="004A470F" w:rsidRPr="004A470F" w:rsidRDefault="00876F0E" w:rsidP="004A470F">
          <w:pPr>
            <w:pStyle w:val="Obsah2"/>
            <w:tabs>
              <w:tab w:val="right" w:pos="9062"/>
            </w:tabs>
            <w:ind w:left="0" w:hanging="2"/>
          </w:pPr>
          <w:hyperlink w:anchor="_Toc204266951" w:history="1">
            <w:r w:rsidR="004A470F" w:rsidRPr="004A470F">
              <w:rPr>
                <w:rStyle w:val="Hypertextovodkaz"/>
                <w:rFonts w:ascii="Athiti" w:eastAsia="Athiti" w:hAnsi="Athiti" w:cs="Athiti"/>
              </w:rPr>
              <w:t>3.3. Složitost podnikání</w:t>
            </w:r>
            <w:r w:rsidR="004A470F" w:rsidRPr="004A470F">
              <w:rPr>
                <w:webHidden/>
              </w:rPr>
              <w:tab/>
            </w:r>
            <w:r w:rsidRPr="004A470F">
              <w:rPr>
                <w:webHidden/>
              </w:rPr>
              <w:fldChar w:fldCharType="begin"/>
            </w:r>
            <w:r w:rsidR="004A470F" w:rsidRPr="004A470F">
              <w:rPr>
                <w:webHidden/>
              </w:rPr>
              <w:instrText xml:space="preserve"> PAGEREF _Toc204266951 \h </w:instrText>
            </w:r>
            <w:r w:rsidRPr="004A470F">
              <w:rPr>
                <w:webHidden/>
              </w:rPr>
            </w:r>
            <w:r w:rsidRPr="004A470F">
              <w:rPr>
                <w:webHidden/>
              </w:rPr>
              <w:fldChar w:fldCharType="separate"/>
            </w:r>
            <w:r w:rsidR="004A470F" w:rsidRPr="004A470F">
              <w:rPr>
                <w:webHidden/>
              </w:rPr>
              <w:t>4</w:t>
            </w:r>
            <w:r w:rsidRPr="004A470F">
              <w:rPr>
                <w:webHidden/>
              </w:rPr>
              <w:fldChar w:fldCharType="end"/>
            </w:r>
          </w:hyperlink>
        </w:p>
        <w:p w:rsidR="004A470F" w:rsidRPr="004A470F" w:rsidRDefault="00876F0E" w:rsidP="004A470F">
          <w:pPr>
            <w:pStyle w:val="Obsah1"/>
            <w:tabs>
              <w:tab w:val="right" w:pos="9062"/>
            </w:tabs>
            <w:ind w:hanging="2"/>
          </w:pPr>
          <w:hyperlink w:anchor="_Toc204266952" w:history="1">
            <w:r w:rsidR="004A470F" w:rsidRPr="004A470F">
              <w:rPr>
                <w:rStyle w:val="Hypertextovodkaz"/>
                <w:rFonts w:ascii="Athiti" w:eastAsia="Athiti" w:hAnsi="Athiti" w:cs="Athiti"/>
                <w:b/>
              </w:rPr>
              <w:t>4. Hodnocení rizik ML/TF</w:t>
            </w:r>
            <w:r w:rsidR="004A470F" w:rsidRPr="004A470F">
              <w:rPr>
                <w:webHidden/>
              </w:rPr>
              <w:tab/>
            </w:r>
            <w:r w:rsidRPr="004A470F">
              <w:rPr>
                <w:webHidden/>
              </w:rPr>
              <w:fldChar w:fldCharType="begin"/>
            </w:r>
            <w:r w:rsidR="004A470F" w:rsidRPr="004A470F">
              <w:rPr>
                <w:webHidden/>
              </w:rPr>
              <w:instrText xml:space="preserve"> PAGEREF _Toc204266952 \h </w:instrText>
            </w:r>
            <w:r w:rsidRPr="004A470F">
              <w:rPr>
                <w:webHidden/>
              </w:rPr>
            </w:r>
            <w:r w:rsidRPr="004A470F">
              <w:rPr>
                <w:webHidden/>
              </w:rPr>
              <w:fldChar w:fldCharType="separate"/>
            </w:r>
            <w:r w:rsidR="004A470F" w:rsidRPr="004A470F">
              <w:rPr>
                <w:webHidden/>
              </w:rPr>
              <w:t>4</w:t>
            </w:r>
            <w:r w:rsidRPr="004A470F">
              <w:rPr>
                <w:webHidden/>
              </w:rPr>
              <w:fldChar w:fldCharType="end"/>
            </w:r>
          </w:hyperlink>
        </w:p>
        <w:p w:rsidR="004A470F" w:rsidRPr="004A470F" w:rsidRDefault="00876F0E" w:rsidP="004A470F">
          <w:pPr>
            <w:pStyle w:val="Obsah2"/>
            <w:tabs>
              <w:tab w:val="right" w:pos="9062"/>
            </w:tabs>
            <w:ind w:left="0" w:hanging="2"/>
          </w:pPr>
          <w:hyperlink w:anchor="_Toc204266953" w:history="1">
            <w:r w:rsidR="004A470F" w:rsidRPr="004A470F">
              <w:rPr>
                <w:rStyle w:val="Hypertextovodkaz"/>
                <w:rFonts w:ascii="Athiti" w:eastAsia="Athiti" w:hAnsi="Athiti" w:cs="Athiti"/>
              </w:rPr>
              <w:t>4.1. Identifikace a hodnocení rizikových faktorů</w:t>
            </w:r>
            <w:r w:rsidR="004A470F" w:rsidRPr="004A470F">
              <w:rPr>
                <w:webHidden/>
              </w:rPr>
              <w:tab/>
            </w:r>
            <w:r w:rsidRPr="004A470F">
              <w:rPr>
                <w:webHidden/>
              </w:rPr>
              <w:fldChar w:fldCharType="begin"/>
            </w:r>
            <w:r w:rsidR="004A470F" w:rsidRPr="004A470F">
              <w:rPr>
                <w:webHidden/>
              </w:rPr>
              <w:instrText xml:space="preserve"> PAGEREF _Toc204266953 \h </w:instrText>
            </w:r>
            <w:r w:rsidRPr="004A470F">
              <w:rPr>
                <w:webHidden/>
              </w:rPr>
            </w:r>
            <w:r w:rsidRPr="004A470F">
              <w:rPr>
                <w:webHidden/>
              </w:rPr>
              <w:fldChar w:fldCharType="separate"/>
            </w:r>
            <w:r w:rsidR="004A470F" w:rsidRPr="004A470F">
              <w:rPr>
                <w:webHidden/>
              </w:rPr>
              <w:t>4</w:t>
            </w:r>
            <w:r w:rsidRPr="004A470F">
              <w:rPr>
                <w:webHidden/>
              </w:rPr>
              <w:fldChar w:fldCharType="end"/>
            </w:r>
          </w:hyperlink>
        </w:p>
        <w:p w:rsidR="004A470F" w:rsidRPr="004A470F" w:rsidRDefault="00876F0E" w:rsidP="004A470F">
          <w:pPr>
            <w:pStyle w:val="Obsah3"/>
            <w:tabs>
              <w:tab w:val="right" w:pos="9062"/>
            </w:tabs>
            <w:ind w:left="0" w:hanging="2"/>
          </w:pPr>
          <w:hyperlink w:anchor="_Toc204266954" w:history="1">
            <w:r w:rsidR="004A470F" w:rsidRPr="004A470F">
              <w:rPr>
                <w:rStyle w:val="Hypertextovodkaz"/>
                <w:rFonts w:ascii="Athiti" w:eastAsia="Athiti" w:hAnsi="Athiti" w:cs="Athiti"/>
              </w:rPr>
              <w:t>4.1.1 Rizikové faktory klienta:</w:t>
            </w:r>
            <w:r w:rsidR="004A470F" w:rsidRPr="004A470F">
              <w:rPr>
                <w:webHidden/>
              </w:rPr>
              <w:tab/>
            </w:r>
            <w:r w:rsidRPr="004A470F">
              <w:rPr>
                <w:webHidden/>
              </w:rPr>
              <w:fldChar w:fldCharType="begin"/>
            </w:r>
            <w:r w:rsidR="004A470F" w:rsidRPr="004A470F">
              <w:rPr>
                <w:webHidden/>
              </w:rPr>
              <w:instrText xml:space="preserve"> PAGEREF _Toc204266954 \h </w:instrText>
            </w:r>
            <w:r w:rsidRPr="004A470F">
              <w:rPr>
                <w:webHidden/>
              </w:rPr>
            </w:r>
            <w:r w:rsidRPr="004A470F">
              <w:rPr>
                <w:webHidden/>
              </w:rPr>
              <w:fldChar w:fldCharType="separate"/>
            </w:r>
            <w:r w:rsidR="004A470F" w:rsidRPr="004A470F">
              <w:rPr>
                <w:webHidden/>
              </w:rPr>
              <w:t>4</w:t>
            </w:r>
            <w:r w:rsidRPr="004A470F">
              <w:rPr>
                <w:webHidden/>
              </w:rPr>
              <w:fldChar w:fldCharType="end"/>
            </w:r>
          </w:hyperlink>
        </w:p>
        <w:p w:rsidR="004A470F" w:rsidRPr="004A470F" w:rsidRDefault="00876F0E" w:rsidP="004A470F">
          <w:pPr>
            <w:pStyle w:val="Obsah3"/>
            <w:tabs>
              <w:tab w:val="right" w:pos="9062"/>
            </w:tabs>
            <w:ind w:left="0" w:hanging="2"/>
          </w:pPr>
          <w:hyperlink w:anchor="_Toc204266955" w:history="1">
            <w:r w:rsidR="004A470F" w:rsidRPr="004A470F">
              <w:rPr>
                <w:rStyle w:val="Hypertextovodkaz"/>
                <w:rFonts w:ascii="Athiti" w:eastAsia="Athiti" w:hAnsi="Athiti" w:cs="Athiti"/>
              </w:rPr>
              <w:t>Kategorie A – vysoce rizikové činnosti</w:t>
            </w:r>
            <w:r w:rsidR="004A470F" w:rsidRPr="004A470F">
              <w:rPr>
                <w:webHidden/>
              </w:rPr>
              <w:tab/>
            </w:r>
            <w:r w:rsidRPr="004A470F">
              <w:rPr>
                <w:webHidden/>
              </w:rPr>
              <w:fldChar w:fldCharType="begin"/>
            </w:r>
            <w:r w:rsidR="004A470F" w:rsidRPr="004A470F">
              <w:rPr>
                <w:webHidden/>
              </w:rPr>
              <w:instrText xml:space="preserve"> PAGEREF _Toc204266955 \h </w:instrText>
            </w:r>
            <w:r w:rsidRPr="004A470F">
              <w:rPr>
                <w:webHidden/>
              </w:rPr>
            </w:r>
            <w:r w:rsidRPr="004A470F">
              <w:rPr>
                <w:webHidden/>
              </w:rPr>
              <w:fldChar w:fldCharType="separate"/>
            </w:r>
            <w:r w:rsidR="004A470F" w:rsidRPr="004A470F">
              <w:rPr>
                <w:webHidden/>
              </w:rPr>
              <w:t>5</w:t>
            </w:r>
            <w:r w:rsidRPr="004A470F">
              <w:rPr>
                <w:webHidden/>
              </w:rPr>
              <w:fldChar w:fldCharType="end"/>
            </w:r>
          </w:hyperlink>
        </w:p>
        <w:p w:rsidR="004A470F" w:rsidRPr="004A470F" w:rsidRDefault="00876F0E" w:rsidP="004A470F">
          <w:pPr>
            <w:pStyle w:val="Obsah3"/>
            <w:tabs>
              <w:tab w:val="right" w:pos="9062"/>
            </w:tabs>
            <w:ind w:left="0" w:hanging="2"/>
          </w:pPr>
          <w:hyperlink w:anchor="_Toc204266956" w:history="1">
            <w:r w:rsidR="004A470F" w:rsidRPr="004A470F">
              <w:rPr>
                <w:rStyle w:val="Hypertextovodkaz"/>
                <w:rFonts w:ascii="Athiti" w:eastAsia="Athiti" w:hAnsi="Athiti" w:cs="Athiti"/>
              </w:rPr>
              <w:t>Kategorie B – vysoce rizikové činnosti</w:t>
            </w:r>
            <w:r w:rsidR="004A470F" w:rsidRPr="004A470F">
              <w:rPr>
                <w:webHidden/>
              </w:rPr>
              <w:tab/>
            </w:r>
            <w:r w:rsidRPr="004A470F">
              <w:rPr>
                <w:webHidden/>
              </w:rPr>
              <w:fldChar w:fldCharType="begin"/>
            </w:r>
            <w:r w:rsidR="004A470F" w:rsidRPr="004A470F">
              <w:rPr>
                <w:webHidden/>
              </w:rPr>
              <w:instrText xml:space="preserve"> PAGEREF _Toc204266956 \h </w:instrText>
            </w:r>
            <w:r w:rsidRPr="004A470F">
              <w:rPr>
                <w:webHidden/>
              </w:rPr>
            </w:r>
            <w:r w:rsidRPr="004A470F">
              <w:rPr>
                <w:webHidden/>
              </w:rPr>
              <w:fldChar w:fldCharType="separate"/>
            </w:r>
            <w:r w:rsidR="004A470F" w:rsidRPr="004A470F">
              <w:rPr>
                <w:webHidden/>
              </w:rPr>
              <w:t>6</w:t>
            </w:r>
            <w:r w:rsidRPr="004A470F">
              <w:rPr>
                <w:webHidden/>
              </w:rPr>
              <w:fldChar w:fldCharType="end"/>
            </w:r>
          </w:hyperlink>
        </w:p>
        <w:p w:rsidR="004A470F" w:rsidRPr="004A470F" w:rsidRDefault="00876F0E" w:rsidP="004A470F">
          <w:pPr>
            <w:pStyle w:val="Obsah3"/>
            <w:tabs>
              <w:tab w:val="right" w:pos="9062"/>
            </w:tabs>
            <w:ind w:left="0" w:hanging="2"/>
          </w:pPr>
          <w:hyperlink w:anchor="_Toc204266957" w:history="1">
            <w:r w:rsidR="004A470F" w:rsidRPr="004A470F">
              <w:rPr>
                <w:rStyle w:val="Hypertextovodkaz"/>
                <w:rFonts w:ascii="Athiti" w:eastAsia="Athiti" w:hAnsi="Athiti" w:cs="Athiti"/>
              </w:rPr>
              <w:t>4.1.2 Rizikové faktory produktu, služby a distribučního kanálu</w:t>
            </w:r>
            <w:r w:rsidR="004A470F" w:rsidRPr="004A470F">
              <w:rPr>
                <w:webHidden/>
              </w:rPr>
              <w:tab/>
            </w:r>
            <w:r w:rsidRPr="004A470F">
              <w:rPr>
                <w:webHidden/>
              </w:rPr>
              <w:fldChar w:fldCharType="begin"/>
            </w:r>
            <w:r w:rsidR="004A470F" w:rsidRPr="004A470F">
              <w:rPr>
                <w:webHidden/>
              </w:rPr>
              <w:instrText xml:space="preserve"> PAGEREF _Toc204266957 \h </w:instrText>
            </w:r>
            <w:r w:rsidRPr="004A470F">
              <w:rPr>
                <w:webHidden/>
              </w:rPr>
            </w:r>
            <w:r w:rsidRPr="004A470F">
              <w:rPr>
                <w:webHidden/>
              </w:rPr>
              <w:fldChar w:fldCharType="separate"/>
            </w:r>
            <w:r w:rsidR="004A470F" w:rsidRPr="004A470F">
              <w:rPr>
                <w:webHidden/>
              </w:rPr>
              <w:t>6</w:t>
            </w:r>
            <w:r w:rsidRPr="004A470F">
              <w:rPr>
                <w:webHidden/>
              </w:rPr>
              <w:fldChar w:fldCharType="end"/>
            </w:r>
          </w:hyperlink>
        </w:p>
        <w:p w:rsidR="004A470F" w:rsidRPr="004A470F" w:rsidRDefault="00876F0E" w:rsidP="004A470F">
          <w:pPr>
            <w:pStyle w:val="Obsah3"/>
            <w:tabs>
              <w:tab w:val="right" w:pos="9062"/>
            </w:tabs>
            <w:ind w:left="0" w:hanging="2"/>
          </w:pPr>
          <w:hyperlink w:anchor="_Toc204266958" w:history="1">
            <w:r w:rsidR="004A470F" w:rsidRPr="004A470F">
              <w:rPr>
                <w:rStyle w:val="Hypertextovodkaz"/>
                <w:rFonts w:ascii="Athiti" w:eastAsia="Athiti" w:hAnsi="Athiti" w:cs="Athiti"/>
              </w:rPr>
              <w:t>4.1.3 Rizikové faktory geografického charakteru</w:t>
            </w:r>
            <w:r w:rsidR="004A470F" w:rsidRPr="004A470F">
              <w:rPr>
                <w:webHidden/>
              </w:rPr>
              <w:tab/>
            </w:r>
            <w:r w:rsidRPr="004A470F">
              <w:rPr>
                <w:webHidden/>
              </w:rPr>
              <w:fldChar w:fldCharType="begin"/>
            </w:r>
            <w:r w:rsidR="004A470F" w:rsidRPr="004A470F">
              <w:rPr>
                <w:webHidden/>
              </w:rPr>
              <w:instrText xml:space="preserve"> PAGEREF _Toc204266958 \h </w:instrText>
            </w:r>
            <w:r w:rsidRPr="004A470F">
              <w:rPr>
                <w:webHidden/>
              </w:rPr>
            </w:r>
            <w:r w:rsidRPr="004A470F">
              <w:rPr>
                <w:webHidden/>
              </w:rPr>
              <w:fldChar w:fldCharType="separate"/>
            </w:r>
            <w:r w:rsidR="004A470F" w:rsidRPr="004A470F">
              <w:rPr>
                <w:webHidden/>
              </w:rPr>
              <w:t>7</w:t>
            </w:r>
            <w:r w:rsidRPr="004A470F">
              <w:rPr>
                <w:webHidden/>
              </w:rPr>
              <w:fldChar w:fldCharType="end"/>
            </w:r>
          </w:hyperlink>
        </w:p>
        <w:p w:rsidR="004A470F" w:rsidRPr="004A470F" w:rsidRDefault="00876F0E" w:rsidP="004A470F">
          <w:pPr>
            <w:pStyle w:val="Obsah3"/>
            <w:tabs>
              <w:tab w:val="right" w:pos="9062"/>
            </w:tabs>
            <w:ind w:left="0" w:hanging="2"/>
          </w:pPr>
          <w:hyperlink w:anchor="_Toc204266959" w:history="1">
            <w:r w:rsidR="004A470F" w:rsidRPr="004A470F">
              <w:rPr>
                <w:rStyle w:val="Hypertextovodkaz"/>
                <w:rFonts w:ascii="Athiti" w:eastAsia="Athiti" w:hAnsi="Athiti" w:cs="Athiti"/>
              </w:rPr>
              <w:t>Kategorizace geografických rizik</w:t>
            </w:r>
            <w:r w:rsidR="004A470F" w:rsidRPr="004A470F">
              <w:rPr>
                <w:webHidden/>
              </w:rPr>
              <w:tab/>
            </w:r>
            <w:r w:rsidRPr="004A470F">
              <w:rPr>
                <w:webHidden/>
              </w:rPr>
              <w:fldChar w:fldCharType="begin"/>
            </w:r>
            <w:r w:rsidR="004A470F" w:rsidRPr="004A470F">
              <w:rPr>
                <w:webHidden/>
              </w:rPr>
              <w:instrText xml:space="preserve"> PAGEREF _Toc204266959 \h </w:instrText>
            </w:r>
            <w:r w:rsidRPr="004A470F">
              <w:rPr>
                <w:webHidden/>
              </w:rPr>
            </w:r>
            <w:r w:rsidRPr="004A470F">
              <w:rPr>
                <w:webHidden/>
              </w:rPr>
              <w:fldChar w:fldCharType="separate"/>
            </w:r>
            <w:r w:rsidR="004A470F" w:rsidRPr="004A470F">
              <w:rPr>
                <w:webHidden/>
              </w:rPr>
              <w:t>7</w:t>
            </w:r>
            <w:r w:rsidRPr="004A470F">
              <w:rPr>
                <w:webHidden/>
              </w:rPr>
              <w:fldChar w:fldCharType="end"/>
            </w:r>
          </w:hyperlink>
        </w:p>
        <w:p w:rsidR="004A470F" w:rsidRPr="004A470F" w:rsidRDefault="00876F0E" w:rsidP="004A470F">
          <w:pPr>
            <w:pStyle w:val="Obsah3"/>
            <w:tabs>
              <w:tab w:val="right" w:pos="9062"/>
            </w:tabs>
            <w:ind w:left="0" w:hanging="2"/>
          </w:pPr>
          <w:hyperlink w:anchor="_Toc204266960" w:history="1">
            <w:r w:rsidR="004A470F" w:rsidRPr="004A470F">
              <w:rPr>
                <w:rStyle w:val="Hypertextovodkaz"/>
                <w:rFonts w:ascii="Athiti" w:eastAsia="Athiti" w:hAnsi="Athiti" w:cs="Athiti"/>
              </w:rPr>
              <w:t>Kritéria kategorizace</w:t>
            </w:r>
            <w:r w:rsidR="004A470F" w:rsidRPr="004A470F">
              <w:rPr>
                <w:webHidden/>
              </w:rPr>
              <w:tab/>
            </w:r>
            <w:r w:rsidRPr="004A470F">
              <w:rPr>
                <w:webHidden/>
              </w:rPr>
              <w:fldChar w:fldCharType="begin"/>
            </w:r>
            <w:r w:rsidR="004A470F" w:rsidRPr="004A470F">
              <w:rPr>
                <w:webHidden/>
              </w:rPr>
              <w:instrText xml:space="preserve"> PAGEREF _Toc204266960 \h </w:instrText>
            </w:r>
            <w:r w:rsidRPr="004A470F">
              <w:rPr>
                <w:webHidden/>
              </w:rPr>
            </w:r>
            <w:r w:rsidRPr="004A470F">
              <w:rPr>
                <w:webHidden/>
              </w:rPr>
              <w:fldChar w:fldCharType="separate"/>
            </w:r>
            <w:r w:rsidR="004A470F" w:rsidRPr="004A470F">
              <w:rPr>
                <w:webHidden/>
              </w:rPr>
              <w:t>7</w:t>
            </w:r>
            <w:r w:rsidRPr="004A470F">
              <w:rPr>
                <w:webHidden/>
              </w:rPr>
              <w:fldChar w:fldCharType="end"/>
            </w:r>
          </w:hyperlink>
        </w:p>
        <w:p w:rsidR="004A470F" w:rsidRPr="004A470F" w:rsidRDefault="00876F0E" w:rsidP="004A470F">
          <w:pPr>
            <w:pStyle w:val="Obsah3"/>
            <w:tabs>
              <w:tab w:val="right" w:pos="9062"/>
            </w:tabs>
            <w:ind w:left="0" w:hanging="2"/>
          </w:pPr>
          <w:hyperlink w:anchor="_Toc204266961" w:history="1">
            <w:r w:rsidR="004A470F" w:rsidRPr="004A470F">
              <w:rPr>
                <w:rStyle w:val="Hypertextovodkaz"/>
                <w:rFonts w:ascii="Athiti" w:eastAsia="Athiti" w:hAnsi="Athiti" w:cs="Athiti"/>
              </w:rPr>
              <w:t>Úrovně geografického rizika</w:t>
            </w:r>
            <w:r w:rsidR="004A470F" w:rsidRPr="004A470F">
              <w:rPr>
                <w:webHidden/>
              </w:rPr>
              <w:tab/>
            </w:r>
            <w:r w:rsidRPr="004A470F">
              <w:rPr>
                <w:webHidden/>
              </w:rPr>
              <w:fldChar w:fldCharType="begin"/>
            </w:r>
            <w:r w:rsidR="004A470F" w:rsidRPr="004A470F">
              <w:rPr>
                <w:webHidden/>
              </w:rPr>
              <w:instrText xml:space="preserve"> PAGEREF _Toc204266961 \h </w:instrText>
            </w:r>
            <w:r w:rsidRPr="004A470F">
              <w:rPr>
                <w:webHidden/>
              </w:rPr>
            </w:r>
            <w:r w:rsidRPr="004A470F">
              <w:rPr>
                <w:webHidden/>
              </w:rPr>
              <w:fldChar w:fldCharType="separate"/>
            </w:r>
            <w:r w:rsidR="004A470F" w:rsidRPr="004A470F">
              <w:rPr>
                <w:webHidden/>
              </w:rPr>
              <w:t>8</w:t>
            </w:r>
            <w:r w:rsidRPr="004A470F">
              <w:rPr>
                <w:webHidden/>
              </w:rPr>
              <w:fldChar w:fldCharType="end"/>
            </w:r>
          </w:hyperlink>
        </w:p>
        <w:p w:rsidR="004A470F" w:rsidRPr="004A470F" w:rsidRDefault="00876F0E" w:rsidP="004A470F">
          <w:pPr>
            <w:pStyle w:val="Obsah3"/>
            <w:tabs>
              <w:tab w:val="right" w:pos="9062"/>
            </w:tabs>
            <w:ind w:left="0" w:hanging="2"/>
          </w:pPr>
          <w:hyperlink w:anchor="_Toc204266962" w:history="1">
            <w:r w:rsidR="004A470F" w:rsidRPr="004A470F">
              <w:rPr>
                <w:rStyle w:val="Hypertextovodkaz"/>
                <w:rFonts w:ascii="Athiti" w:eastAsia="Athiti" w:hAnsi="Athiti" w:cs="Athiti"/>
              </w:rPr>
              <w:t>4.1.4 Kategorizace zemí podle míry geografického rizika</w:t>
            </w:r>
            <w:r w:rsidR="004A470F" w:rsidRPr="004A470F">
              <w:rPr>
                <w:webHidden/>
              </w:rPr>
              <w:tab/>
            </w:r>
            <w:r w:rsidRPr="004A470F">
              <w:rPr>
                <w:webHidden/>
              </w:rPr>
              <w:fldChar w:fldCharType="begin"/>
            </w:r>
            <w:r w:rsidR="004A470F" w:rsidRPr="004A470F">
              <w:rPr>
                <w:webHidden/>
              </w:rPr>
              <w:instrText xml:space="preserve"> PAGEREF _Toc204266962 \h </w:instrText>
            </w:r>
            <w:r w:rsidRPr="004A470F">
              <w:rPr>
                <w:webHidden/>
              </w:rPr>
            </w:r>
            <w:r w:rsidRPr="004A470F">
              <w:rPr>
                <w:webHidden/>
              </w:rPr>
              <w:fldChar w:fldCharType="separate"/>
            </w:r>
            <w:r w:rsidR="004A470F" w:rsidRPr="004A470F">
              <w:rPr>
                <w:webHidden/>
              </w:rPr>
              <w:t>8</w:t>
            </w:r>
            <w:r w:rsidRPr="004A470F">
              <w:rPr>
                <w:webHidden/>
              </w:rPr>
              <w:fldChar w:fldCharType="end"/>
            </w:r>
          </w:hyperlink>
        </w:p>
        <w:p w:rsidR="004A470F" w:rsidRPr="004A470F" w:rsidRDefault="00876F0E" w:rsidP="004A470F">
          <w:pPr>
            <w:pStyle w:val="Obsah3"/>
            <w:tabs>
              <w:tab w:val="right" w:pos="9062"/>
            </w:tabs>
            <w:ind w:left="0" w:hanging="2"/>
          </w:pPr>
          <w:hyperlink w:anchor="_Toc204266963" w:history="1">
            <w:r w:rsidR="004A470F" w:rsidRPr="004A470F">
              <w:rPr>
                <w:rStyle w:val="Hypertextovodkaz"/>
                <w:rFonts w:ascii="Athiti" w:eastAsia="Athiti" w:hAnsi="Athiti" w:cs="Athiti"/>
              </w:rPr>
              <w:t>Aktualizace a přezkum</w:t>
            </w:r>
            <w:r w:rsidR="004A470F" w:rsidRPr="004A470F">
              <w:rPr>
                <w:webHidden/>
              </w:rPr>
              <w:tab/>
            </w:r>
            <w:r w:rsidRPr="004A470F">
              <w:rPr>
                <w:webHidden/>
              </w:rPr>
              <w:fldChar w:fldCharType="begin"/>
            </w:r>
            <w:r w:rsidR="004A470F" w:rsidRPr="004A470F">
              <w:rPr>
                <w:webHidden/>
              </w:rPr>
              <w:instrText xml:space="preserve"> PAGEREF _Toc204266963 \h </w:instrText>
            </w:r>
            <w:r w:rsidRPr="004A470F">
              <w:rPr>
                <w:webHidden/>
              </w:rPr>
            </w:r>
            <w:r w:rsidRPr="004A470F">
              <w:rPr>
                <w:webHidden/>
              </w:rPr>
              <w:fldChar w:fldCharType="separate"/>
            </w:r>
            <w:r w:rsidR="004A470F" w:rsidRPr="004A470F">
              <w:rPr>
                <w:webHidden/>
              </w:rPr>
              <w:t>10</w:t>
            </w:r>
            <w:r w:rsidRPr="004A470F">
              <w:rPr>
                <w:webHidden/>
              </w:rPr>
              <w:fldChar w:fldCharType="end"/>
            </w:r>
          </w:hyperlink>
        </w:p>
        <w:p w:rsidR="004A470F" w:rsidRPr="004A470F" w:rsidRDefault="00876F0E" w:rsidP="004A470F">
          <w:pPr>
            <w:pStyle w:val="Obsah3"/>
            <w:tabs>
              <w:tab w:val="right" w:pos="9062"/>
            </w:tabs>
            <w:ind w:left="0" w:hanging="2"/>
          </w:pPr>
          <w:hyperlink w:anchor="_Toc204266964" w:history="1">
            <w:r w:rsidR="004A470F" w:rsidRPr="004A470F">
              <w:rPr>
                <w:rStyle w:val="Hypertextovodkaz"/>
                <w:rFonts w:ascii="Athiti" w:eastAsia="Athiti" w:hAnsi="Athiti" w:cs="Athiti"/>
              </w:rPr>
              <w:t>4.2 Praktické postupy hodnocení rizik</w:t>
            </w:r>
            <w:r w:rsidR="004A470F" w:rsidRPr="004A470F">
              <w:rPr>
                <w:webHidden/>
              </w:rPr>
              <w:tab/>
            </w:r>
            <w:r w:rsidRPr="004A470F">
              <w:rPr>
                <w:webHidden/>
              </w:rPr>
              <w:fldChar w:fldCharType="begin"/>
            </w:r>
            <w:r w:rsidR="004A470F" w:rsidRPr="004A470F">
              <w:rPr>
                <w:webHidden/>
              </w:rPr>
              <w:instrText xml:space="preserve"> PAGEREF _Toc204266964 \h </w:instrText>
            </w:r>
            <w:r w:rsidRPr="004A470F">
              <w:rPr>
                <w:webHidden/>
              </w:rPr>
            </w:r>
            <w:r w:rsidRPr="004A470F">
              <w:rPr>
                <w:webHidden/>
              </w:rPr>
              <w:fldChar w:fldCharType="separate"/>
            </w:r>
            <w:r w:rsidR="004A470F" w:rsidRPr="004A470F">
              <w:rPr>
                <w:webHidden/>
              </w:rPr>
              <w:t>10</w:t>
            </w:r>
            <w:r w:rsidRPr="004A470F">
              <w:rPr>
                <w:webHidden/>
              </w:rPr>
              <w:fldChar w:fldCharType="end"/>
            </w:r>
          </w:hyperlink>
        </w:p>
        <w:p w:rsidR="004A470F" w:rsidRPr="004A470F" w:rsidRDefault="00876F0E" w:rsidP="004A470F">
          <w:pPr>
            <w:pStyle w:val="Obsah3"/>
            <w:tabs>
              <w:tab w:val="right" w:pos="9062"/>
            </w:tabs>
            <w:ind w:left="0" w:hanging="2"/>
          </w:pPr>
          <w:hyperlink w:anchor="_Toc204266965" w:history="1">
            <w:r w:rsidR="004A470F" w:rsidRPr="004A470F">
              <w:rPr>
                <w:rStyle w:val="Hypertextovodkaz"/>
                <w:rFonts w:ascii="Athiti" w:eastAsia="Athiti" w:hAnsi="Athiti" w:cs="Athiti"/>
              </w:rPr>
              <w:t>4.2.3. Přehodnocení rizikového profilu klienta</w:t>
            </w:r>
            <w:r w:rsidR="004A470F" w:rsidRPr="004A470F">
              <w:rPr>
                <w:webHidden/>
              </w:rPr>
              <w:tab/>
            </w:r>
            <w:r w:rsidRPr="004A470F">
              <w:rPr>
                <w:webHidden/>
              </w:rPr>
              <w:fldChar w:fldCharType="begin"/>
            </w:r>
            <w:r w:rsidR="004A470F" w:rsidRPr="004A470F">
              <w:rPr>
                <w:webHidden/>
              </w:rPr>
              <w:instrText xml:space="preserve"> PAGEREF _Toc204266965 \h </w:instrText>
            </w:r>
            <w:r w:rsidRPr="004A470F">
              <w:rPr>
                <w:webHidden/>
              </w:rPr>
            </w:r>
            <w:r w:rsidRPr="004A470F">
              <w:rPr>
                <w:webHidden/>
              </w:rPr>
              <w:fldChar w:fldCharType="separate"/>
            </w:r>
            <w:r w:rsidR="004A470F" w:rsidRPr="004A470F">
              <w:rPr>
                <w:webHidden/>
              </w:rPr>
              <w:t>17</w:t>
            </w:r>
            <w:r w:rsidRPr="004A470F">
              <w:rPr>
                <w:webHidden/>
              </w:rPr>
              <w:fldChar w:fldCharType="end"/>
            </w:r>
          </w:hyperlink>
        </w:p>
        <w:p w:rsidR="004A470F" w:rsidRPr="004A470F" w:rsidRDefault="00876F0E" w:rsidP="004A470F">
          <w:pPr>
            <w:pStyle w:val="Obsah3"/>
            <w:tabs>
              <w:tab w:val="right" w:pos="9062"/>
            </w:tabs>
            <w:ind w:left="0" w:hanging="2"/>
          </w:pPr>
          <w:hyperlink w:anchor="_Toc204266966" w:history="1">
            <w:r w:rsidR="004A470F" w:rsidRPr="004A470F">
              <w:rPr>
                <w:rStyle w:val="Hypertextovodkaz"/>
                <w:rFonts w:ascii="Athiti" w:eastAsia="Athiti" w:hAnsi="Athiti" w:cs="Athiti"/>
              </w:rPr>
              <w:t>4.2.4. Vzhled a zmírnění specifických rizikových faktorů</w:t>
            </w:r>
            <w:r w:rsidR="004A470F" w:rsidRPr="004A470F">
              <w:rPr>
                <w:webHidden/>
              </w:rPr>
              <w:tab/>
            </w:r>
            <w:r w:rsidRPr="004A470F">
              <w:rPr>
                <w:webHidden/>
              </w:rPr>
              <w:fldChar w:fldCharType="begin"/>
            </w:r>
            <w:r w:rsidR="004A470F" w:rsidRPr="004A470F">
              <w:rPr>
                <w:webHidden/>
              </w:rPr>
              <w:instrText xml:space="preserve"> PAGEREF _Toc204266966 \h </w:instrText>
            </w:r>
            <w:r w:rsidRPr="004A470F">
              <w:rPr>
                <w:webHidden/>
              </w:rPr>
            </w:r>
            <w:r w:rsidRPr="004A470F">
              <w:rPr>
                <w:webHidden/>
              </w:rPr>
              <w:fldChar w:fldCharType="separate"/>
            </w:r>
            <w:r w:rsidR="004A470F" w:rsidRPr="004A470F">
              <w:rPr>
                <w:webHidden/>
              </w:rPr>
              <w:t>17</w:t>
            </w:r>
            <w:r w:rsidRPr="004A470F">
              <w:rPr>
                <w:webHidden/>
              </w:rPr>
              <w:fldChar w:fldCharType="end"/>
            </w:r>
          </w:hyperlink>
        </w:p>
        <w:p w:rsidR="004A470F" w:rsidRPr="004A470F" w:rsidRDefault="00876F0E" w:rsidP="004A470F">
          <w:pPr>
            <w:pStyle w:val="Obsah3"/>
            <w:tabs>
              <w:tab w:val="right" w:pos="9062"/>
            </w:tabs>
            <w:ind w:left="0" w:hanging="2"/>
          </w:pPr>
          <w:hyperlink w:anchor="_Toc204266967" w:history="1">
            <w:r w:rsidR="004A470F" w:rsidRPr="004A470F">
              <w:rPr>
                <w:rStyle w:val="Hypertextovodkaz"/>
                <w:rFonts w:ascii="Athiti" w:eastAsia="Athiti" w:hAnsi="Athiti" w:cs="Athiti"/>
              </w:rPr>
              <w:t>4.2.5. Řízení vnitřních a zbytkových rizik</w:t>
            </w:r>
            <w:r w:rsidR="004A470F" w:rsidRPr="004A470F">
              <w:rPr>
                <w:webHidden/>
              </w:rPr>
              <w:tab/>
            </w:r>
            <w:r w:rsidRPr="004A470F">
              <w:rPr>
                <w:webHidden/>
              </w:rPr>
              <w:fldChar w:fldCharType="begin"/>
            </w:r>
            <w:r w:rsidR="004A470F" w:rsidRPr="004A470F">
              <w:rPr>
                <w:webHidden/>
              </w:rPr>
              <w:instrText xml:space="preserve"> PAGEREF _Toc204266967 \h </w:instrText>
            </w:r>
            <w:r w:rsidRPr="004A470F">
              <w:rPr>
                <w:webHidden/>
              </w:rPr>
            </w:r>
            <w:r w:rsidRPr="004A470F">
              <w:rPr>
                <w:webHidden/>
              </w:rPr>
              <w:fldChar w:fldCharType="separate"/>
            </w:r>
            <w:r w:rsidR="004A470F" w:rsidRPr="004A470F">
              <w:rPr>
                <w:webHidden/>
              </w:rPr>
              <w:t>19</w:t>
            </w:r>
            <w:r w:rsidRPr="004A470F">
              <w:rPr>
                <w:webHidden/>
              </w:rPr>
              <w:fldChar w:fldCharType="end"/>
            </w:r>
          </w:hyperlink>
        </w:p>
        <w:p w:rsidR="004A470F" w:rsidRPr="004A470F" w:rsidRDefault="00876F0E" w:rsidP="004A470F">
          <w:pPr>
            <w:pStyle w:val="Obsah2"/>
            <w:tabs>
              <w:tab w:val="right" w:pos="9062"/>
            </w:tabs>
            <w:ind w:left="0" w:hanging="2"/>
          </w:pPr>
          <w:hyperlink w:anchor="_Toc204266968" w:history="1">
            <w:r w:rsidR="004A470F" w:rsidRPr="004A470F">
              <w:rPr>
                <w:rStyle w:val="Hypertextovodkaz"/>
                <w:rFonts w:ascii="Athiti" w:eastAsia="Athiti" w:hAnsi="Athiti" w:cs="Athiti"/>
              </w:rPr>
              <w:t>4.3. Kvalitativní a kvantitativní hodnocení rizik</w:t>
            </w:r>
            <w:r w:rsidR="004A470F" w:rsidRPr="004A470F">
              <w:rPr>
                <w:webHidden/>
              </w:rPr>
              <w:tab/>
            </w:r>
            <w:r w:rsidRPr="004A470F">
              <w:rPr>
                <w:webHidden/>
              </w:rPr>
              <w:fldChar w:fldCharType="begin"/>
            </w:r>
            <w:r w:rsidR="004A470F" w:rsidRPr="004A470F">
              <w:rPr>
                <w:webHidden/>
              </w:rPr>
              <w:instrText xml:space="preserve"> PAGEREF _Toc204266968 \h </w:instrText>
            </w:r>
            <w:r w:rsidRPr="004A470F">
              <w:rPr>
                <w:webHidden/>
              </w:rPr>
            </w:r>
            <w:r w:rsidRPr="004A470F">
              <w:rPr>
                <w:webHidden/>
              </w:rPr>
              <w:fldChar w:fldCharType="separate"/>
            </w:r>
            <w:r w:rsidR="004A470F" w:rsidRPr="004A470F">
              <w:rPr>
                <w:webHidden/>
              </w:rPr>
              <w:t>19</w:t>
            </w:r>
            <w:r w:rsidRPr="004A470F">
              <w:rPr>
                <w:webHidden/>
              </w:rPr>
              <w:fldChar w:fldCharType="end"/>
            </w:r>
          </w:hyperlink>
        </w:p>
        <w:p w:rsidR="004A470F" w:rsidRPr="004A470F" w:rsidRDefault="00876F0E" w:rsidP="004A470F">
          <w:pPr>
            <w:pStyle w:val="Obsah3"/>
            <w:tabs>
              <w:tab w:val="right" w:pos="9062"/>
            </w:tabs>
            <w:ind w:left="0" w:hanging="2"/>
          </w:pPr>
          <w:hyperlink w:anchor="_Toc204266969" w:history="1">
            <w:r w:rsidR="004A470F" w:rsidRPr="004A470F">
              <w:rPr>
                <w:rStyle w:val="Hypertextovodkaz"/>
                <w:rFonts w:ascii="Athiti" w:eastAsia="Athiti" w:hAnsi="Athiti" w:cs="Athiti"/>
              </w:rPr>
              <w:t>4.3.1. Kvalitativní hodnocení rizik</w:t>
            </w:r>
            <w:r w:rsidR="004A470F" w:rsidRPr="004A470F">
              <w:rPr>
                <w:webHidden/>
              </w:rPr>
              <w:tab/>
            </w:r>
            <w:r w:rsidRPr="004A470F">
              <w:rPr>
                <w:webHidden/>
              </w:rPr>
              <w:fldChar w:fldCharType="begin"/>
            </w:r>
            <w:r w:rsidR="004A470F" w:rsidRPr="004A470F">
              <w:rPr>
                <w:webHidden/>
              </w:rPr>
              <w:instrText xml:space="preserve"> PAGEREF _Toc204266969 \h </w:instrText>
            </w:r>
            <w:r w:rsidRPr="004A470F">
              <w:rPr>
                <w:webHidden/>
              </w:rPr>
            </w:r>
            <w:r w:rsidRPr="004A470F">
              <w:rPr>
                <w:webHidden/>
              </w:rPr>
              <w:fldChar w:fldCharType="separate"/>
            </w:r>
            <w:r w:rsidR="004A470F" w:rsidRPr="004A470F">
              <w:rPr>
                <w:webHidden/>
              </w:rPr>
              <w:t>19</w:t>
            </w:r>
            <w:r w:rsidRPr="004A470F">
              <w:rPr>
                <w:webHidden/>
              </w:rPr>
              <w:fldChar w:fldCharType="end"/>
            </w:r>
          </w:hyperlink>
        </w:p>
        <w:p w:rsidR="004A470F" w:rsidRPr="004A470F" w:rsidRDefault="00876F0E" w:rsidP="004A470F">
          <w:pPr>
            <w:pStyle w:val="Obsah3"/>
            <w:tabs>
              <w:tab w:val="right" w:pos="9062"/>
            </w:tabs>
            <w:ind w:left="0" w:hanging="2"/>
          </w:pPr>
          <w:hyperlink w:anchor="_Toc204266970" w:history="1">
            <w:r w:rsidR="004A470F" w:rsidRPr="004A470F">
              <w:rPr>
                <w:rStyle w:val="Hypertextovodkaz"/>
                <w:rFonts w:ascii="Athiti" w:eastAsia="Athiti" w:hAnsi="Athiti" w:cs="Athiti"/>
              </w:rPr>
              <w:t>4.3.2. Kvantitativní hodnocení rizik</w:t>
            </w:r>
            <w:r w:rsidR="004A470F" w:rsidRPr="004A470F">
              <w:rPr>
                <w:webHidden/>
              </w:rPr>
              <w:tab/>
            </w:r>
            <w:r w:rsidRPr="004A470F">
              <w:rPr>
                <w:webHidden/>
              </w:rPr>
              <w:fldChar w:fldCharType="begin"/>
            </w:r>
            <w:r w:rsidR="004A470F" w:rsidRPr="004A470F">
              <w:rPr>
                <w:webHidden/>
              </w:rPr>
              <w:instrText xml:space="preserve"> PAGEREF _Toc204266970 \h </w:instrText>
            </w:r>
            <w:r w:rsidRPr="004A470F">
              <w:rPr>
                <w:webHidden/>
              </w:rPr>
            </w:r>
            <w:r w:rsidRPr="004A470F">
              <w:rPr>
                <w:webHidden/>
              </w:rPr>
              <w:fldChar w:fldCharType="separate"/>
            </w:r>
            <w:r w:rsidR="004A470F" w:rsidRPr="004A470F">
              <w:rPr>
                <w:webHidden/>
              </w:rPr>
              <w:t>20</w:t>
            </w:r>
            <w:r w:rsidRPr="004A470F">
              <w:rPr>
                <w:webHidden/>
              </w:rPr>
              <w:fldChar w:fldCharType="end"/>
            </w:r>
          </w:hyperlink>
        </w:p>
        <w:p w:rsidR="004A470F" w:rsidRPr="004A470F" w:rsidRDefault="00876F0E" w:rsidP="004A470F">
          <w:pPr>
            <w:pStyle w:val="Obsah1"/>
            <w:tabs>
              <w:tab w:val="right" w:pos="9062"/>
            </w:tabs>
            <w:ind w:hanging="2"/>
          </w:pPr>
          <w:hyperlink w:anchor="_Toc204266971" w:history="1">
            <w:r w:rsidR="004A470F" w:rsidRPr="004A470F">
              <w:rPr>
                <w:rStyle w:val="Hypertextovodkaz"/>
                <w:rFonts w:ascii="Athiti" w:eastAsia="Athiti" w:hAnsi="Athiti" w:cs="Athiti"/>
                <w:b/>
              </w:rPr>
              <w:t>6. Závěry a zdůvodnění</w:t>
            </w:r>
            <w:r w:rsidR="004A470F" w:rsidRPr="004A470F">
              <w:rPr>
                <w:webHidden/>
              </w:rPr>
              <w:tab/>
            </w:r>
            <w:r w:rsidRPr="004A470F">
              <w:rPr>
                <w:webHidden/>
              </w:rPr>
              <w:fldChar w:fldCharType="begin"/>
            </w:r>
            <w:r w:rsidR="004A470F" w:rsidRPr="004A470F">
              <w:rPr>
                <w:webHidden/>
              </w:rPr>
              <w:instrText xml:space="preserve"> PAGEREF _Toc204266971 \h </w:instrText>
            </w:r>
            <w:r w:rsidRPr="004A470F">
              <w:rPr>
                <w:webHidden/>
              </w:rPr>
            </w:r>
            <w:r w:rsidRPr="004A470F">
              <w:rPr>
                <w:webHidden/>
              </w:rPr>
              <w:fldChar w:fldCharType="separate"/>
            </w:r>
            <w:r w:rsidR="004A470F" w:rsidRPr="004A470F">
              <w:rPr>
                <w:webHidden/>
              </w:rPr>
              <w:t>21</w:t>
            </w:r>
            <w:r w:rsidRPr="004A470F">
              <w:rPr>
                <w:webHidden/>
              </w:rPr>
              <w:fldChar w:fldCharType="end"/>
            </w:r>
          </w:hyperlink>
        </w:p>
        <w:p w:rsidR="004A470F" w:rsidRPr="004A470F" w:rsidRDefault="00876F0E" w:rsidP="004A470F">
          <w:pPr>
            <w:pStyle w:val="Obsah2"/>
            <w:tabs>
              <w:tab w:val="right" w:pos="9062"/>
            </w:tabs>
            <w:ind w:left="0" w:hanging="2"/>
          </w:pPr>
          <w:hyperlink w:anchor="_Toc204266972" w:history="1">
            <w:r w:rsidR="004A470F" w:rsidRPr="004A470F">
              <w:rPr>
                <w:rStyle w:val="Hypertextovodkaz"/>
                <w:rFonts w:ascii="Athiti" w:eastAsia="Athiti" w:hAnsi="Athiti" w:cs="Athiti"/>
              </w:rPr>
              <w:t>6.1. Obecný rámec</w:t>
            </w:r>
            <w:r w:rsidR="004A470F" w:rsidRPr="004A470F">
              <w:rPr>
                <w:webHidden/>
              </w:rPr>
              <w:tab/>
            </w:r>
            <w:r w:rsidRPr="004A470F">
              <w:rPr>
                <w:webHidden/>
              </w:rPr>
              <w:fldChar w:fldCharType="begin"/>
            </w:r>
            <w:r w:rsidR="004A470F" w:rsidRPr="004A470F">
              <w:rPr>
                <w:webHidden/>
              </w:rPr>
              <w:instrText xml:space="preserve"> PAGEREF _Toc204266972 \h </w:instrText>
            </w:r>
            <w:r w:rsidRPr="004A470F">
              <w:rPr>
                <w:webHidden/>
              </w:rPr>
            </w:r>
            <w:r w:rsidRPr="004A470F">
              <w:rPr>
                <w:webHidden/>
              </w:rPr>
              <w:fldChar w:fldCharType="separate"/>
            </w:r>
            <w:r w:rsidR="004A470F" w:rsidRPr="004A470F">
              <w:rPr>
                <w:webHidden/>
              </w:rPr>
              <w:t>21</w:t>
            </w:r>
            <w:r w:rsidRPr="004A470F">
              <w:rPr>
                <w:webHidden/>
              </w:rPr>
              <w:fldChar w:fldCharType="end"/>
            </w:r>
          </w:hyperlink>
        </w:p>
        <w:p w:rsidR="004A470F" w:rsidRPr="004A470F" w:rsidRDefault="00876F0E" w:rsidP="004A470F">
          <w:pPr>
            <w:pStyle w:val="Obsah2"/>
            <w:tabs>
              <w:tab w:val="right" w:pos="9062"/>
            </w:tabs>
            <w:ind w:left="0" w:hanging="2"/>
          </w:pPr>
          <w:hyperlink w:anchor="_Toc204266973" w:history="1">
            <w:r w:rsidR="004A470F" w:rsidRPr="004A470F">
              <w:rPr>
                <w:rStyle w:val="Hypertextovodkaz"/>
                <w:rFonts w:ascii="Athiti" w:eastAsia="Athiti" w:hAnsi="Athiti" w:cs="Athiti"/>
              </w:rPr>
              <w:t>6.2. Rozdělení výpočtu vysoce rizikových faktorů</w:t>
            </w:r>
            <w:r w:rsidR="004A470F" w:rsidRPr="004A470F">
              <w:rPr>
                <w:webHidden/>
              </w:rPr>
              <w:tab/>
            </w:r>
            <w:r w:rsidRPr="004A470F">
              <w:rPr>
                <w:webHidden/>
              </w:rPr>
              <w:fldChar w:fldCharType="begin"/>
            </w:r>
            <w:r w:rsidR="004A470F" w:rsidRPr="004A470F">
              <w:rPr>
                <w:webHidden/>
              </w:rPr>
              <w:instrText xml:space="preserve"> PAGEREF _Toc204266973 \h </w:instrText>
            </w:r>
            <w:r w:rsidRPr="004A470F">
              <w:rPr>
                <w:webHidden/>
              </w:rPr>
            </w:r>
            <w:r w:rsidRPr="004A470F">
              <w:rPr>
                <w:webHidden/>
              </w:rPr>
              <w:fldChar w:fldCharType="separate"/>
            </w:r>
            <w:r w:rsidR="004A470F" w:rsidRPr="004A470F">
              <w:rPr>
                <w:webHidden/>
              </w:rPr>
              <w:t>22</w:t>
            </w:r>
            <w:r w:rsidRPr="004A470F">
              <w:rPr>
                <w:webHidden/>
              </w:rPr>
              <w:fldChar w:fldCharType="end"/>
            </w:r>
          </w:hyperlink>
        </w:p>
        <w:p w:rsidR="00766C3E" w:rsidRPr="004A470F" w:rsidRDefault="00876F0E" w:rsidP="00766C3E">
          <w:pPr>
            <w:pStyle w:val="normal"/>
            <w:widowControl w:val="0"/>
            <w:tabs>
              <w:tab w:val="right" w:pos="12000"/>
            </w:tabs>
            <w:spacing w:before="60" w:after="0" w:line="240" w:lineRule="auto"/>
            <w:ind w:left="360"/>
            <w:rPr>
              <w:rFonts w:ascii="Athiti" w:eastAsia="Athiti" w:hAnsi="Athiti" w:cs="Athiti"/>
              <w:color w:val="000000"/>
              <w:lang w:val="cs-CZ"/>
            </w:rPr>
          </w:pPr>
          <w:r w:rsidRPr="004A470F">
            <w:rPr>
              <w:lang w:val="cs-CZ"/>
            </w:rPr>
            <w:fldChar w:fldCharType="end"/>
          </w:r>
        </w:p>
      </w:sdtContent>
    </w:sdt>
    <w:p w:rsidR="00766C3E" w:rsidRPr="004A470F" w:rsidRDefault="00766C3E" w:rsidP="00766C3E">
      <w:pPr>
        <w:pStyle w:val="normal"/>
        <w:tabs>
          <w:tab w:val="left" w:pos="425"/>
        </w:tabs>
        <w:rPr>
          <w:rFonts w:ascii="Athiti" w:eastAsia="Athiti" w:hAnsi="Athiti" w:cs="Athiti"/>
          <w:lang w:val="cs-CZ"/>
        </w:rPr>
      </w:pPr>
      <w:bookmarkStart w:id="0" w:name="_heading=h.gjdgxs" w:colFirst="0" w:colLast="0"/>
      <w:bookmarkEnd w:id="0"/>
    </w:p>
    <w:p w:rsidR="00766C3E" w:rsidRPr="004A470F" w:rsidRDefault="00766C3E" w:rsidP="00766C3E">
      <w:pPr>
        <w:pStyle w:val="normal"/>
        <w:tabs>
          <w:tab w:val="left" w:pos="425"/>
        </w:tabs>
        <w:rPr>
          <w:rFonts w:ascii="Athiti" w:eastAsia="Athiti" w:hAnsi="Athiti" w:cs="Athiti"/>
          <w:lang w:val="cs-CZ"/>
        </w:rPr>
      </w:pPr>
    </w:p>
    <w:p w:rsidR="00766C3E" w:rsidRPr="004A470F" w:rsidRDefault="00766C3E" w:rsidP="00766C3E">
      <w:pPr>
        <w:pStyle w:val="normal"/>
        <w:tabs>
          <w:tab w:val="left" w:pos="425"/>
        </w:tabs>
        <w:rPr>
          <w:rFonts w:ascii="Athiti" w:eastAsia="Athiti" w:hAnsi="Athiti" w:cs="Athiti"/>
          <w:lang w:val="cs-CZ"/>
        </w:rPr>
      </w:pPr>
      <w:bookmarkStart w:id="1" w:name="_heading=h.eosbvbjcwzyu" w:colFirst="0" w:colLast="0"/>
      <w:bookmarkEnd w:id="1"/>
    </w:p>
    <w:p w:rsidR="00766C3E" w:rsidRPr="004A470F" w:rsidRDefault="00766C3E" w:rsidP="00766C3E">
      <w:pPr>
        <w:pStyle w:val="normal"/>
        <w:tabs>
          <w:tab w:val="left" w:pos="425"/>
        </w:tabs>
        <w:rPr>
          <w:rFonts w:ascii="Athiti" w:eastAsia="Athiti" w:hAnsi="Athiti" w:cs="Athiti"/>
          <w:lang w:val="cs-CZ"/>
        </w:rPr>
      </w:pPr>
      <w:bookmarkStart w:id="2" w:name="_heading=h.xg2y27ldmz1l" w:colFirst="0" w:colLast="0"/>
      <w:bookmarkEnd w:id="2"/>
    </w:p>
    <w:p w:rsidR="00766C3E" w:rsidRPr="004A470F" w:rsidRDefault="00766C3E" w:rsidP="00766C3E">
      <w:pPr>
        <w:pStyle w:val="normal"/>
        <w:tabs>
          <w:tab w:val="left" w:pos="425"/>
        </w:tabs>
        <w:rPr>
          <w:rFonts w:ascii="Athiti" w:eastAsia="Athiti" w:hAnsi="Athiti" w:cs="Athiti"/>
          <w:lang w:val="cs-CZ"/>
        </w:rPr>
      </w:pPr>
      <w:bookmarkStart w:id="3" w:name="_heading=h.kn2sd4e9ugni" w:colFirst="0" w:colLast="0"/>
      <w:bookmarkEnd w:id="3"/>
    </w:p>
    <w:p w:rsidR="00766C3E" w:rsidRPr="004A470F" w:rsidRDefault="00766C3E" w:rsidP="00766C3E">
      <w:pPr>
        <w:pStyle w:val="Heading1"/>
        <w:ind w:left="2" w:hanging="4"/>
        <w:rPr>
          <w:rFonts w:ascii="Athiti" w:eastAsia="Athiti" w:hAnsi="Athiti" w:cs="Athiti"/>
          <w:b/>
          <w:sz w:val="36"/>
          <w:szCs w:val="36"/>
        </w:rPr>
      </w:pPr>
      <w:bookmarkStart w:id="4" w:name="_heading=h.3pgcowckt9bz" w:colFirst="0" w:colLast="0"/>
      <w:bookmarkStart w:id="5" w:name="_heading=h.30j0zll" w:colFirst="0" w:colLast="0"/>
      <w:bookmarkStart w:id="6" w:name="_Toc204266946"/>
      <w:bookmarkEnd w:id="4"/>
      <w:bookmarkEnd w:id="5"/>
      <w:r w:rsidRPr="004A470F">
        <w:rPr>
          <w:rFonts w:ascii="Athiti" w:eastAsia="Athiti" w:hAnsi="Athiti" w:cs="Athiti"/>
          <w:b/>
          <w:sz w:val="36"/>
          <w:szCs w:val="36"/>
        </w:rPr>
        <w:lastRenderedPageBreak/>
        <w:t>1. Úvod</w:t>
      </w:r>
      <w:bookmarkEnd w:id="6"/>
    </w:p>
    <w:p w:rsidR="00766C3E" w:rsidRPr="004A470F" w:rsidRDefault="00766C3E" w:rsidP="00766C3E">
      <w:pPr>
        <w:pStyle w:val="normal"/>
        <w:spacing w:after="0" w:line="240" w:lineRule="auto"/>
        <w:jc w:val="both"/>
        <w:rPr>
          <w:rFonts w:ascii="Athiti" w:eastAsia="Athiti" w:hAnsi="Athiti" w:cs="Athiti"/>
          <w:lang w:val="cs-CZ"/>
        </w:rPr>
      </w:pPr>
      <w:bookmarkStart w:id="7" w:name="_heading=h.tjej4mvy01y4" w:colFirst="0" w:colLast="0"/>
      <w:bookmarkEnd w:id="7"/>
      <w:r w:rsidRPr="004A470F">
        <w:rPr>
          <w:rFonts w:ascii="Athiti" w:eastAsia="Athiti" w:hAnsi="Athiti" w:cs="Athiti"/>
          <w:lang w:val="cs-CZ"/>
        </w:rPr>
        <w:t>Tento dokument představuje písemné posouzení rizik legalizace výnosů z trestné činnosti a financování terorismu (dále jen „Hodnocení rizik“), vypracované v souladu s § 21a zákona č. 253/2008 Sb., o některých opatřeních proti legalizaci výnosů z trestné činnosti a financování terorismu (dále jen „AML zákon“).</w:t>
      </w:r>
    </w:p>
    <w:p w:rsidR="00766C3E" w:rsidRPr="004A470F" w:rsidRDefault="00766C3E" w:rsidP="00766C3E">
      <w:pPr>
        <w:pStyle w:val="normal"/>
        <w:spacing w:after="0" w:line="240" w:lineRule="auto"/>
        <w:jc w:val="both"/>
        <w:rPr>
          <w:rFonts w:ascii="Athiti" w:eastAsia="Athiti" w:hAnsi="Athiti" w:cs="Athiti"/>
          <w:lang w:val="cs-CZ"/>
        </w:rPr>
      </w:pPr>
      <w:bookmarkStart w:id="8" w:name="_heading=h.6sdugwlciz00" w:colFirst="0" w:colLast="0"/>
      <w:bookmarkEnd w:id="8"/>
    </w:p>
    <w:p w:rsidR="00766C3E" w:rsidRPr="004A470F" w:rsidRDefault="00766C3E" w:rsidP="00766C3E">
      <w:pPr>
        <w:pStyle w:val="normal"/>
        <w:spacing w:after="0" w:line="240" w:lineRule="auto"/>
        <w:jc w:val="both"/>
        <w:rPr>
          <w:rFonts w:ascii="Athiti" w:eastAsia="Athiti" w:hAnsi="Athiti" w:cs="Athiti"/>
          <w:lang w:val="cs-CZ"/>
        </w:rPr>
      </w:pPr>
      <w:bookmarkStart w:id="9" w:name="_heading=h.ma8gw6q1gyva" w:colFirst="0" w:colLast="0"/>
      <w:bookmarkEnd w:id="9"/>
      <w:r w:rsidRPr="004A470F">
        <w:rPr>
          <w:rFonts w:ascii="Athiti" w:eastAsia="Athiti" w:hAnsi="Athiti" w:cs="Athiti"/>
          <w:lang w:val="cs-CZ"/>
        </w:rPr>
        <w:t xml:space="preserve">Cílem tohoto dokumentu je identifikovat úroveň rizik spojených s praním peněz a financováním terorismu (dále jen „riziko praní peněz a financování terorismu“) v rámci činností společnosti </w:t>
      </w:r>
      <w:r w:rsidR="004A470F" w:rsidRPr="004A470F">
        <w:rPr>
          <w:rFonts w:ascii="Athiti" w:eastAsia="Athiti" w:hAnsi="Athiti" w:cs="Athiti"/>
          <w:lang w:val="cs-CZ"/>
        </w:rPr>
        <w:t>ZMAN - KESEF</w:t>
      </w:r>
      <w:r w:rsidRPr="004A470F">
        <w:rPr>
          <w:rFonts w:ascii="Athiti" w:eastAsia="Athiti" w:hAnsi="Athiti" w:cs="Athiti"/>
          <w:lang w:val="cs-CZ"/>
        </w:rPr>
        <w:t xml:space="preserve"> s.r.o. a přijmout opatření k zamezení zneužití jejích produktů a služeb k těmto nezákonným účelům.</w:t>
      </w:r>
    </w:p>
    <w:p w:rsidR="00766C3E" w:rsidRPr="004A470F" w:rsidRDefault="00766C3E" w:rsidP="00766C3E">
      <w:pPr>
        <w:pStyle w:val="normal"/>
        <w:spacing w:after="0" w:line="240" w:lineRule="auto"/>
        <w:jc w:val="both"/>
        <w:rPr>
          <w:rFonts w:ascii="Athiti" w:eastAsia="Athiti" w:hAnsi="Athiti" w:cs="Athiti"/>
          <w:lang w:val="cs-CZ"/>
        </w:rPr>
      </w:pPr>
      <w:bookmarkStart w:id="10" w:name="_heading=h.gngezwvjn3fs" w:colFirst="0" w:colLast="0"/>
      <w:bookmarkEnd w:id="10"/>
    </w:p>
    <w:p w:rsidR="00766C3E" w:rsidRPr="004A470F" w:rsidRDefault="00766C3E" w:rsidP="00766C3E">
      <w:pPr>
        <w:pStyle w:val="normal"/>
        <w:spacing w:after="0" w:line="240" w:lineRule="auto"/>
        <w:jc w:val="both"/>
        <w:rPr>
          <w:rFonts w:ascii="Athiti" w:eastAsia="Athiti" w:hAnsi="Athiti" w:cs="Athiti"/>
          <w:lang w:val="cs-CZ"/>
        </w:rPr>
      </w:pPr>
      <w:bookmarkStart w:id="11" w:name="_heading=h.xwk82o1n4ep" w:colFirst="0" w:colLast="0"/>
      <w:bookmarkEnd w:id="11"/>
      <w:r w:rsidRPr="004A470F">
        <w:rPr>
          <w:rFonts w:ascii="Athiti" w:eastAsia="Athiti" w:hAnsi="Athiti" w:cs="Athiti"/>
          <w:lang w:val="cs-CZ"/>
        </w:rPr>
        <w:t xml:space="preserve">Toto Hodnocení rizik se vztahuje na veškeré produkty a služby poskytované společností </w:t>
      </w:r>
      <w:r w:rsidR="004A470F" w:rsidRPr="004A470F">
        <w:rPr>
          <w:rFonts w:ascii="Athiti" w:eastAsia="Athiti" w:hAnsi="Athiti" w:cs="Athiti"/>
          <w:lang w:val="cs-CZ"/>
        </w:rPr>
        <w:t>ZMAN - KESEF</w:t>
      </w:r>
      <w:r w:rsidRPr="004A470F">
        <w:rPr>
          <w:rFonts w:ascii="Athiti" w:eastAsia="Athiti" w:hAnsi="Athiti" w:cs="Athiti"/>
          <w:lang w:val="cs-CZ"/>
        </w:rPr>
        <w:t xml:space="preserve"> s.r.o., jakož i na všechny její zaměstnance a činnosti vykonávané v rámci běžného podnikání.</w:t>
      </w:r>
    </w:p>
    <w:p w:rsidR="00766C3E" w:rsidRPr="004A470F" w:rsidRDefault="00766C3E" w:rsidP="00766C3E">
      <w:pPr>
        <w:pStyle w:val="Heading1"/>
        <w:ind w:left="2" w:hanging="4"/>
        <w:rPr>
          <w:rFonts w:ascii="Athiti" w:eastAsia="Athiti" w:hAnsi="Athiti" w:cs="Athiti"/>
          <w:b/>
          <w:sz w:val="36"/>
          <w:szCs w:val="36"/>
        </w:rPr>
      </w:pPr>
      <w:bookmarkStart w:id="12" w:name="_Toc204266947"/>
      <w:r w:rsidRPr="004A470F">
        <w:rPr>
          <w:rFonts w:ascii="Athiti" w:eastAsia="Athiti" w:hAnsi="Athiti" w:cs="Athiti"/>
          <w:b/>
          <w:sz w:val="36"/>
          <w:szCs w:val="36"/>
        </w:rPr>
        <w:t>2. Právní zdroje</w:t>
      </w:r>
      <w:bookmarkEnd w:id="12"/>
    </w:p>
    <w:p w:rsidR="00766C3E" w:rsidRPr="004A470F" w:rsidRDefault="00766C3E" w:rsidP="00766C3E">
      <w:pPr>
        <w:pStyle w:val="normal"/>
        <w:tabs>
          <w:tab w:val="left" w:pos="420"/>
        </w:tabs>
        <w:spacing w:after="0" w:line="240" w:lineRule="auto"/>
        <w:jc w:val="both"/>
        <w:rPr>
          <w:rFonts w:ascii="Athiti" w:eastAsia="Athiti" w:hAnsi="Athiti" w:cs="Athiti"/>
          <w:lang w:val="cs-CZ"/>
        </w:rPr>
      </w:pPr>
      <w:r w:rsidRPr="004A470F">
        <w:rPr>
          <w:rFonts w:ascii="Athiti" w:eastAsia="Athiti" w:hAnsi="Athiti" w:cs="Athiti"/>
          <w:lang w:val="cs-CZ"/>
        </w:rPr>
        <w:t>Pro zajištění souladu s platnou AML legislativou bylo toto Hodnocení rizik vypracováno na základě požadavků následujících právních předpisů:</w:t>
      </w:r>
    </w:p>
    <w:p w:rsidR="00766C3E" w:rsidRPr="004A470F" w:rsidRDefault="00766C3E" w:rsidP="00766C3E">
      <w:pPr>
        <w:pStyle w:val="normal"/>
        <w:numPr>
          <w:ilvl w:val="0"/>
          <w:numId w:val="22"/>
        </w:numPr>
        <w:tabs>
          <w:tab w:val="left" w:pos="420"/>
        </w:tabs>
        <w:spacing w:after="0" w:line="240" w:lineRule="auto"/>
        <w:jc w:val="both"/>
        <w:rPr>
          <w:rFonts w:ascii="Athiti" w:eastAsia="Athiti" w:hAnsi="Athiti" w:cs="Athiti"/>
          <w:lang w:val="cs-CZ"/>
        </w:rPr>
      </w:pPr>
      <w:r w:rsidRPr="004A470F">
        <w:rPr>
          <w:rFonts w:ascii="Athiti" w:eastAsia="Athiti" w:hAnsi="Athiti" w:cs="Athiti"/>
          <w:lang w:val="cs-CZ"/>
        </w:rPr>
        <w:t>zákon č. 253/2008 Sb., o některých opatřeních proti legalizaci výnosů z trestné činnosti a financování terorismu;</w:t>
      </w:r>
    </w:p>
    <w:p w:rsidR="00766C3E" w:rsidRPr="004A470F" w:rsidRDefault="00766C3E" w:rsidP="00766C3E">
      <w:pPr>
        <w:pStyle w:val="normal"/>
        <w:numPr>
          <w:ilvl w:val="0"/>
          <w:numId w:val="22"/>
        </w:numPr>
        <w:tabs>
          <w:tab w:val="left" w:pos="420"/>
        </w:tabs>
        <w:spacing w:after="0" w:line="240" w:lineRule="auto"/>
        <w:jc w:val="both"/>
        <w:rPr>
          <w:rFonts w:ascii="Athiti" w:eastAsia="Athiti" w:hAnsi="Athiti" w:cs="Athiti"/>
          <w:lang w:val="cs-CZ"/>
        </w:rPr>
      </w:pPr>
      <w:r w:rsidRPr="004A470F">
        <w:rPr>
          <w:rFonts w:ascii="Athiti" w:eastAsia="Athiti" w:hAnsi="Athiti" w:cs="Athiti"/>
          <w:lang w:val="cs-CZ"/>
        </w:rPr>
        <w:t>zákon č. 69/2006 Sb., o provádění mezinárodních sankcí;</w:t>
      </w:r>
    </w:p>
    <w:p w:rsidR="00766C3E" w:rsidRPr="004A470F" w:rsidRDefault="00766C3E" w:rsidP="00766C3E">
      <w:pPr>
        <w:pStyle w:val="normal"/>
        <w:numPr>
          <w:ilvl w:val="0"/>
          <w:numId w:val="22"/>
        </w:numPr>
        <w:tabs>
          <w:tab w:val="left" w:pos="420"/>
        </w:tabs>
        <w:spacing w:after="0" w:line="240" w:lineRule="auto"/>
        <w:jc w:val="both"/>
        <w:rPr>
          <w:rFonts w:ascii="Athiti" w:eastAsia="Athiti" w:hAnsi="Athiti" w:cs="Athiti"/>
          <w:lang w:val="cs-CZ"/>
        </w:rPr>
      </w:pPr>
      <w:r w:rsidRPr="004A470F">
        <w:rPr>
          <w:rFonts w:ascii="Athiti" w:eastAsia="Athiti" w:hAnsi="Athiti" w:cs="Athiti"/>
          <w:lang w:val="cs-CZ"/>
        </w:rPr>
        <w:t>vyhláška České národní banky č. 67/2018 Sb., o některých požadavcích v oblasti vnitřního řízení, organizační struktury a kontroly rizik.</w:t>
      </w:r>
    </w:p>
    <w:p w:rsidR="00766C3E" w:rsidRPr="004A470F" w:rsidRDefault="00766C3E" w:rsidP="00766C3E">
      <w:pPr>
        <w:pStyle w:val="normal"/>
        <w:tabs>
          <w:tab w:val="left" w:pos="420"/>
        </w:tabs>
        <w:spacing w:after="0" w:line="240" w:lineRule="auto"/>
        <w:ind w:left="720"/>
        <w:jc w:val="both"/>
        <w:rPr>
          <w:rFonts w:ascii="Athiti" w:eastAsia="Athiti" w:hAnsi="Athiti" w:cs="Athiti"/>
          <w:lang w:val="cs-CZ"/>
        </w:rPr>
      </w:pPr>
    </w:p>
    <w:p w:rsidR="00766C3E" w:rsidRPr="004A470F" w:rsidRDefault="00766C3E" w:rsidP="00766C3E">
      <w:pPr>
        <w:pStyle w:val="normal"/>
        <w:tabs>
          <w:tab w:val="left" w:pos="420"/>
        </w:tabs>
        <w:spacing w:after="0" w:line="240" w:lineRule="auto"/>
        <w:jc w:val="both"/>
        <w:rPr>
          <w:rFonts w:ascii="Athiti" w:eastAsia="Athiti" w:hAnsi="Athiti" w:cs="Athiti"/>
          <w:lang w:val="cs-CZ"/>
        </w:rPr>
      </w:pPr>
      <w:r w:rsidRPr="004A470F">
        <w:rPr>
          <w:rFonts w:ascii="Athiti" w:eastAsia="Athiti" w:hAnsi="Athiti" w:cs="Athiti"/>
          <w:lang w:val="cs-CZ"/>
        </w:rPr>
        <w:t>Při přípravě tohoto Hodnocení rizik byly zohledněny následující relevantní zdroje:</w:t>
      </w:r>
    </w:p>
    <w:p w:rsidR="00766C3E" w:rsidRPr="004A470F" w:rsidRDefault="00766C3E" w:rsidP="00766C3E">
      <w:pPr>
        <w:pStyle w:val="normal"/>
        <w:numPr>
          <w:ilvl w:val="0"/>
          <w:numId w:val="22"/>
        </w:numPr>
        <w:tabs>
          <w:tab w:val="left" w:pos="420"/>
        </w:tabs>
        <w:spacing w:after="0" w:line="240" w:lineRule="auto"/>
        <w:jc w:val="both"/>
        <w:rPr>
          <w:rFonts w:ascii="Athiti" w:eastAsia="Athiti" w:hAnsi="Athiti" w:cs="Athiti"/>
          <w:lang w:val="cs-CZ"/>
        </w:rPr>
      </w:pPr>
      <w:r w:rsidRPr="004A470F">
        <w:rPr>
          <w:rFonts w:ascii="Athiti" w:eastAsia="Athiti" w:hAnsi="Athiti" w:cs="Athiti"/>
          <w:lang w:val="cs-CZ"/>
        </w:rPr>
        <w:t>Národní hodnocení rizik praní špinavých peněz a financování terorismu, vydané Finančním analytickým úřadem České republiky (dále jen „Národní hodnocení rizik ML/TF“);</w:t>
      </w:r>
    </w:p>
    <w:p w:rsidR="00766C3E" w:rsidRPr="004A470F" w:rsidRDefault="00766C3E" w:rsidP="00766C3E">
      <w:pPr>
        <w:pStyle w:val="normal"/>
        <w:numPr>
          <w:ilvl w:val="0"/>
          <w:numId w:val="22"/>
        </w:numPr>
        <w:tabs>
          <w:tab w:val="left" w:pos="420"/>
        </w:tabs>
        <w:spacing w:after="0" w:line="240" w:lineRule="auto"/>
        <w:jc w:val="both"/>
        <w:rPr>
          <w:rFonts w:ascii="Athiti" w:eastAsia="Athiti" w:hAnsi="Athiti" w:cs="Athiti"/>
          <w:lang w:val="cs-CZ"/>
        </w:rPr>
      </w:pPr>
      <w:r w:rsidRPr="004A470F">
        <w:rPr>
          <w:rFonts w:ascii="Athiti" w:eastAsia="Athiti" w:hAnsi="Athiti" w:cs="Athiti"/>
          <w:lang w:val="cs-CZ"/>
        </w:rPr>
        <w:t>Zpráva Evropské komise Evropskému parlamentu a Radě o hodnocení rizik praní peněz a financování terorismu, ovlivňujících vnitřní trh a souvisejících s přeshraničními činnostmi (dále jen „European ML/TF Risk Assessment“);</w:t>
      </w:r>
    </w:p>
    <w:p w:rsidR="00766C3E" w:rsidRPr="004A470F" w:rsidRDefault="00766C3E" w:rsidP="00766C3E">
      <w:pPr>
        <w:pStyle w:val="normal"/>
        <w:numPr>
          <w:ilvl w:val="0"/>
          <w:numId w:val="22"/>
        </w:numPr>
        <w:tabs>
          <w:tab w:val="left" w:pos="420"/>
        </w:tabs>
        <w:spacing w:after="0" w:line="240" w:lineRule="auto"/>
        <w:jc w:val="both"/>
        <w:rPr>
          <w:rFonts w:ascii="Athiti" w:eastAsia="Athiti" w:hAnsi="Athiti" w:cs="Athiti"/>
          <w:lang w:val="cs-CZ"/>
        </w:rPr>
      </w:pPr>
      <w:r w:rsidRPr="004A470F">
        <w:rPr>
          <w:rFonts w:ascii="Athiti" w:eastAsia="Athiti" w:hAnsi="Athiti" w:cs="Athiti"/>
          <w:lang w:val="cs-CZ"/>
        </w:rPr>
        <w:t>metodické a výkladové materiály a rozhodnutí vydaná Českou národní bankou (ČNB) a Finančním analytickým úřadem (FAÚ);</w:t>
      </w:r>
    </w:p>
    <w:p w:rsidR="00766C3E" w:rsidRPr="004A470F" w:rsidRDefault="00766C3E" w:rsidP="00766C3E">
      <w:pPr>
        <w:pStyle w:val="normal"/>
        <w:numPr>
          <w:ilvl w:val="0"/>
          <w:numId w:val="22"/>
        </w:numPr>
        <w:tabs>
          <w:tab w:val="left" w:pos="420"/>
        </w:tabs>
        <w:spacing w:after="0" w:line="240" w:lineRule="auto"/>
        <w:jc w:val="both"/>
        <w:rPr>
          <w:rFonts w:ascii="Athiti" w:eastAsia="Athiti" w:hAnsi="Athiti" w:cs="Athiti"/>
          <w:lang w:val="cs-CZ"/>
        </w:rPr>
      </w:pPr>
      <w:r w:rsidRPr="004A470F">
        <w:rPr>
          <w:rFonts w:ascii="Athiti" w:eastAsia="Athiti" w:hAnsi="Athiti" w:cs="Athiti"/>
          <w:lang w:val="cs-CZ"/>
        </w:rPr>
        <w:t>pokyny FATF týkající se přístupu založeného na riziku;</w:t>
      </w:r>
    </w:p>
    <w:p w:rsidR="00766C3E" w:rsidRPr="004A470F" w:rsidRDefault="00766C3E" w:rsidP="00766C3E">
      <w:pPr>
        <w:pStyle w:val="normal"/>
        <w:numPr>
          <w:ilvl w:val="0"/>
          <w:numId w:val="22"/>
        </w:numPr>
        <w:tabs>
          <w:tab w:val="left" w:pos="420"/>
        </w:tabs>
        <w:spacing w:after="0" w:line="240" w:lineRule="auto"/>
        <w:jc w:val="both"/>
        <w:rPr>
          <w:rFonts w:ascii="Athiti" w:eastAsia="Athiti" w:hAnsi="Athiti" w:cs="Athiti"/>
          <w:lang w:val="cs-CZ"/>
        </w:rPr>
      </w:pPr>
      <w:r w:rsidRPr="004A470F">
        <w:rPr>
          <w:rFonts w:ascii="Athiti" w:eastAsia="Athiti" w:hAnsi="Athiti" w:cs="Athiti"/>
          <w:lang w:val="cs-CZ"/>
        </w:rPr>
        <w:t>informace poskytnuté FAÚ a orgány činnými v trestním řízení;</w:t>
      </w:r>
    </w:p>
    <w:p w:rsidR="00766C3E" w:rsidRPr="004A470F" w:rsidRDefault="00766C3E" w:rsidP="00766C3E">
      <w:pPr>
        <w:pStyle w:val="normal"/>
        <w:numPr>
          <w:ilvl w:val="0"/>
          <w:numId w:val="22"/>
        </w:numPr>
        <w:tabs>
          <w:tab w:val="left" w:pos="420"/>
        </w:tabs>
        <w:spacing w:after="0" w:line="240" w:lineRule="auto"/>
        <w:jc w:val="both"/>
        <w:rPr>
          <w:rFonts w:ascii="Athiti" w:eastAsia="Athiti" w:hAnsi="Athiti" w:cs="Athiti"/>
          <w:lang w:val="cs-CZ"/>
        </w:rPr>
      </w:pPr>
      <w:r w:rsidRPr="004A470F">
        <w:rPr>
          <w:rFonts w:ascii="Athiti" w:eastAsia="Athiti" w:hAnsi="Athiti" w:cs="Athiti"/>
          <w:lang w:val="cs-CZ"/>
        </w:rPr>
        <w:t>poznatky získané v rámci identifikace klienta a procesu prověřování (due diligence).</w:t>
      </w:r>
    </w:p>
    <w:p w:rsidR="00766C3E" w:rsidRPr="004A470F" w:rsidRDefault="00766C3E" w:rsidP="00766C3E">
      <w:pPr>
        <w:pStyle w:val="Heading1"/>
        <w:ind w:left="2" w:hanging="4"/>
        <w:rPr>
          <w:rFonts w:ascii="Athiti" w:eastAsia="Athiti" w:hAnsi="Athiti" w:cs="Athiti"/>
          <w:b/>
          <w:sz w:val="36"/>
          <w:szCs w:val="36"/>
        </w:rPr>
      </w:pPr>
      <w:bookmarkStart w:id="13" w:name="_Toc204266948"/>
      <w:r w:rsidRPr="004A470F">
        <w:rPr>
          <w:rFonts w:ascii="Athiti" w:eastAsia="Athiti" w:hAnsi="Athiti" w:cs="Athiti"/>
          <w:b/>
          <w:sz w:val="36"/>
          <w:szCs w:val="36"/>
        </w:rPr>
        <w:t>3. Povaha, velikost a složitost podnikání</w:t>
      </w:r>
      <w:bookmarkEnd w:id="13"/>
    </w:p>
    <w:p w:rsidR="00766C3E" w:rsidRPr="004A470F" w:rsidRDefault="00766C3E" w:rsidP="00766C3E">
      <w:pPr>
        <w:pStyle w:val="Heading2"/>
        <w:spacing w:before="280" w:after="280"/>
        <w:ind w:left="0" w:hanging="2"/>
        <w:rPr>
          <w:rFonts w:ascii="Athiti" w:eastAsia="Athiti" w:hAnsi="Athiti" w:cs="Athiti" w:hint="default"/>
          <w:i w:val="0"/>
          <w:sz w:val="24"/>
          <w:szCs w:val="24"/>
          <w:lang w:val="cs-CZ"/>
        </w:rPr>
      </w:pPr>
      <w:bookmarkStart w:id="14" w:name="_Toc204266949"/>
      <w:r w:rsidRPr="004A470F">
        <w:rPr>
          <w:rFonts w:ascii="Athiti" w:eastAsia="Athiti" w:hAnsi="Athiti" w:cs="Athiti" w:hint="default"/>
          <w:i w:val="0"/>
          <w:sz w:val="24"/>
          <w:szCs w:val="24"/>
          <w:lang w:val="cs-CZ"/>
        </w:rPr>
        <w:t>3.1 Povaha podnikání</w:t>
      </w:r>
      <w:bookmarkEnd w:id="14"/>
    </w:p>
    <w:p w:rsidR="00766C3E" w:rsidRPr="004A470F" w:rsidRDefault="00766C3E" w:rsidP="00766C3E">
      <w:pPr>
        <w:pStyle w:val="normal"/>
        <w:rPr>
          <w:rFonts w:ascii="Athiti" w:eastAsia="Athiti" w:hAnsi="Athiti" w:cs="Athiti"/>
          <w:lang w:val="cs-CZ"/>
        </w:rPr>
      </w:pPr>
      <w:r w:rsidRPr="004A470F">
        <w:rPr>
          <w:rFonts w:ascii="Athiti" w:eastAsia="Athiti" w:hAnsi="Athiti" w:cs="Athiti"/>
          <w:lang w:val="cs-CZ"/>
        </w:rPr>
        <w:t>Společnost nabízí službu směny kryptoaktiv za peněžní prostředky, tedy nákup kryptoaktiv od zákazníka za fiat měnu, a současně i jejich prodej zákazníkovi za fiat měnu. Tato činnost je poskytována výhradně za úplatu, v režimu podnikání, a představuje základní činnost Žadatele v oblasti virtuálních aktiv.</w:t>
      </w:r>
    </w:p>
    <w:p w:rsidR="00766C3E" w:rsidRPr="004A470F" w:rsidRDefault="00766C3E" w:rsidP="00766C3E">
      <w:pPr>
        <w:pStyle w:val="normal"/>
        <w:rPr>
          <w:rFonts w:ascii="Athiti" w:eastAsia="Athiti" w:hAnsi="Athiti" w:cs="Athiti"/>
          <w:b/>
          <w:lang w:val="cs-CZ"/>
        </w:rPr>
      </w:pPr>
      <w:r w:rsidRPr="004A470F">
        <w:rPr>
          <w:rFonts w:ascii="Athiti" w:eastAsia="Athiti" w:hAnsi="Athiti" w:cs="Athiti"/>
          <w:b/>
          <w:lang w:val="cs-CZ"/>
        </w:rPr>
        <w:t>Způsob poskytování služby</w:t>
      </w:r>
    </w:p>
    <w:p w:rsidR="00766C3E" w:rsidRPr="004A470F" w:rsidRDefault="00766C3E" w:rsidP="00766C3E">
      <w:pPr>
        <w:pStyle w:val="normal"/>
        <w:rPr>
          <w:rFonts w:ascii="Athiti" w:eastAsia="Athiti" w:hAnsi="Athiti" w:cs="Athiti"/>
          <w:lang w:val="cs-CZ"/>
        </w:rPr>
      </w:pPr>
      <w:r w:rsidRPr="004A470F">
        <w:rPr>
          <w:rFonts w:ascii="Athiti" w:eastAsia="Athiti" w:hAnsi="Athiti" w:cs="Athiti"/>
          <w:lang w:val="cs-CZ"/>
        </w:rPr>
        <w:t>Služba je poskytovaná zákazníkům prostřednictvím digitálních kanálů, zejména ověřených online P2P platforem (např. Binance, Bybit), a dále prostřednictvím přímé komunikace (e-mail, zabezpečené komunikační aplikace) a plánovaně také prostřednictvím fyzické pobočky v České republice.</w:t>
      </w:r>
    </w:p>
    <w:p w:rsidR="00766C3E" w:rsidRPr="004A470F" w:rsidRDefault="00766C3E" w:rsidP="00766C3E">
      <w:pPr>
        <w:pStyle w:val="normal"/>
        <w:rPr>
          <w:rFonts w:ascii="Athiti" w:eastAsia="Athiti" w:hAnsi="Athiti" w:cs="Athiti"/>
          <w:lang w:val="cs-CZ"/>
        </w:rPr>
      </w:pPr>
      <w:r w:rsidRPr="004A470F">
        <w:rPr>
          <w:rFonts w:ascii="Athiti" w:eastAsia="Athiti" w:hAnsi="Athiti" w:cs="Athiti"/>
          <w:lang w:val="cs-CZ"/>
        </w:rPr>
        <w:t xml:space="preserve">Zákazník, který má zájem směnit kryptoaktivum za peněžní prostředek (např. USDC za CZK), iniciuje poptávku po směně prostřednictvím platformy, nebo kontaktuje společnost přímo. Po základní </w:t>
      </w:r>
      <w:r w:rsidRPr="004A470F">
        <w:rPr>
          <w:rFonts w:ascii="Athiti" w:eastAsia="Athiti" w:hAnsi="Athiti" w:cs="Athiti"/>
          <w:lang w:val="cs-CZ"/>
        </w:rPr>
        <w:lastRenderedPageBreak/>
        <w:t>komunikaci (včetně AML identifikace a ověření účelu obchodu) je zákazníkovi zaslána nabídka, která obsahuje:</w:t>
      </w:r>
    </w:p>
    <w:p w:rsidR="00766C3E" w:rsidRPr="004A470F" w:rsidRDefault="00766C3E" w:rsidP="00766C3E">
      <w:pPr>
        <w:pStyle w:val="normal"/>
        <w:numPr>
          <w:ilvl w:val="0"/>
          <w:numId w:val="13"/>
        </w:numPr>
        <w:spacing w:after="0"/>
        <w:ind w:left="900"/>
        <w:rPr>
          <w:rFonts w:ascii="Athiti" w:eastAsia="Athiti" w:hAnsi="Athiti" w:cs="Athiti"/>
          <w:lang w:val="cs-CZ"/>
        </w:rPr>
      </w:pPr>
      <w:r w:rsidRPr="004A470F">
        <w:rPr>
          <w:rFonts w:ascii="Athiti" w:eastAsia="Athiti" w:hAnsi="Athiti" w:cs="Athiti"/>
          <w:lang w:val="cs-CZ"/>
        </w:rPr>
        <w:t>směnný kurz včetně marže společnosti,</w:t>
      </w:r>
    </w:p>
    <w:p w:rsidR="00766C3E" w:rsidRPr="004A470F" w:rsidRDefault="00766C3E" w:rsidP="00766C3E">
      <w:pPr>
        <w:pStyle w:val="normal"/>
        <w:numPr>
          <w:ilvl w:val="0"/>
          <w:numId w:val="13"/>
        </w:numPr>
        <w:spacing w:after="0"/>
        <w:ind w:left="900"/>
        <w:rPr>
          <w:rFonts w:ascii="Athiti" w:eastAsia="Athiti" w:hAnsi="Athiti" w:cs="Athiti"/>
          <w:lang w:val="cs-CZ"/>
        </w:rPr>
      </w:pPr>
      <w:r w:rsidRPr="004A470F">
        <w:rPr>
          <w:rFonts w:ascii="Athiti" w:eastAsia="Athiti" w:hAnsi="Athiti" w:cs="Athiti"/>
          <w:lang w:val="cs-CZ"/>
        </w:rPr>
        <w:t>přesnou částku v kryptoměně a v peněžní měně,</w:t>
      </w:r>
    </w:p>
    <w:p w:rsidR="00766C3E" w:rsidRPr="004A470F" w:rsidRDefault="00766C3E" w:rsidP="00766C3E">
      <w:pPr>
        <w:pStyle w:val="normal"/>
        <w:numPr>
          <w:ilvl w:val="0"/>
          <w:numId w:val="13"/>
        </w:numPr>
        <w:ind w:left="900"/>
        <w:rPr>
          <w:rFonts w:ascii="Athiti" w:eastAsia="Athiti" w:hAnsi="Athiti" w:cs="Athiti"/>
          <w:lang w:val="cs-CZ"/>
        </w:rPr>
      </w:pPr>
      <w:r w:rsidRPr="004A470F">
        <w:rPr>
          <w:rFonts w:ascii="Athiti" w:eastAsia="Athiti" w:hAnsi="Athiti" w:cs="Athiti"/>
          <w:lang w:val="cs-CZ"/>
        </w:rPr>
        <w:t>identifikační údaje společnosti a pokyny k provedení transakce.</w:t>
      </w:r>
    </w:p>
    <w:p w:rsidR="00766C3E" w:rsidRPr="004A470F" w:rsidRDefault="00766C3E" w:rsidP="00766C3E">
      <w:pPr>
        <w:pStyle w:val="normal"/>
        <w:rPr>
          <w:rFonts w:ascii="Athiti" w:eastAsia="Athiti" w:hAnsi="Athiti" w:cs="Athiti"/>
          <w:lang w:val="cs-CZ"/>
        </w:rPr>
      </w:pPr>
      <w:r w:rsidRPr="004A470F">
        <w:rPr>
          <w:rFonts w:ascii="Athiti" w:eastAsia="Athiti" w:hAnsi="Athiti" w:cs="Athiti"/>
          <w:lang w:val="cs-CZ"/>
        </w:rPr>
        <w:t>Po akceptaci nabídky dochází k uzavření smluvního vztahu ve smyslu občanského zákoníku (smlouva o směně). Uzavření smlouvy může být realizováno v elektronické podobě (např. prostřednictvím e-mailu, webového formuláře, potvrzením podmínek při registraci nebo přímou zprávou na platformě), případně fyzicky na pobočce.</w:t>
      </w:r>
    </w:p>
    <w:p w:rsidR="00766C3E" w:rsidRPr="004A470F" w:rsidRDefault="00766C3E" w:rsidP="00766C3E">
      <w:pPr>
        <w:pStyle w:val="normal"/>
        <w:rPr>
          <w:rFonts w:ascii="Athiti" w:eastAsia="Athiti" w:hAnsi="Athiti" w:cs="Athiti"/>
          <w:b/>
          <w:lang w:val="cs-CZ"/>
        </w:rPr>
      </w:pPr>
      <w:r w:rsidRPr="004A470F">
        <w:rPr>
          <w:rFonts w:ascii="Athiti" w:eastAsia="Athiti" w:hAnsi="Athiti" w:cs="Athiti"/>
          <w:b/>
          <w:lang w:val="cs-CZ"/>
        </w:rPr>
        <w:t>Proces transakce</w:t>
      </w:r>
    </w:p>
    <w:p w:rsidR="00766C3E" w:rsidRPr="004A470F" w:rsidRDefault="00766C3E" w:rsidP="00766C3E">
      <w:pPr>
        <w:pStyle w:val="normal"/>
        <w:rPr>
          <w:rFonts w:ascii="Athiti" w:eastAsia="Athiti" w:hAnsi="Athiti" w:cs="Athiti"/>
          <w:lang w:val="cs-CZ"/>
        </w:rPr>
      </w:pPr>
      <w:r w:rsidRPr="004A470F">
        <w:rPr>
          <w:rFonts w:ascii="Athiti" w:eastAsia="Athiti" w:hAnsi="Athiti" w:cs="Athiti"/>
          <w:lang w:val="cs-CZ"/>
        </w:rPr>
        <w:t>Transakce probíhá výhradně bezhotovostním způsobem. Zákazník buď:</w:t>
      </w:r>
    </w:p>
    <w:p w:rsidR="00766C3E" w:rsidRPr="004A470F" w:rsidRDefault="00766C3E" w:rsidP="00766C3E">
      <w:pPr>
        <w:pStyle w:val="normal"/>
        <w:numPr>
          <w:ilvl w:val="0"/>
          <w:numId w:val="16"/>
        </w:numPr>
        <w:spacing w:after="0"/>
        <w:ind w:left="900"/>
        <w:rPr>
          <w:rFonts w:ascii="Athiti" w:eastAsia="Athiti" w:hAnsi="Athiti" w:cs="Athiti"/>
          <w:lang w:val="cs-CZ"/>
        </w:rPr>
      </w:pPr>
      <w:r w:rsidRPr="004A470F">
        <w:rPr>
          <w:rFonts w:ascii="Athiti" w:eastAsia="Athiti" w:hAnsi="Athiti" w:cs="Athiti"/>
          <w:lang w:val="cs-CZ"/>
        </w:rPr>
        <w:t>převede fiat měnu na bankovní účet společnosti (v případě nákupu krypta),</w:t>
      </w:r>
    </w:p>
    <w:p w:rsidR="00766C3E" w:rsidRPr="004A470F" w:rsidRDefault="00766C3E" w:rsidP="00766C3E">
      <w:pPr>
        <w:pStyle w:val="normal"/>
        <w:numPr>
          <w:ilvl w:val="0"/>
          <w:numId w:val="16"/>
        </w:numPr>
        <w:ind w:left="900"/>
        <w:rPr>
          <w:rFonts w:ascii="Athiti" w:eastAsia="Athiti" w:hAnsi="Athiti" w:cs="Athiti"/>
          <w:lang w:val="cs-CZ"/>
        </w:rPr>
      </w:pPr>
      <w:r w:rsidRPr="004A470F">
        <w:rPr>
          <w:rFonts w:ascii="Athiti" w:eastAsia="Athiti" w:hAnsi="Athiti" w:cs="Athiti"/>
          <w:lang w:val="cs-CZ"/>
        </w:rPr>
        <w:t xml:space="preserve">nebo odešle kryptoměnu na firemní kryptopeněženku (v případě prodeje krypta), a to vždy z účtu vedeného na jméno, které odpovídá údajům poskytnutým při AML identifikaci. </w:t>
      </w:r>
    </w:p>
    <w:p w:rsidR="00766C3E" w:rsidRPr="004A470F" w:rsidRDefault="00766C3E" w:rsidP="00766C3E">
      <w:pPr>
        <w:pStyle w:val="normal"/>
        <w:rPr>
          <w:rFonts w:ascii="Athiti" w:eastAsia="Athiti" w:hAnsi="Athiti" w:cs="Athiti"/>
          <w:lang w:val="cs-CZ"/>
        </w:rPr>
      </w:pPr>
      <w:r w:rsidRPr="004A470F">
        <w:rPr>
          <w:rFonts w:ascii="Athiti" w:eastAsia="Athiti" w:hAnsi="Athiti" w:cs="Athiti"/>
          <w:lang w:val="cs-CZ"/>
        </w:rPr>
        <w:t>Po obdržení prostředků společnost provede směnu a zašle druhou stranu transakce (tj. fiat/krypto) na účet nebo adresu zákazníka.</w:t>
      </w:r>
    </w:p>
    <w:p w:rsidR="00766C3E" w:rsidRPr="004A470F" w:rsidRDefault="00766C3E" w:rsidP="00766C3E">
      <w:pPr>
        <w:pStyle w:val="normal"/>
        <w:rPr>
          <w:rFonts w:ascii="Athiti" w:eastAsia="Athiti" w:hAnsi="Athiti" w:cs="Athiti"/>
          <w:b/>
          <w:lang w:val="cs-CZ"/>
        </w:rPr>
      </w:pPr>
      <w:r w:rsidRPr="004A470F">
        <w:rPr>
          <w:rFonts w:ascii="Athiti" w:eastAsia="Athiti" w:hAnsi="Athiti" w:cs="Athiti"/>
          <w:b/>
          <w:lang w:val="cs-CZ"/>
        </w:rPr>
        <w:t>AML a smluvní vztah</w:t>
      </w:r>
    </w:p>
    <w:p w:rsidR="00766C3E" w:rsidRPr="004A470F" w:rsidRDefault="00766C3E" w:rsidP="00766C3E">
      <w:pPr>
        <w:pStyle w:val="normal"/>
        <w:rPr>
          <w:rFonts w:ascii="Athiti" w:eastAsia="Athiti" w:hAnsi="Athiti" w:cs="Athiti"/>
          <w:lang w:val="cs-CZ"/>
        </w:rPr>
      </w:pPr>
      <w:r w:rsidRPr="004A470F">
        <w:rPr>
          <w:rFonts w:ascii="Athiti" w:eastAsia="Athiti" w:hAnsi="Athiti" w:cs="Athiti"/>
          <w:lang w:val="cs-CZ"/>
        </w:rPr>
        <w:t>Před každou transakcí je zákazník povinen absolvovat AML proces v souladu se zákonem č. 253/2008 Sb. (identifikace a kontrola klienta). Tento proces zahrnuje:</w:t>
      </w:r>
    </w:p>
    <w:p w:rsidR="00766C3E" w:rsidRPr="004A470F" w:rsidRDefault="00766C3E" w:rsidP="00766C3E">
      <w:pPr>
        <w:pStyle w:val="normal"/>
        <w:numPr>
          <w:ilvl w:val="0"/>
          <w:numId w:val="1"/>
        </w:numPr>
        <w:spacing w:after="0"/>
        <w:ind w:left="900"/>
        <w:rPr>
          <w:rFonts w:ascii="Athiti" w:eastAsia="Athiti" w:hAnsi="Athiti" w:cs="Athiti"/>
          <w:lang w:val="cs-CZ"/>
        </w:rPr>
      </w:pPr>
      <w:r w:rsidRPr="004A470F">
        <w:rPr>
          <w:rFonts w:ascii="Athiti" w:eastAsia="Athiti" w:hAnsi="Athiti" w:cs="Athiti"/>
          <w:lang w:val="cs-CZ"/>
        </w:rPr>
        <w:t>ověření totožnosti (doložení dokladů),</w:t>
      </w:r>
    </w:p>
    <w:p w:rsidR="00766C3E" w:rsidRPr="004A470F" w:rsidRDefault="00766C3E" w:rsidP="00766C3E">
      <w:pPr>
        <w:pStyle w:val="normal"/>
        <w:numPr>
          <w:ilvl w:val="0"/>
          <w:numId w:val="1"/>
        </w:numPr>
        <w:spacing w:after="0"/>
        <w:ind w:left="900"/>
        <w:rPr>
          <w:rFonts w:ascii="Athiti" w:eastAsia="Athiti" w:hAnsi="Athiti" w:cs="Athiti"/>
          <w:lang w:val="cs-CZ"/>
        </w:rPr>
      </w:pPr>
      <w:r w:rsidRPr="004A470F">
        <w:rPr>
          <w:rFonts w:ascii="Athiti" w:eastAsia="Athiti" w:hAnsi="Athiti" w:cs="Athiti"/>
          <w:lang w:val="cs-CZ"/>
        </w:rPr>
        <w:t>ověření vlastnictví účtu nebo peněženky,</w:t>
      </w:r>
    </w:p>
    <w:p w:rsidR="00766C3E" w:rsidRPr="004A470F" w:rsidRDefault="00766C3E" w:rsidP="00766C3E">
      <w:pPr>
        <w:pStyle w:val="normal"/>
        <w:numPr>
          <w:ilvl w:val="0"/>
          <w:numId w:val="1"/>
        </w:numPr>
        <w:ind w:left="900"/>
        <w:rPr>
          <w:rFonts w:ascii="Athiti" w:eastAsia="Athiti" w:hAnsi="Athiti" w:cs="Athiti"/>
          <w:lang w:val="cs-CZ"/>
        </w:rPr>
      </w:pPr>
      <w:r w:rsidRPr="004A470F">
        <w:rPr>
          <w:rFonts w:ascii="Athiti" w:eastAsia="Athiti" w:hAnsi="Athiti" w:cs="Athiti"/>
          <w:lang w:val="cs-CZ"/>
        </w:rPr>
        <w:t>prověření osoby na sankčních seznamech a dle rizikového profilu.</w:t>
      </w:r>
    </w:p>
    <w:p w:rsidR="00766C3E" w:rsidRPr="004A470F" w:rsidRDefault="00766C3E" w:rsidP="00766C3E">
      <w:pPr>
        <w:pStyle w:val="normal"/>
        <w:rPr>
          <w:rFonts w:ascii="Athiti" w:eastAsia="Athiti" w:hAnsi="Athiti" w:cs="Athiti"/>
          <w:lang w:val="cs-CZ"/>
        </w:rPr>
      </w:pPr>
      <w:r w:rsidRPr="004A470F">
        <w:rPr>
          <w:rFonts w:ascii="Athiti" w:eastAsia="Athiti" w:hAnsi="Athiti" w:cs="Athiti"/>
          <w:lang w:val="cs-CZ"/>
        </w:rPr>
        <w:t>Smluvní vztah je dokumentován uložením digitální komunikace, potvrzením obchodních podmínek a evidencí transakce v interním systému. Společnost uchovává veškeré záznamy o smlouvách, transakcích i AML dokumentaci v souladu s právními požadavky.</w:t>
      </w:r>
    </w:p>
    <w:p w:rsidR="00766C3E" w:rsidRPr="004A470F" w:rsidRDefault="00766C3E" w:rsidP="00766C3E">
      <w:pPr>
        <w:pStyle w:val="normal"/>
        <w:rPr>
          <w:rFonts w:ascii="Athiti" w:eastAsia="Athiti" w:hAnsi="Athiti" w:cs="Athiti"/>
          <w:b/>
          <w:lang w:val="cs-CZ"/>
        </w:rPr>
      </w:pPr>
      <w:r w:rsidRPr="004A470F">
        <w:rPr>
          <w:rFonts w:ascii="Athiti" w:eastAsia="Athiti" w:hAnsi="Athiti" w:cs="Athiti"/>
          <w:b/>
          <w:lang w:val="cs-CZ"/>
        </w:rPr>
        <w:t>Nabídka a marketing</w:t>
      </w:r>
    </w:p>
    <w:p w:rsidR="00766C3E" w:rsidRPr="004A470F" w:rsidRDefault="00766C3E" w:rsidP="00766C3E">
      <w:pPr>
        <w:pStyle w:val="normal"/>
        <w:rPr>
          <w:rFonts w:ascii="Athiti" w:eastAsia="Athiti" w:hAnsi="Athiti" w:cs="Athiti"/>
          <w:lang w:val="cs-CZ"/>
        </w:rPr>
      </w:pPr>
      <w:r w:rsidRPr="004A470F">
        <w:rPr>
          <w:rFonts w:ascii="Athiti" w:eastAsia="Athiti" w:hAnsi="Athiti" w:cs="Athiti"/>
          <w:lang w:val="cs-CZ"/>
        </w:rPr>
        <w:t>Tato služba bude zákazníkům nabízena:</w:t>
      </w:r>
    </w:p>
    <w:p w:rsidR="00766C3E" w:rsidRPr="004A470F" w:rsidRDefault="00766C3E" w:rsidP="00766C3E">
      <w:pPr>
        <w:pStyle w:val="normal"/>
        <w:numPr>
          <w:ilvl w:val="0"/>
          <w:numId w:val="15"/>
        </w:numPr>
        <w:spacing w:after="0"/>
        <w:ind w:left="900"/>
        <w:rPr>
          <w:rFonts w:ascii="Athiti" w:eastAsia="Athiti" w:hAnsi="Athiti" w:cs="Athiti"/>
          <w:lang w:val="cs-CZ"/>
        </w:rPr>
      </w:pPr>
      <w:r w:rsidRPr="004A470F">
        <w:rPr>
          <w:rFonts w:ascii="Athiti" w:eastAsia="Athiti" w:hAnsi="Athiti" w:cs="Athiti"/>
          <w:lang w:val="cs-CZ"/>
        </w:rPr>
        <w:t>prostřednictvím vlastních komunikačních kanálů společnosti,</w:t>
      </w:r>
    </w:p>
    <w:p w:rsidR="00766C3E" w:rsidRPr="004A470F" w:rsidRDefault="00766C3E" w:rsidP="00766C3E">
      <w:pPr>
        <w:pStyle w:val="normal"/>
        <w:numPr>
          <w:ilvl w:val="0"/>
          <w:numId w:val="15"/>
        </w:numPr>
        <w:spacing w:after="0"/>
        <w:ind w:left="900"/>
        <w:rPr>
          <w:rFonts w:ascii="Athiti" w:eastAsia="Athiti" w:hAnsi="Athiti" w:cs="Athiti"/>
          <w:lang w:val="cs-CZ"/>
        </w:rPr>
      </w:pPr>
      <w:r w:rsidRPr="004A470F">
        <w:rPr>
          <w:rFonts w:ascii="Athiti" w:eastAsia="Athiti" w:hAnsi="Athiti" w:cs="Athiti"/>
          <w:lang w:val="cs-CZ"/>
        </w:rPr>
        <w:t>přes aktivní inzerci na P2P tržištích,</w:t>
      </w:r>
    </w:p>
    <w:p w:rsidR="00766C3E" w:rsidRPr="004A470F" w:rsidRDefault="00766C3E" w:rsidP="00766C3E">
      <w:pPr>
        <w:pStyle w:val="normal"/>
        <w:numPr>
          <w:ilvl w:val="0"/>
          <w:numId w:val="15"/>
        </w:numPr>
        <w:ind w:left="900"/>
        <w:rPr>
          <w:rFonts w:ascii="Athiti" w:eastAsia="Athiti" w:hAnsi="Athiti" w:cs="Athiti"/>
          <w:lang w:val="cs-CZ"/>
        </w:rPr>
      </w:pPr>
      <w:r w:rsidRPr="004A470F">
        <w:rPr>
          <w:rFonts w:ascii="Athiti" w:eastAsia="Athiti" w:hAnsi="Athiti" w:cs="Athiti"/>
          <w:lang w:val="cs-CZ"/>
        </w:rPr>
        <w:t>skrze vlastní webové stránky.</w:t>
      </w:r>
    </w:p>
    <w:p w:rsidR="00766C3E" w:rsidRPr="004A470F" w:rsidRDefault="00766C3E" w:rsidP="00766C3E">
      <w:pPr>
        <w:pStyle w:val="normal"/>
        <w:rPr>
          <w:rFonts w:ascii="Athiti" w:eastAsia="Athiti" w:hAnsi="Athiti" w:cs="Athiti"/>
          <w:b/>
          <w:lang w:val="cs-CZ"/>
        </w:rPr>
      </w:pPr>
      <w:r w:rsidRPr="004A470F">
        <w:rPr>
          <w:rFonts w:ascii="Athiti" w:eastAsia="Athiti" w:hAnsi="Athiti" w:cs="Athiti"/>
          <w:b/>
          <w:lang w:val="cs-CZ"/>
        </w:rPr>
        <w:t>Transparentnost a informovanost</w:t>
      </w:r>
    </w:p>
    <w:p w:rsidR="00766C3E" w:rsidRPr="004A470F" w:rsidRDefault="00766C3E" w:rsidP="00766C3E">
      <w:pPr>
        <w:pStyle w:val="normal"/>
        <w:rPr>
          <w:rFonts w:ascii="Athiti" w:eastAsia="Athiti" w:hAnsi="Athiti" w:cs="Athiti"/>
          <w:lang w:val="cs-CZ"/>
        </w:rPr>
      </w:pPr>
      <w:r w:rsidRPr="004A470F">
        <w:rPr>
          <w:rFonts w:ascii="Athiti" w:eastAsia="Athiti" w:hAnsi="Athiti" w:cs="Athiti"/>
          <w:lang w:val="cs-CZ"/>
        </w:rPr>
        <w:t>Zákazníci jsou před uskutečněním každé transakce informováni o:</w:t>
      </w:r>
    </w:p>
    <w:p w:rsidR="00766C3E" w:rsidRPr="004A470F" w:rsidRDefault="00766C3E" w:rsidP="00766C3E">
      <w:pPr>
        <w:pStyle w:val="normal"/>
        <w:numPr>
          <w:ilvl w:val="0"/>
          <w:numId w:val="14"/>
        </w:numPr>
        <w:spacing w:after="0"/>
        <w:ind w:left="900"/>
        <w:rPr>
          <w:rFonts w:ascii="Athiti" w:eastAsia="Athiti" w:hAnsi="Athiti" w:cs="Athiti"/>
          <w:lang w:val="cs-CZ"/>
        </w:rPr>
      </w:pPr>
      <w:r w:rsidRPr="004A470F">
        <w:rPr>
          <w:rFonts w:ascii="Athiti" w:eastAsia="Athiti" w:hAnsi="Athiti" w:cs="Athiti"/>
          <w:lang w:val="cs-CZ"/>
        </w:rPr>
        <w:t>celkové výši poplatku nebo marže,</w:t>
      </w:r>
    </w:p>
    <w:p w:rsidR="00766C3E" w:rsidRPr="004A470F" w:rsidRDefault="00766C3E" w:rsidP="00766C3E">
      <w:pPr>
        <w:pStyle w:val="normal"/>
        <w:numPr>
          <w:ilvl w:val="0"/>
          <w:numId w:val="14"/>
        </w:numPr>
        <w:spacing w:after="0"/>
        <w:ind w:left="900"/>
        <w:rPr>
          <w:rFonts w:ascii="Athiti" w:eastAsia="Athiti" w:hAnsi="Athiti" w:cs="Athiti"/>
          <w:lang w:val="cs-CZ"/>
        </w:rPr>
      </w:pPr>
      <w:r w:rsidRPr="004A470F">
        <w:rPr>
          <w:rFonts w:ascii="Athiti" w:eastAsia="Athiti" w:hAnsi="Athiti" w:cs="Athiti"/>
          <w:lang w:val="cs-CZ"/>
        </w:rPr>
        <w:t>směnném kurzu,</w:t>
      </w:r>
    </w:p>
    <w:p w:rsidR="00766C3E" w:rsidRPr="004A470F" w:rsidRDefault="00766C3E" w:rsidP="00766C3E">
      <w:pPr>
        <w:pStyle w:val="normal"/>
        <w:numPr>
          <w:ilvl w:val="0"/>
          <w:numId w:val="14"/>
        </w:numPr>
        <w:spacing w:after="0"/>
        <w:ind w:left="900"/>
        <w:rPr>
          <w:rFonts w:ascii="Athiti" w:eastAsia="Athiti" w:hAnsi="Athiti" w:cs="Athiti"/>
          <w:lang w:val="cs-CZ"/>
        </w:rPr>
      </w:pPr>
      <w:r w:rsidRPr="004A470F">
        <w:rPr>
          <w:rFonts w:ascii="Athiti" w:eastAsia="Athiti" w:hAnsi="Athiti" w:cs="Athiti"/>
          <w:lang w:val="cs-CZ"/>
        </w:rPr>
        <w:t>možných rizicích souvisejících s kryptoaktivy,</w:t>
      </w:r>
    </w:p>
    <w:p w:rsidR="00766C3E" w:rsidRPr="004A470F" w:rsidRDefault="00766C3E" w:rsidP="00766C3E">
      <w:pPr>
        <w:pStyle w:val="normal"/>
        <w:numPr>
          <w:ilvl w:val="0"/>
          <w:numId w:val="14"/>
        </w:numPr>
        <w:ind w:left="900"/>
        <w:rPr>
          <w:rFonts w:ascii="Athiti" w:eastAsia="Athiti" w:hAnsi="Athiti" w:cs="Athiti"/>
          <w:lang w:val="cs-CZ"/>
        </w:rPr>
      </w:pPr>
      <w:r w:rsidRPr="004A470F">
        <w:rPr>
          <w:rFonts w:ascii="Athiti" w:eastAsia="Athiti" w:hAnsi="Athiti" w:cs="Athiti"/>
          <w:lang w:val="cs-CZ"/>
        </w:rPr>
        <w:t>způsobu řešení reklamací a stížností</w:t>
      </w:r>
    </w:p>
    <w:p w:rsidR="00766C3E" w:rsidRPr="004A470F" w:rsidRDefault="00766C3E" w:rsidP="00766C3E">
      <w:pPr>
        <w:pStyle w:val="Heading2"/>
        <w:spacing w:before="280" w:after="280"/>
        <w:ind w:left="0" w:hanging="2"/>
        <w:rPr>
          <w:rFonts w:ascii="Athiti" w:eastAsia="Athiti" w:hAnsi="Athiti" w:cs="Athiti" w:hint="default"/>
          <w:i w:val="0"/>
          <w:sz w:val="24"/>
          <w:szCs w:val="24"/>
          <w:lang w:val="cs-CZ"/>
        </w:rPr>
      </w:pPr>
      <w:bookmarkStart w:id="15" w:name="_Toc204266950"/>
      <w:r w:rsidRPr="004A470F">
        <w:rPr>
          <w:rFonts w:ascii="Athiti" w:eastAsia="Athiti" w:hAnsi="Athiti" w:cs="Athiti" w:hint="default"/>
          <w:i w:val="0"/>
          <w:sz w:val="24"/>
          <w:szCs w:val="24"/>
          <w:lang w:val="cs-CZ"/>
        </w:rPr>
        <w:t>3.2 Velikost podniku</w:t>
      </w:r>
      <w:bookmarkEnd w:id="15"/>
    </w:p>
    <w:p w:rsidR="00766C3E" w:rsidRPr="004A470F" w:rsidRDefault="00766C3E" w:rsidP="00766C3E">
      <w:pPr>
        <w:pStyle w:val="normal"/>
        <w:spacing w:after="0"/>
        <w:jc w:val="both"/>
        <w:rPr>
          <w:rFonts w:ascii="Athiti" w:eastAsia="Athiti" w:hAnsi="Athiti" w:cs="Athiti"/>
          <w:lang w:val="cs-CZ"/>
        </w:rPr>
      </w:pPr>
      <w:bookmarkStart w:id="16" w:name="_heading=h.yxpes9bwf9m6" w:colFirst="0" w:colLast="0"/>
      <w:bookmarkEnd w:id="16"/>
      <w:r w:rsidRPr="004A470F">
        <w:rPr>
          <w:rFonts w:ascii="Athiti" w:eastAsia="Athiti" w:hAnsi="Athiti" w:cs="Athiti"/>
          <w:lang w:val="cs-CZ"/>
        </w:rPr>
        <w:t xml:space="preserve">Společnost se řadí mezi malé podniky ve smyslu doporučení Komise 2003/361/ES, tj. zaměstnává méně než 50 osob a její roční obrat nebo bilanční suma nepřesahuje 10 milionů EUR. Tato skutečnost </w:t>
      </w:r>
      <w:r w:rsidRPr="004A470F">
        <w:rPr>
          <w:rFonts w:ascii="Athiti" w:eastAsia="Athiti" w:hAnsi="Athiti" w:cs="Athiti"/>
          <w:lang w:val="cs-CZ"/>
        </w:rPr>
        <w:lastRenderedPageBreak/>
        <w:t>se odráží v rozsahu a struktuře poskytovaných služeb, které jsou zaměřeny na efektivní a flexibilní obsluhu cílové klientely bez rozsáhlé distribuční sítě. Organizační uspořádání je přizpůsobeno tak, aby bylo možné rychle reagovat na potřeby trhu a regulatorní požadavky při zachování nákladové efektivity.</w:t>
      </w:r>
    </w:p>
    <w:p w:rsidR="00766C3E" w:rsidRPr="004A470F" w:rsidRDefault="00766C3E" w:rsidP="00766C3E">
      <w:pPr>
        <w:pStyle w:val="Heading2"/>
        <w:spacing w:before="280" w:after="280"/>
        <w:ind w:left="0" w:hanging="2"/>
        <w:rPr>
          <w:rFonts w:ascii="Athiti" w:eastAsia="Athiti" w:hAnsi="Athiti" w:cs="Athiti" w:hint="default"/>
          <w:i w:val="0"/>
          <w:sz w:val="24"/>
          <w:szCs w:val="24"/>
          <w:lang w:val="cs-CZ"/>
        </w:rPr>
      </w:pPr>
      <w:bookmarkStart w:id="17" w:name="_Toc204266951"/>
      <w:r w:rsidRPr="004A470F">
        <w:rPr>
          <w:rFonts w:ascii="Athiti" w:eastAsia="Athiti" w:hAnsi="Athiti" w:cs="Athiti" w:hint="default"/>
          <w:i w:val="0"/>
          <w:sz w:val="24"/>
          <w:szCs w:val="24"/>
          <w:lang w:val="cs-CZ"/>
        </w:rPr>
        <w:t>3.3. Složitost podnikání</w:t>
      </w:r>
      <w:bookmarkEnd w:id="17"/>
    </w:p>
    <w:p w:rsidR="00766C3E" w:rsidRPr="004A470F" w:rsidRDefault="00766C3E" w:rsidP="00766C3E">
      <w:pPr>
        <w:pStyle w:val="normal"/>
        <w:spacing w:after="0"/>
        <w:jc w:val="both"/>
        <w:rPr>
          <w:rFonts w:ascii="Athiti" w:eastAsia="Athiti" w:hAnsi="Athiti" w:cs="Athiti"/>
          <w:lang w:val="cs-CZ"/>
        </w:rPr>
      </w:pPr>
      <w:r w:rsidRPr="004A470F">
        <w:rPr>
          <w:rFonts w:ascii="Athiti" w:eastAsia="Athiti" w:hAnsi="Athiti" w:cs="Athiti"/>
          <w:lang w:val="cs-CZ"/>
        </w:rPr>
        <w:t>Z hlediska požadavků na prevenci legalizace výnosů z trestné činnosti a financování terorismu lze tento obchodní model hodnotit jako nízce až středně složitý.</w:t>
      </w:r>
    </w:p>
    <w:p w:rsidR="00766C3E" w:rsidRPr="004A470F" w:rsidRDefault="00766C3E" w:rsidP="00766C3E">
      <w:pPr>
        <w:pStyle w:val="normal"/>
        <w:spacing w:after="0"/>
        <w:jc w:val="both"/>
        <w:rPr>
          <w:rFonts w:ascii="Athiti" w:eastAsia="Athiti" w:hAnsi="Athiti" w:cs="Athiti"/>
          <w:lang w:val="cs-CZ"/>
        </w:rPr>
      </w:pPr>
    </w:p>
    <w:p w:rsidR="00766C3E" w:rsidRPr="004A470F" w:rsidRDefault="00766C3E" w:rsidP="00766C3E">
      <w:pPr>
        <w:pStyle w:val="normal"/>
        <w:spacing w:after="0"/>
        <w:jc w:val="both"/>
        <w:rPr>
          <w:rFonts w:ascii="Athiti" w:eastAsia="Athiti" w:hAnsi="Athiti" w:cs="Athiti"/>
          <w:lang w:val="cs-CZ"/>
        </w:rPr>
      </w:pPr>
      <w:r w:rsidRPr="004A470F">
        <w:rPr>
          <w:rFonts w:ascii="Athiti" w:eastAsia="Athiti" w:hAnsi="Athiti" w:cs="Athiti"/>
          <w:lang w:val="cs-CZ"/>
        </w:rPr>
        <w:t>Společnost poskytuje základní službu směny virtuálních aktiv za fiat měnu a naopak, a to výhradně bezhotovostní formou. Transakce jsou prováděny buď prostřednictvím ověřených P2P platforem, nebo přímou komunikací se zákazníkem. Zvolený model je poměrně jednoduchý – jedná se o bilaterální směnu bez využívání složitých strukturovaných produktů nebo pokročilých obchodních mechanismů, jako je staking, custody či deriváty.</w:t>
      </w:r>
    </w:p>
    <w:p w:rsidR="00766C3E" w:rsidRPr="004A470F" w:rsidRDefault="00766C3E" w:rsidP="00766C3E">
      <w:pPr>
        <w:pStyle w:val="normal"/>
        <w:spacing w:after="0"/>
        <w:jc w:val="both"/>
        <w:rPr>
          <w:rFonts w:ascii="Athiti" w:eastAsia="Athiti" w:hAnsi="Athiti" w:cs="Athiti"/>
          <w:lang w:val="cs-CZ"/>
        </w:rPr>
      </w:pPr>
    </w:p>
    <w:p w:rsidR="00766C3E" w:rsidRPr="004A470F" w:rsidRDefault="00766C3E" w:rsidP="00766C3E">
      <w:pPr>
        <w:pStyle w:val="normal"/>
        <w:spacing w:after="0"/>
        <w:jc w:val="both"/>
        <w:rPr>
          <w:rFonts w:ascii="Athiti" w:eastAsia="Athiti" w:hAnsi="Athiti" w:cs="Athiti"/>
          <w:lang w:val="cs-CZ"/>
        </w:rPr>
      </w:pPr>
      <w:r w:rsidRPr="004A470F">
        <w:rPr>
          <w:rFonts w:ascii="Athiti" w:eastAsia="Athiti" w:hAnsi="Athiti" w:cs="Athiti"/>
          <w:lang w:val="cs-CZ"/>
        </w:rPr>
        <w:t>Z pohledu AML je pozitivní, že společnost vyžaduje identifikaci klienta před každou transakcí, a to včetně ověření totožnosti, vlastnictví účtů a peněženek, i kontroly proti sankčním seznamům. Transakce jsou dokumentovány a smluvní vztah je založen srozumitelnou formou, přičemž celý proces je archivován a sledovatelný.</w:t>
      </w:r>
    </w:p>
    <w:p w:rsidR="00766C3E" w:rsidRPr="004A470F" w:rsidRDefault="00766C3E" w:rsidP="00766C3E">
      <w:pPr>
        <w:pStyle w:val="normal"/>
        <w:spacing w:after="0"/>
        <w:jc w:val="both"/>
        <w:rPr>
          <w:rFonts w:ascii="Athiti" w:eastAsia="Athiti" w:hAnsi="Athiti" w:cs="Athiti"/>
          <w:lang w:val="cs-CZ"/>
        </w:rPr>
      </w:pPr>
    </w:p>
    <w:p w:rsidR="00766C3E" w:rsidRPr="004A470F" w:rsidRDefault="00766C3E" w:rsidP="00766C3E">
      <w:pPr>
        <w:pStyle w:val="normal"/>
        <w:spacing w:after="0"/>
        <w:jc w:val="both"/>
        <w:rPr>
          <w:rFonts w:ascii="Athiti" w:eastAsia="Athiti" w:hAnsi="Athiti" w:cs="Athiti"/>
          <w:lang w:val="cs-CZ"/>
        </w:rPr>
      </w:pPr>
      <w:r w:rsidRPr="004A470F">
        <w:rPr>
          <w:rFonts w:ascii="Athiti" w:eastAsia="Athiti" w:hAnsi="Athiti" w:cs="Athiti"/>
          <w:lang w:val="cs-CZ"/>
        </w:rPr>
        <w:t>Rizikovost mírně zvyšuje využívání externích P2P platforem a digitálních komunikačních kanálů, které mohou být náročnější na monitorování a zaznamenávání, nicméně díky relativně přímému způsobu poskytování služby, absenci hotovostních operací a důrazu na AML kontrolu lze celkovou složitost považovat za dobře zvládnutelnou.</w:t>
      </w:r>
    </w:p>
    <w:p w:rsidR="00766C3E" w:rsidRPr="004A470F" w:rsidRDefault="00766C3E" w:rsidP="00766C3E">
      <w:pPr>
        <w:pStyle w:val="Heading1"/>
        <w:ind w:left="2" w:hanging="4"/>
        <w:rPr>
          <w:rFonts w:ascii="Athiti" w:eastAsia="Athiti" w:hAnsi="Athiti" w:cs="Athiti"/>
          <w:b/>
          <w:sz w:val="36"/>
          <w:szCs w:val="36"/>
        </w:rPr>
      </w:pPr>
      <w:bookmarkStart w:id="18" w:name="_Toc204266952"/>
      <w:r w:rsidRPr="004A470F">
        <w:rPr>
          <w:rFonts w:ascii="Athiti" w:eastAsia="Athiti" w:hAnsi="Athiti" w:cs="Athiti"/>
          <w:b/>
          <w:sz w:val="36"/>
          <w:szCs w:val="36"/>
        </w:rPr>
        <w:t>4. Hodnocení rizik ML/TF</w:t>
      </w:r>
      <w:bookmarkEnd w:id="18"/>
    </w:p>
    <w:p w:rsidR="00766C3E" w:rsidRPr="004A470F" w:rsidRDefault="00766C3E" w:rsidP="00766C3E">
      <w:pPr>
        <w:pStyle w:val="normal"/>
        <w:jc w:val="both"/>
        <w:rPr>
          <w:rFonts w:ascii="Athiti" w:eastAsia="Athiti" w:hAnsi="Athiti" w:cs="Athiti"/>
          <w:lang w:val="cs-CZ"/>
        </w:rPr>
      </w:pPr>
      <w:bookmarkStart w:id="19" w:name="_heading=h.8yza3xxyk0tr" w:colFirst="0" w:colLast="0"/>
      <w:bookmarkEnd w:id="19"/>
      <w:r w:rsidRPr="004A470F">
        <w:rPr>
          <w:rFonts w:ascii="Athiti" w:eastAsia="Athiti" w:hAnsi="Athiti" w:cs="Athiti"/>
          <w:lang w:val="cs-CZ"/>
        </w:rPr>
        <w:t xml:space="preserve">Podrobné hodnocení rizik produktů a služeb společnosti </w:t>
      </w:r>
      <w:r w:rsidR="004A470F" w:rsidRPr="004A470F">
        <w:rPr>
          <w:rFonts w:ascii="Athiti" w:eastAsia="Athiti" w:hAnsi="Athiti" w:cs="Athiti"/>
          <w:lang w:val="cs-CZ"/>
        </w:rPr>
        <w:t>ZMAN - KESEF</w:t>
      </w:r>
      <w:r w:rsidRPr="004A470F">
        <w:rPr>
          <w:rFonts w:ascii="Athiti" w:eastAsia="Athiti" w:hAnsi="Athiti" w:cs="Athiti"/>
          <w:lang w:val="cs-CZ"/>
        </w:rPr>
        <w:t xml:space="preserve"> s.r.o., včetně identifikace potenciální zranitelnosti vůči praní peněz a financování terorismu, jakož i rizik souvisejících s využíváním nových technologií a distribučních kanálů, je obsaženo v Příloze č. 1 tohoto Hodnocení rizik.</w:t>
      </w:r>
    </w:p>
    <w:p w:rsidR="00766C3E" w:rsidRPr="004A470F" w:rsidRDefault="00766C3E" w:rsidP="00766C3E">
      <w:pPr>
        <w:pStyle w:val="normal"/>
        <w:jc w:val="both"/>
        <w:rPr>
          <w:rFonts w:ascii="Athiti" w:eastAsia="Athiti" w:hAnsi="Athiti" w:cs="Athiti"/>
          <w:lang w:val="cs-CZ"/>
        </w:rPr>
      </w:pPr>
      <w:bookmarkStart w:id="20" w:name="_heading=h.4d34og8" w:colFirst="0" w:colLast="0"/>
      <w:bookmarkEnd w:id="20"/>
      <w:r w:rsidRPr="004A470F">
        <w:rPr>
          <w:rFonts w:ascii="Athiti" w:eastAsia="Athiti" w:hAnsi="Athiti" w:cs="Athiti"/>
          <w:lang w:val="cs-CZ"/>
        </w:rPr>
        <w:t>Příloha rovněž specifikuje opatření přijatá za účelem účinného řízení a zmírnění identifikovaných rizik.</w:t>
      </w:r>
    </w:p>
    <w:p w:rsidR="00766C3E" w:rsidRPr="004A470F" w:rsidRDefault="00766C3E" w:rsidP="00766C3E">
      <w:pPr>
        <w:pStyle w:val="Heading2"/>
        <w:spacing w:before="280" w:after="280"/>
        <w:ind w:left="0" w:hanging="2"/>
        <w:rPr>
          <w:rFonts w:ascii="Athiti" w:eastAsia="Athiti" w:hAnsi="Athiti" w:cs="Athiti" w:hint="default"/>
          <w:i w:val="0"/>
          <w:sz w:val="24"/>
          <w:szCs w:val="24"/>
          <w:lang w:val="cs-CZ"/>
        </w:rPr>
      </w:pPr>
      <w:bookmarkStart w:id="21" w:name="_Toc204266953"/>
      <w:r w:rsidRPr="004A470F">
        <w:rPr>
          <w:rFonts w:ascii="Athiti" w:eastAsia="Athiti" w:hAnsi="Athiti" w:cs="Athiti" w:hint="default"/>
          <w:i w:val="0"/>
          <w:sz w:val="24"/>
          <w:szCs w:val="24"/>
          <w:lang w:val="cs-CZ"/>
        </w:rPr>
        <w:t>4.1. Identifikace a hodnocení rizikových faktorů</w:t>
      </w:r>
      <w:bookmarkEnd w:id="21"/>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 xml:space="preserve">Při identifikaci a hodnocení rizik legalizace výnosů z trestné činnosti a financování terorismu (ML/FT), kterým může být společnost </w:t>
      </w:r>
      <w:r w:rsidR="004A470F" w:rsidRPr="004A470F">
        <w:rPr>
          <w:rFonts w:ascii="Athiti" w:eastAsia="Athiti" w:hAnsi="Athiti" w:cs="Athiti"/>
          <w:lang w:val="cs-CZ"/>
        </w:rPr>
        <w:t>ZMAN - KESEF</w:t>
      </w:r>
      <w:r w:rsidRPr="004A470F">
        <w:rPr>
          <w:rFonts w:ascii="Athiti" w:eastAsia="Athiti" w:hAnsi="Athiti" w:cs="Athiti"/>
          <w:lang w:val="cs-CZ"/>
        </w:rPr>
        <w:t xml:space="preserve"> s.r.o. vystavena, byla zvážena a vyhodnocena celá řada potenciálních rizikových faktorů, mimo jiné včetně následujících:</w:t>
      </w:r>
    </w:p>
    <w:p w:rsidR="00766C3E" w:rsidRPr="004A470F" w:rsidRDefault="00766C3E" w:rsidP="00766C3E">
      <w:pPr>
        <w:pStyle w:val="Heading3"/>
        <w:keepNext w:val="0"/>
        <w:keepLines w:val="0"/>
        <w:spacing w:before="280" w:after="80"/>
        <w:ind w:left="1" w:hanging="3"/>
        <w:jc w:val="both"/>
        <w:rPr>
          <w:rFonts w:ascii="Athiti" w:eastAsia="Athiti" w:hAnsi="Athiti" w:cs="Athiti"/>
        </w:rPr>
      </w:pPr>
      <w:bookmarkStart w:id="22" w:name="_heading=h.nc7tsyf6zuf2" w:colFirst="0" w:colLast="0"/>
      <w:bookmarkStart w:id="23" w:name="_Toc204266954"/>
      <w:bookmarkEnd w:id="22"/>
      <w:r w:rsidRPr="004A470F">
        <w:rPr>
          <w:rFonts w:ascii="Athiti" w:eastAsia="Athiti" w:hAnsi="Athiti" w:cs="Athiti"/>
        </w:rPr>
        <w:t>4.1.1 Rizikové faktory klienta:</w:t>
      </w:r>
      <w:bookmarkEnd w:id="23"/>
    </w:p>
    <w:p w:rsidR="00766C3E" w:rsidRPr="004A470F" w:rsidRDefault="00766C3E" w:rsidP="00766C3E">
      <w:pPr>
        <w:pStyle w:val="normal"/>
        <w:numPr>
          <w:ilvl w:val="0"/>
          <w:numId w:val="9"/>
        </w:numPr>
        <w:spacing w:before="240" w:after="0" w:line="240" w:lineRule="auto"/>
        <w:rPr>
          <w:rFonts w:ascii="Athiti" w:eastAsia="Athiti" w:hAnsi="Athiti" w:cs="Athiti"/>
          <w:lang w:val="cs-CZ"/>
        </w:rPr>
      </w:pPr>
      <w:r w:rsidRPr="004A470F">
        <w:rPr>
          <w:rFonts w:ascii="Athiti" w:eastAsia="Athiti" w:hAnsi="Athiti" w:cs="Athiti"/>
          <w:lang w:val="cs-CZ"/>
        </w:rPr>
        <w:t>Klient, který je právnickou osobou, nevykonává žádnou ekonomickou činnost.</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Existuje podezření, že skutečný vlastník klienta je zatajován prostřednictvím ujednání mezi ním a fyzickou osobou vystupující jako společník, člen statutárního orgánu nebo osoba v obdobné roli.</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 xml:space="preserve">Informace dostupné společnosti </w:t>
      </w:r>
      <w:r w:rsidR="004A470F" w:rsidRPr="004A470F">
        <w:rPr>
          <w:rFonts w:ascii="Athiti" w:eastAsia="Athiti" w:hAnsi="Athiti" w:cs="Athiti"/>
          <w:lang w:val="cs-CZ"/>
        </w:rPr>
        <w:t>ZMAN - KESEF</w:t>
      </w:r>
      <w:r w:rsidRPr="004A470F">
        <w:rPr>
          <w:rFonts w:ascii="Athiti" w:eastAsia="Athiti" w:hAnsi="Athiti" w:cs="Athiti"/>
          <w:lang w:val="cs-CZ"/>
        </w:rPr>
        <w:t xml:space="preserve"> s.r.o. naznačují, že se klient v posledních pěti letech dopustil nezákonné činnosti, zejména činností souvisejících s legalizací výnosů z trestné činnosti nebo financováním terorismu, případně že jeho jednání svědčí o úmyslu takové činnosti vykonávat.</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lastRenderedPageBreak/>
        <w:t>Obchodní vztah probíhá za neobvyklých či nevysvětlitelných okolností.</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Klient má bydliště nebo je jinak spojen s geografickými oblastmi vykazujícími zvýšené riziko ML/FT.</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Právnická osoba nebo jiné právní uspořádání slouží výhradně k držení majetku bez reálné ekonomické činnosti.</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Klientem je subjekt s nominovanými akcionáři nebo s akciemi na doručitele.</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Podnikání klienta je charakteristické vysokým podílem hotovostních transakcí.</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Vlastnická a kontrolní struktura klienta je složitá nebo neprůhledná.</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Právní forma klienta vykazuje specifickou zranitelnost vůči ML/FT.</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Podnikatelské aktivity, profese klienta nebo jeho skutečného majitele vykazují známky potenciálního rizika ML/FT.</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Sídlo klienta se nachází v jurisdikci se zvýšeným rizikem ML/FT.</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Chování klienta nebo jeho zástupce v rámci obchodního vztahu či jednotlivých transakcí vyvolává podezření nebo obavy.</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Původ finančních prostředků klienta je nejasný, nevysvětlený nebo sporný.</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Zdroj majetku klienta nebo jeho skutečného vlastníka není transparentní.</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Informace naznačují, že klient má přímou nebo nepřímou účast či kontrolu v jiných právnických osobách s nejasnou strukturou nebo původem.</w:t>
      </w:r>
    </w:p>
    <w:p w:rsidR="00766C3E" w:rsidRPr="004A470F" w:rsidRDefault="00766C3E" w:rsidP="00766C3E">
      <w:pPr>
        <w:pStyle w:val="normal"/>
        <w:numPr>
          <w:ilvl w:val="0"/>
          <w:numId w:val="9"/>
        </w:numPr>
        <w:spacing w:after="0" w:line="240" w:lineRule="auto"/>
        <w:rPr>
          <w:rFonts w:ascii="Athiti" w:eastAsia="Athiti" w:hAnsi="Athiti" w:cs="Athiti"/>
          <w:lang w:val="cs-CZ"/>
        </w:rPr>
      </w:pPr>
      <w:r w:rsidRPr="004A470F">
        <w:rPr>
          <w:rFonts w:ascii="Athiti" w:eastAsia="Athiti" w:hAnsi="Athiti" w:cs="Athiti"/>
          <w:lang w:val="cs-CZ"/>
        </w:rPr>
        <w:t>Obchodní model klienta – jeho povaha, rozsah, diverzita nebo složitost – je nestandardní.</w:t>
      </w:r>
    </w:p>
    <w:p w:rsidR="00766C3E" w:rsidRPr="004A470F" w:rsidRDefault="00766C3E" w:rsidP="00766C3E">
      <w:pPr>
        <w:pStyle w:val="normal"/>
        <w:numPr>
          <w:ilvl w:val="0"/>
          <w:numId w:val="9"/>
        </w:numPr>
        <w:spacing w:after="240" w:line="240" w:lineRule="auto"/>
        <w:rPr>
          <w:rFonts w:ascii="Athiti" w:eastAsia="Athiti" w:hAnsi="Athiti" w:cs="Athiti"/>
          <w:lang w:val="cs-CZ"/>
        </w:rPr>
      </w:pPr>
      <w:r w:rsidRPr="004A470F">
        <w:rPr>
          <w:rFonts w:ascii="Athiti" w:eastAsia="Athiti" w:hAnsi="Athiti" w:cs="Athiti"/>
          <w:lang w:val="cs-CZ"/>
        </w:rPr>
        <w:t>Cílové trhy klienta se nacházejí v regionech se zvýšeným rizikem ML/FT.</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 xml:space="preserve">S ohledem na výše uvedené rizikové faktory klienta vytvořila společnost </w:t>
      </w:r>
      <w:r w:rsidR="004A470F" w:rsidRPr="004A470F">
        <w:rPr>
          <w:rFonts w:ascii="Athiti" w:eastAsia="Athiti" w:hAnsi="Athiti" w:cs="Athiti"/>
          <w:lang w:val="cs-CZ"/>
        </w:rPr>
        <w:t>ZMAN - KESEF</w:t>
      </w:r>
      <w:r w:rsidRPr="004A470F">
        <w:rPr>
          <w:rFonts w:ascii="Athiti" w:eastAsia="Athiti" w:hAnsi="Athiti" w:cs="Athiti"/>
          <w:lang w:val="cs-CZ"/>
        </w:rPr>
        <w:t xml:space="preserve"> s.r.o. rámec pro kategorizaci rizik spojených s klientskými činnostmi. Tento rámec rozlišuje dvě základní úrovně rizikovosti v rámci vysoce rizikových činností:</w:t>
      </w:r>
    </w:p>
    <w:p w:rsidR="00766C3E" w:rsidRPr="004A470F" w:rsidRDefault="00766C3E" w:rsidP="00766C3E">
      <w:pPr>
        <w:pStyle w:val="normal"/>
        <w:numPr>
          <w:ilvl w:val="0"/>
          <w:numId w:val="12"/>
        </w:numPr>
        <w:spacing w:before="240" w:after="0" w:line="240" w:lineRule="auto"/>
        <w:rPr>
          <w:rFonts w:ascii="Athiti" w:eastAsia="Athiti" w:hAnsi="Athiti" w:cs="Athiti"/>
          <w:lang w:val="cs-CZ"/>
        </w:rPr>
      </w:pPr>
      <w:r w:rsidRPr="004A470F">
        <w:rPr>
          <w:rFonts w:ascii="Athiti" w:eastAsia="Athiti" w:hAnsi="Athiti" w:cs="Athiti"/>
          <w:b/>
          <w:lang w:val="cs-CZ"/>
        </w:rPr>
        <w:t>Kategorie A</w:t>
      </w:r>
      <w:r w:rsidRPr="004A470F">
        <w:rPr>
          <w:rFonts w:ascii="Athiti" w:eastAsia="Athiti" w:hAnsi="Athiti" w:cs="Athiti"/>
          <w:lang w:val="cs-CZ"/>
        </w:rPr>
        <w:t xml:space="preserve"> – činnosti představující vysoké riziko;</w:t>
      </w:r>
    </w:p>
    <w:p w:rsidR="00766C3E" w:rsidRPr="004A470F" w:rsidRDefault="00766C3E" w:rsidP="00766C3E">
      <w:pPr>
        <w:pStyle w:val="normal"/>
        <w:numPr>
          <w:ilvl w:val="0"/>
          <w:numId w:val="12"/>
        </w:numPr>
        <w:spacing w:after="240" w:line="240" w:lineRule="auto"/>
        <w:rPr>
          <w:rFonts w:ascii="Athiti" w:eastAsia="Athiti" w:hAnsi="Athiti" w:cs="Athiti"/>
          <w:lang w:val="cs-CZ"/>
        </w:rPr>
      </w:pPr>
      <w:r w:rsidRPr="004A470F">
        <w:rPr>
          <w:rFonts w:ascii="Athiti" w:eastAsia="Athiti" w:hAnsi="Athiti" w:cs="Athiti"/>
          <w:b/>
          <w:lang w:val="cs-CZ"/>
        </w:rPr>
        <w:t>Kategorie B</w:t>
      </w:r>
      <w:r w:rsidRPr="004A470F">
        <w:rPr>
          <w:rFonts w:ascii="Athiti" w:eastAsia="Athiti" w:hAnsi="Athiti" w:cs="Athiti"/>
          <w:lang w:val="cs-CZ"/>
        </w:rPr>
        <w:t xml:space="preserve"> – činnosti s nižší mírou rizika v rámci vysoce rizikových aktivit.</w:t>
      </w:r>
    </w:p>
    <w:p w:rsidR="00766C3E" w:rsidRPr="004A470F" w:rsidRDefault="00766C3E" w:rsidP="00766C3E">
      <w:pPr>
        <w:pStyle w:val="Heading3"/>
        <w:keepNext w:val="0"/>
        <w:keepLines w:val="0"/>
        <w:spacing w:before="280" w:after="80"/>
        <w:ind w:left="1" w:hanging="3"/>
        <w:jc w:val="both"/>
        <w:rPr>
          <w:rFonts w:ascii="Athiti" w:eastAsia="Athiti" w:hAnsi="Athiti" w:cs="Athiti"/>
        </w:rPr>
      </w:pPr>
      <w:bookmarkStart w:id="24" w:name="_heading=h.lxnu76xhre1t" w:colFirst="0" w:colLast="0"/>
      <w:bookmarkStart w:id="25" w:name="_Toc204266955"/>
      <w:bookmarkEnd w:id="24"/>
      <w:r w:rsidRPr="004A470F">
        <w:rPr>
          <w:rFonts w:ascii="Athiti" w:eastAsia="Athiti" w:hAnsi="Athiti" w:cs="Athiti"/>
        </w:rPr>
        <w:t>Kategorie A – vysoce rizikové činnosti</w:t>
      </w:r>
      <w:bookmarkEnd w:id="25"/>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Do kategorie A spadají produkty a služby, které představují výrazně zvýšené riziko legalizace výnosů z trestné činnosti nebo financování terorismu (ML/FT).</w:t>
      </w:r>
    </w:p>
    <w:p w:rsidR="00766C3E" w:rsidRPr="004A470F" w:rsidRDefault="00766C3E" w:rsidP="00766C3E">
      <w:pPr>
        <w:pStyle w:val="normal"/>
        <w:spacing w:after="0" w:line="240" w:lineRule="auto"/>
        <w:jc w:val="both"/>
        <w:rPr>
          <w:rFonts w:ascii="Athiti" w:eastAsia="Athiti" w:hAnsi="Athiti" w:cs="Athiti"/>
          <w:lang w:val="cs-CZ"/>
        </w:rPr>
      </w:pP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44"/>
        <w:gridCol w:w="4644"/>
      </w:tblGrid>
      <w:tr w:rsidR="00766C3E" w:rsidRPr="004A470F" w:rsidTr="00DC1C05">
        <w:trPr>
          <w:cantSplit/>
          <w:tblHeader/>
        </w:trPr>
        <w:tc>
          <w:tcPr>
            <w:tcW w:w="4644" w:type="dxa"/>
          </w:tcPr>
          <w:p w:rsidR="00766C3E" w:rsidRPr="004A470F" w:rsidRDefault="00766C3E" w:rsidP="00DC1C05">
            <w:pPr>
              <w:pStyle w:val="normal"/>
              <w:ind w:hanging="2"/>
              <w:jc w:val="center"/>
              <w:rPr>
                <w:rFonts w:ascii="Athiti" w:eastAsia="Athiti" w:hAnsi="Athiti" w:cs="Athiti"/>
                <w:b/>
                <w:lang w:val="cs-CZ"/>
              </w:rPr>
            </w:pPr>
            <w:r w:rsidRPr="004A470F">
              <w:rPr>
                <w:rFonts w:ascii="Athiti" w:eastAsia="Athiti" w:hAnsi="Athiti" w:cs="Athiti"/>
                <w:b/>
                <w:lang w:val="cs-CZ"/>
              </w:rPr>
              <w:t>Typ aktivity</w:t>
            </w:r>
          </w:p>
        </w:tc>
        <w:tc>
          <w:tcPr>
            <w:tcW w:w="4644" w:type="dxa"/>
          </w:tcPr>
          <w:p w:rsidR="00766C3E" w:rsidRPr="004A470F" w:rsidRDefault="00766C3E" w:rsidP="00DC1C05">
            <w:pPr>
              <w:pStyle w:val="normal"/>
              <w:ind w:hanging="2"/>
              <w:jc w:val="center"/>
              <w:rPr>
                <w:rFonts w:ascii="Athiti" w:eastAsia="Athiti" w:hAnsi="Athiti" w:cs="Athiti"/>
                <w:b/>
                <w:lang w:val="cs-CZ"/>
              </w:rPr>
            </w:pPr>
            <w:r w:rsidRPr="004A470F">
              <w:rPr>
                <w:rFonts w:ascii="Athiti" w:eastAsia="Athiti" w:hAnsi="Athiti" w:cs="Athiti"/>
                <w:b/>
                <w:lang w:val="cs-CZ"/>
              </w:rPr>
              <w:t>Související rizika</w:t>
            </w: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Výroba a prodej zbraní a střeliva</w:t>
            </w: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Porušování embarg a porušování mezinárodních exportně-importních předpisů</w:t>
            </w: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Poskytování a zprostředkování erotických služeb</w:t>
            </w: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Zapojení do nezákonných činností, jako je prostituce, sexuální otroctví a vykořisťování dětí</w:t>
            </w: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Kasina a online hazardní hry</w:t>
            </w: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Zneužití hotovostních operací ve fázích umístění a integrace praní špinavých peněz (ML)</w:t>
            </w: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Podniky peněžních služeb (včetně směnáren, nebankovních platebních a převodních systémů, nebankovních zpracovatelů plateb atd.)</w:t>
            </w: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Operace v nedostatečně regulovaných institucích se slabými programy a postupy v oblasti boje proti praní peněz</w:t>
            </w:r>
          </w:p>
          <w:p w:rsidR="00766C3E" w:rsidRPr="004A470F" w:rsidRDefault="00766C3E" w:rsidP="00DC1C05">
            <w:pPr>
              <w:pStyle w:val="normal"/>
              <w:ind w:hanging="2"/>
              <w:jc w:val="both"/>
              <w:rPr>
                <w:rFonts w:ascii="Athiti" w:eastAsia="Athiti" w:hAnsi="Athiti" w:cs="Athiti"/>
                <w:lang w:val="cs-CZ"/>
              </w:rPr>
            </w:pP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Podniky náročné na hotovost (jako jsou bary, restaurace, noční kluby, maloobchodní prodejny, parkoviště, čerpací stanice atd.)</w:t>
            </w: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Mísení výnosů z legální a nelegální činnosti. Zneužití hotovostních operací pro fázi umístění a integrace ML.</w:t>
            </w: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lastRenderedPageBreak/>
              <w:t>Prodejci zboží vysoké hodnoty (včetně šperků, umění, starožitností a dalších luxusních předmětů, jako jsou lodě, auta a letadla)</w:t>
            </w: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Zneužití zboží ve fázi umístění a integrace ML</w:t>
            </w:r>
          </w:p>
          <w:p w:rsidR="00766C3E" w:rsidRPr="004A470F" w:rsidRDefault="00766C3E" w:rsidP="00DC1C05">
            <w:pPr>
              <w:pStyle w:val="normal"/>
              <w:ind w:hanging="2"/>
              <w:jc w:val="both"/>
              <w:rPr>
                <w:rFonts w:ascii="Athiti" w:eastAsia="Athiti" w:hAnsi="Athiti" w:cs="Athiti"/>
                <w:lang w:val="cs-CZ"/>
              </w:rPr>
            </w:pP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Činnosti veřejných zakázek</w:t>
            </w: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Riziko korupce a zapojení politicky exponovaných osob (PEP)</w:t>
            </w:r>
          </w:p>
        </w:tc>
      </w:tr>
    </w:tbl>
    <w:p w:rsidR="00766C3E" w:rsidRPr="004A470F" w:rsidRDefault="00766C3E" w:rsidP="00766C3E">
      <w:pPr>
        <w:pStyle w:val="Heading3"/>
        <w:keepNext w:val="0"/>
        <w:keepLines w:val="0"/>
        <w:spacing w:before="280" w:after="80"/>
        <w:ind w:left="1" w:hanging="3"/>
        <w:jc w:val="both"/>
        <w:rPr>
          <w:rFonts w:ascii="Athiti" w:eastAsia="Athiti" w:hAnsi="Athiti" w:cs="Athiti"/>
        </w:rPr>
      </w:pPr>
      <w:bookmarkStart w:id="26" w:name="_heading=h.hszxxxrt8d5r" w:colFirst="0" w:colLast="0"/>
      <w:bookmarkStart w:id="27" w:name="_Toc204266956"/>
      <w:bookmarkEnd w:id="26"/>
      <w:r w:rsidRPr="004A470F">
        <w:rPr>
          <w:rFonts w:ascii="Athiti" w:eastAsia="Athiti" w:hAnsi="Athiti" w:cs="Athiti"/>
        </w:rPr>
        <w:t>Kategorie B – vysoce rizikové činnosti</w:t>
      </w:r>
      <w:bookmarkEnd w:id="27"/>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Do kategorie B spadají produkty a služby, které vykazují zvýšené riziko legalizace výnosů z trestné činnosti nebo financování terorismu (ML/FT), avšak tato rizika jsou považována za méně závažná než rizika v kategorii A.</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Z tohoto důvodu je těmto činnostem v rámci nástroje Risk Scorecard přiřazena nižší riziková váha, přesto však podléhají zvýšené míře dohledu a opatření ke zmírnění rizik.</w:t>
      </w: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44"/>
        <w:gridCol w:w="4644"/>
      </w:tblGrid>
      <w:tr w:rsidR="00766C3E" w:rsidRPr="004A470F" w:rsidTr="00DC1C05">
        <w:trPr>
          <w:cantSplit/>
          <w:tblHeader/>
        </w:trPr>
        <w:tc>
          <w:tcPr>
            <w:tcW w:w="4644" w:type="dxa"/>
          </w:tcPr>
          <w:p w:rsidR="00766C3E" w:rsidRPr="004A470F" w:rsidRDefault="00766C3E" w:rsidP="00DC1C05">
            <w:pPr>
              <w:pStyle w:val="normal"/>
              <w:ind w:hanging="2"/>
              <w:jc w:val="center"/>
              <w:rPr>
                <w:rFonts w:ascii="Athiti" w:eastAsia="Athiti" w:hAnsi="Athiti" w:cs="Athiti"/>
                <w:b/>
                <w:lang w:val="cs-CZ"/>
              </w:rPr>
            </w:pPr>
            <w:r w:rsidRPr="004A470F">
              <w:rPr>
                <w:rFonts w:ascii="Athiti" w:eastAsia="Athiti" w:hAnsi="Athiti" w:cs="Athiti"/>
                <w:b/>
                <w:lang w:val="cs-CZ"/>
              </w:rPr>
              <w:t>Typ aktivity</w:t>
            </w:r>
          </w:p>
        </w:tc>
        <w:tc>
          <w:tcPr>
            <w:tcW w:w="4644" w:type="dxa"/>
          </w:tcPr>
          <w:p w:rsidR="00766C3E" w:rsidRPr="004A470F" w:rsidRDefault="00766C3E" w:rsidP="00DC1C05">
            <w:pPr>
              <w:pStyle w:val="normal"/>
              <w:ind w:hanging="2"/>
              <w:jc w:val="center"/>
              <w:rPr>
                <w:rFonts w:ascii="Athiti" w:eastAsia="Athiti" w:hAnsi="Athiti" w:cs="Athiti"/>
                <w:b/>
                <w:lang w:val="cs-CZ"/>
              </w:rPr>
            </w:pPr>
            <w:r w:rsidRPr="004A470F">
              <w:rPr>
                <w:rFonts w:ascii="Athiti" w:eastAsia="Athiti" w:hAnsi="Athiti" w:cs="Athiti"/>
                <w:b/>
                <w:lang w:val="cs-CZ"/>
              </w:rPr>
              <w:t>Související rizika</w:t>
            </w: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Prodejci vozidel (včetně nových a ojetých vozů)</w:t>
            </w:r>
          </w:p>
          <w:p w:rsidR="00766C3E" w:rsidRPr="004A470F" w:rsidRDefault="00766C3E" w:rsidP="00DC1C05">
            <w:pPr>
              <w:pStyle w:val="normal"/>
              <w:ind w:hanging="2"/>
              <w:jc w:val="both"/>
              <w:rPr>
                <w:rFonts w:ascii="Athiti" w:eastAsia="Athiti" w:hAnsi="Athiti" w:cs="Athiti"/>
                <w:lang w:val="cs-CZ"/>
              </w:rPr>
            </w:pP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Zneužití zboží ve fázích umístění a integrace praní špinavých peněz (ML)</w:t>
            </w: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Charitativní organizace</w:t>
            </w:r>
          </w:p>
          <w:p w:rsidR="00766C3E" w:rsidRPr="004A470F" w:rsidRDefault="00766C3E" w:rsidP="00DC1C05">
            <w:pPr>
              <w:pStyle w:val="normal"/>
              <w:ind w:hanging="2"/>
              <w:jc w:val="both"/>
              <w:rPr>
                <w:rFonts w:ascii="Athiti" w:eastAsia="Athiti" w:hAnsi="Athiti" w:cs="Athiti"/>
                <w:lang w:val="cs-CZ"/>
              </w:rPr>
            </w:pP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Zneužití k politickým účelům a korupci</w:t>
            </w:r>
          </w:p>
          <w:p w:rsidR="00766C3E" w:rsidRPr="004A470F" w:rsidRDefault="00766C3E" w:rsidP="00DC1C05">
            <w:pPr>
              <w:pStyle w:val="normal"/>
              <w:ind w:hanging="2"/>
              <w:jc w:val="both"/>
              <w:rPr>
                <w:rFonts w:ascii="Athiti" w:eastAsia="Athiti" w:hAnsi="Athiti" w:cs="Athiti"/>
                <w:lang w:val="cs-CZ"/>
              </w:rPr>
            </w:pP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Obchodování s ropou a plynem</w:t>
            </w:r>
          </w:p>
          <w:p w:rsidR="00766C3E" w:rsidRPr="004A470F" w:rsidRDefault="00766C3E" w:rsidP="00DC1C05">
            <w:pPr>
              <w:pStyle w:val="normal"/>
              <w:ind w:hanging="2"/>
              <w:jc w:val="both"/>
              <w:rPr>
                <w:rFonts w:ascii="Athiti" w:eastAsia="Athiti" w:hAnsi="Athiti" w:cs="Athiti"/>
                <w:lang w:val="cs-CZ"/>
              </w:rPr>
            </w:pP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Zapojení politicky exponovaných osob (PEP) a riziko korupce</w:t>
            </w: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Dovozní/vývozní společnosti se sídlem v zahraničí (kromě společností v zemích s nízkým rizikem)</w:t>
            </w: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Zneužití k praní špinavých peněz na základě obchodu a potenciálnímu porušení exportně-importních předpisů</w:t>
            </w: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Činnosti v oblasti nemovitostí (včetně developmentu, obchodování, pronájmu, investic a restaurování)</w:t>
            </w: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Zneužívání nemovitostí ve fázi umísťování a integrace ML</w:t>
            </w: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color w:val="000000"/>
                <w:lang w:val="cs-CZ"/>
              </w:rPr>
              <w:t>Cestovní kanceláře</w:t>
            </w: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Zneužívání luxusních cestovních služeb ve fázi umísťování a integrace ML</w:t>
            </w: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Farmaceutické a zdravotnické podniky</w:t>
            </w: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Směšování legálních a nelegálních výnosů prostřednictvím podniků, jako jsou drogerie</w:t>
            </w:r>
          </w:p>
        </w:tc>
      </w:tr>
      <w:tr w:rsidR="00766C3E" w:rsidRPr="004A470F" w:rsidTr="00DC1C05">
        <w:trPr>
          <w:cantSplit/>
          <w:tblHeader/>
        </w:trPr>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Těžební a těžební průmysl</w:t>
            </w:r>
          </w:p>
          <w:p w:rsidR="00766C3E" w:rsidRPr="004A470F" w:rsidRDefault="00766C3E" w:rsidP="00DC1C05">
            <w:pPr>
              <w:pStyle w:val="normal"/>
              <w:ind w:hanging="2"/>
              <w:jc w:val="both"/>
              <w:rPr>
                <w:rFonts w:ascii="Athiti" w:eastAsia="Athiti" w:hAnsi="Athiti" w:cs="Athiti"/>
                <w:lang w:val="cs-CZ"/>
              </w:rPr>
            </w:pPr>
          </w:p>
        </w:tc>
        <w:tc>
          <w:tcPr>
            <w:tcW w:w="464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Zapojení politicky exponovaných osob (PEP) a riziko korupce</w:t>
            </w:r>
          </w:p>
        </w:tc>
      </w:tr>
    </w:tbl>
    <w:p w:rsidR="00766C3E" w:rsidRPr="004A470F" w:rsidRDefault="00766C3E" w:rsidP="00766C3E">
      <w:pPr>
        <w:pStyle w:val="Heading3"/>
        <w:keepNext w:val="0"/>
        <w:keepLines w:val="0"/>
        <w:spacing w:before="280" w:after="80"/>
        <w:ind w:left="1" w:hanging="3"/>
        <w:jc w:val="both"/>
        <w:rPr>
          <w:rFonts w:ascii="Athiti" w:eastAsia="Athiti" w:hAnsi="Athiti" w:cs="Athiti"/>
        </w:rPr>
      </w:pPr>
      <w:bookmarkStart w:id="28" w:name="_heading=h.fhk0q5mmnc1r" w:colFirst="0" w:colLast="0"/>
      <w:bookmarkStart w:id="29" w:name="_Toc204266957"/>
      <w:bookmarkEnd w:id="28"/>
      <w:r w:rsidRPr="004A470F">
        <w:rPr>
          <w:rFonts w:ascii="Athiti" w:eastAsia="Athiti" w:hAnsi="Athiti" w:cs="Athiti"/>
        </w:rPr>
        <w:t>4.1.2 Rizikové faktory produktu, služby a distribučního kanálu</w:t>
      </w:r>
      <w:bookmarkEnd w:id="29"/>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Při hodnocení rizik legalizace výnosů z trestné činnosti a financování terorismu byly zohledněny následující faktory týkající se poskytovaných produktů, služeb a distribučních kanálů:</w:t>
      </w:r>
    </w:p>
    <w:p w:rsidR="00766C3E" w:rsidRPr="004A470F" w:rsidRDefault="00766C3E" w:rsidP="00766C3E">
      <w:pPr>
        <w:pStyle w:val="normal"/>
        <w:numPr>
          <w:ilvl w:val="0"/>
          <w:numId w:val="3"/>
        </w:numPr>
        <w:spacing w:before="240" w:after="0" w:line="240" w:lineRule="auto"/>
        <w:rPr>
          <w:rFonts w:ascii="Athiti" w:eastAsia="Athiti" w:hAnsi="Athiti" w:cs="Athiti"/>
          <w:lang w:val="cs-CZ"/>
        </w:rPr>
      </w:pPr>
      <w:r w:rsidRPr="004A470F">
        <w:rPr>
          <w:rFonts w:ascii="Athiti" w:eastAsia="Athiti" w:hAnsi="Athiti" w:cs="Athiti"/>
          <w:lang w:val="cs-CZ"/>
        </w:rPr>
        <w:t>způsob provedení prvotní identifikace klienta;</w:t>
      </w:r>
    </w:p>
    <w:p w:rsidR="00766C3E" w:rsidRPr="004A470F" w:rsidRDefault="00766C3E" w:rsidP="00766C3E">
      <w:pPr>
        <w:pStyle w:val="normal"/>
        <w:numPr>
          <w:ilvl w:val="0"/>
          <w:numId w:val="3"/>
        </w:numPr>
        <w:spacing w:after="0" w:line="240" w:lineRule="auto"/>
        <w:rPr>
          <w:rFonts w:ascii="Athiti" w:eastAsia="Athiti" w:hAnsi="Athiti" w:cs="Athiti"/>
          <w:lang w:val="cs-CZ"/>
        </w:rPr>
      </w:pPr>
      <w:r w:rsidRPr="004A470F">
        <w:rPr>
          <w:rFonts w:ascii="Athiti" w:eastAsia="Athiti" w:hAnsi="Athiti" w:cs="Athiti"/>
          <w:lang w:val="cs-CZ"/>
        </w:rPr>
        <w:t>přístup k identifikaci a ověření vlastnické a řídicí struktury klienta;</w:t>
      </w:r>
    </w:p>
    <w:p w:rsidR="00766C3E" w:rsidRPr="004A470F" w:rsidRDefault="00766C3E" w:rsidP="00766C3E">
      <w:pPr>
        <w:pStyle w:val="normal"/>
        <w:numPr>
          <w:ilvl w:val="0"/>
          <w:numId w:val="3"/>
        </w:numPr>
        <w:spacing w:after="0" w:line="240" w:lineRule="auto"/>
        <w:rPr>
          <w:rFonts w:ascii="Athiti" w:eastAsia="Athiti" w:hAnsi="Athiti" w:cs="Athiti"/>
          <w:lang w:val="cs-CZ"/>
        </w:rPr>
      </w:pPr>
      <w:r w:rsidRPr="004A470F">
        <w:rPr>
          <w:rFonts w:ascii="Athiti" w:eastAsia="Athiti" w:hAnsi="Athiti" w:cs="Athiti"/>
          <w:lang w:val="cs-CZ"/>
        </w:rPr>
        <w:t>produkty nebo transakce, které mohou usnadnit anonymitu účastníků nebo původu prostředků;</w:t>
      </w:r>
    </w:p>
    <w:p w:rsidR="00766C3E" w:rsidRPr="004A470F" w:rsidRDefault="00766C3E" w:rsidP="00766C3E">
      <w:pPr>
        <w:pStyle w:val="normal"/>
        <w:numPr>
          <w:ilvl w:val="0"/>
          <w:numId w:val="3"/>
        </w:numPr>
        <w:spacing w:after="0" w:line="240" w:lineRule="auto"/>
        <w:rPr>
          <w:rFonts w:ascii="Athiti" w:eastAsia="Athiti" w:hAnsi="Athiti" w:cs="Athiti"/>
          <w:lang w:val="cs-CZ"/>
        </w:rPr>
      </w:pPr>
      <w:r w:rsidRPr="004A470F">
        <w:rPr>
          <w:rFonts w:ascii="Athiti" w:eastAsia="Athiti" w:hAnsi="Athiti" w:cs="Athiti"/>
          <w:lang w:val="cs-CZ"/>
        </w:rPr>
        <w:lastRenderedPageBreak/>
        <w:t>nepřímé obchodní vztahy nebo transakce;</w:t>
      </w:r>
    </w:p>
    <w:p w:rsidR="00766C3E" w:rsidRPr="004A470F" w:rsidRDefault="00766C3E" w:rsidP="00766C3E">
      <w:pPr>
        <w:pStyle w:val="normal"/>
        <w:numPr>
          <w:ilvl w:val="0"/>
          <w:numId w:val="3"/>
        </w:numPr>
        <w:spacing w:after="0" w:line="240" w:lineRule="auto"/>
        <w:rPr>
          <w:rFonts w:ascii="Athiti" w:eastAsia="Athiti" w:hAnsi="Athiti" w:cs="Athiti"/>
          <w:lang w:val="cs-CZ"/>
        </w:rPr>
      </w:pPr>
      <w:r w:rsidRPr="004A470F">
        <w:rPr>
          <w:rFonts w:ascii="Athiti" w:eastAsia="Athiti" w:hAnsi="Athiti" w:cs="Athiti"/>
          <w:lang w:val="cs-CZ"/>
        </w:rPr>
        <w:t>platby přijaté od neznámých nebo nepřidružených třetích stran;</w:t>
      </w:r>
    </w:p>
    <w:p w:rsidR="00766C3E" w:rsidRPr="004A470F" w:rsidRDefault="00766C3E" w:rsidP="00766C3E">
      <w:pPr>
        <w:pStyle w:val="normal"/>
        <w:numPr>
          <w:ilvl w:val="0"/>
          <w:numId w:val="3"/>
        </w:numPr>
        <w:spacing w:after="0" w:line="240" w:lineRule="auto"/>
        <w:rPr>
          <w:rFonts w:ascii="Athiti" w:eastAsia="Athiti" w:hAnsi="Athiti" w:cs="Athiti"/>
          <w:lang w:val="cs-CZ"/>
        </w:rPr>
      </w:pPr>
      <w:r w:rsidRPr="004A470F">
        <w:rPr>
          <w:rFonts w:ascii="Athiti" w:eastAsia="Athiti" w:hAnsi="Athiti" w:cs="Athiti"/>
          <w:lang w:val="cs-CZ"/>
        </w:rPr>
        <w:t>zavádění nových produktů a služeb, včetně využívání nově vznikajících technologií;</w:t>
      </w:r>
    </w:p>
    <w:p w:rsidR="00766C3E" w:rsidRPr="004A470F" w:rsidRDefault="00766C3E" w:rsidP="00766C3E">
      <w:pPr>
        <w:pStyle w:val="normal"/>
        <w:numPr>
          <w:ilvl w:val="0"/>
          <w:numId w:val="3"/>
        </w:numPr>
        <w:spacing w:after="0" w:line="240" w:lineRule="auto"/>
        <w:rPr>
          <w:rFonts w:ascii="Athiti" w:eastAsia="Athiti" w:hAnsi="Athiti" w:cs="Athiti"/>
          <w:lang w:val="cs-CZ"/>
        </w:rPr>
      </w:pPr>
      <w:r w:rsidRPr="004A470F">
        <w:rPr>
          <w:rFonts w:ascii="Athiti" w:eastAsia="Athiti" w:hAnsi="Athiti" w:cs="Athiti"/>
          <w:lang w:val="cs-CZ"/>
        </w:rPr>
        <w:t>charakteristiky konkrétních produktů, služeb a obchodních vztahů;</w:t>
      </w:r>
    </w:p>
    <w:p w:rsidR="00766C3E" w:rsidRPr="004A470F" w:rsidRDefault="00766C3E" w:rsidP="00766C3E">
      <w:pPr>
        <w:pStyle w:val="normal"/>
        <w:numPr>
          <w:ilvl w:val="0"/>
          <w:numId w:val="3"/>
        </w:numPr>
        <w:spacing w:after="240" w:line="240" w:lineRule="auto"/>
        <w:rPr>
          <w:rFonts w:ascii="Athiti" w:eastAsia="Athiti" w:hAnsi="Athiti" w:cs="Athiti"/>
          <w:lang w:val="cs-CZ"/>
        </w:rPr>
      </w:pPr>
      <w:r w:rsidRPr="004A470F">
        <w:rPr>
          <w:rFonts w:ascii="Athiti" w:eastAsia="Athiti" w:hAnsi="Athiti" w:cs="Athiti"/>
          <w:lang w:val="cs-CZ"/>
        </w:rPr>
        <w:t>způsob distribuce produktů a zapojení třetích stran do obchodního vztahu nebo transakce.</w:t>
      </w:r>
    </w:p>
    <w:p w:rsidR="00766C3E" w:rsidRPr="004A470F" w:rsidRDefault="00766C3E" w:rsidP="00766C3E">
      <w:pPr>
        <w:pStyle w:val="Heading3"/>
        <w:keepNext w:val="0"/>
        <w:keepLines w:val="0"/>
        <w:spacing w:before="280" w:after="80"/>
        <w:ind w:left="1" w:hanging="3"/>
        <w:jc w:val="both"/>
        <w:rPr>
          <w:rFonts w:ascii="Athiti" w:eastAsia="Athiti" w:hAnsi="Athiti" w:cs="Athiti"/>
        </w:rPr>
      </w:pPr>
      <w:bookmarkStart w:id="30" w:name="_heading=h.agxlmj7rujs4" w:colFirst="0" w:colLast="0"/>
      <w:bookmarkStart w:id="31" w:name="_Toc204266958"/>
      <w:bookmarkEnd w:id="30"/>
      <w:r w:rsidRPr="004A470F">
        <w:rPr>
          <w:rFonts w:ascii="Athiti" w:eastAsia="Athiti" w:hAnsi="Athiti" w:cs="Athiti"/>
        </w:rPr>
        <w:t>4.1.3 Rizikové faktory geografického charakteru</w:t>
      </w:r>
      <w:bookmarkEnd w:id="31"/>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 xml:space="preserve">Společnost </w:t>
      </w:r>
      <w:r w:rsidR="004A470F" w:rsidRPr="004A470F">
        <w:rPr>
          <w:rFonts w:ascii="Athiti" w:eastAsia="Athiti" w:hAnsi="Athiti" w:cs="Athiti"/>
          <w:lang w:val="cs-CZ"/>
        </w:rPr>
        <w:t>ZMAN - KESEF</w:t>
      </w:r>
      <w:r w:rsidRPr="004A470F">
        <w:rPr>
          <w:rFonts w:ascii="Athiti" w:eastAsia="Athiti" w:hAnsi="Athiti" w:cs="Athiti"/>
          <w:lang w:val="cs-CZ"/>
        </w:rPr>
        <w:t xml:space="preserve"> s.r.o. rovněž posuzuje geografická rizika, kterým může být vystavena v souvislosti se svou činností, a to zejména s ohledem na následující faktory:</w:t>
      </w:r>
    </w:p>
    <w:p w:rsidR="00766C3E" w:rsidRPr="004A470F" w:rsidRDefault="00766C3E" w:rsidP="00766C3E">
      <w:pPr>
        <w:pStyle w:val="normal"/>
        <w:numPr>
          <w:ilvl w:val="0"/>
          <w:numId w:val="4"/>
        </w:numPr>
        <w:spacing w:before="240" w:after="0" w:line="240" w:lineRule="auto"/>
        <w:rPr>
          <w:rFonts w:ascii="Athiti" w:eastAsia="Athiti" w:hAnsi="Athiti" w:cs="Athiti"/>
          <w:lang w:val="cs-CZ"/>
        </w:rPr>
      </w:pPr>
      <w:r w:rsidRPr="004A470F">
        <w:rPr>
          <w:rFonts w:ascii="Athiti" w:eastAsia="Athiti" w:hAnsi="Athiti" w:cs="Athiti"/>
          <w:lang w:val="cs-CZ"/>
        </w:rPr>
        <w:t xml:space="preserve">jurisdikce, ve kterých </w:t>
      </w:r>
      <w:r w:rsidR="004A470F" w:rsidRPr="004A470F">
        <w:rPr>
          <w:rFonts w:ascii="Athiti" w:eastAsia="Athiti" w:hAnsi="Athiti" w:cs="Athiti"/>
          <w:lang w:val="cs-CZ"/>
        </w:rPr>
        <w:t>ZMAN - KESEF</w:t>
      </w:r>
      <w:r w:rsidRPr="004A470F">
        <w:rPr>
          <w:rFonts w:ascii="Athiti" w:eastAsia="Athiti" w:hAnsi="Athiti" w:cs="Athiti"/>
          <w:lang w:val="cs-CZ"/>
        </w:rPr>
        <w:t xml:space="preserve"> s.r.o. působí nebo s nimi jinak spolupracuje;</w:t>
      </w:r>
    </w:p>
    <w:p w:rsidR="00766C3E" w:rsidRPr="004A470F" w:rsidRDefault="00766C3E" w:rsidP="00766C3E">
      <w:pPr>
        <w:pStyle w:val="normal"/>
        <w:numPr>
          <w:ilvl w:val="0"/>
          <w:numId w:val="4"/>
        </w:numPr>
        <w:spacing w:after="0" w:line="240" w:lineRule="auto"/>
        <w:rPr>
          <w:rFonts w:ascii="Athiti" w:eastAsia="Athiti" w:hAnsi="Athiti" w:cs="Athiti"/>
          <w:lang w:val="cs-CZ"/>
        </w:rPr>
      </w:pPr>
      <w:r w:rsidRPr="004A470F">
        <w:rPr>
          <w:rFonts w:ascii="Athiti" w:eastAsia="Athiti" w:hAnsi="Athiti" w:cs="Athiti"/>
          <w:lang w:val="cs-CZ"/>
        </w:rPr>
        <w:t>země původu klienta, skutečného majitele nebo osob oprávněných jednat jménem klienta;</w:t>
      </w:r>
    </w:p>
    <w:p w:rsidR="00766C3E" w:rsidRPr="004A470F" w:rsidRDefault="00766C3E" w:rsidP="00766C3E">
      <w:pPr>
        <w:pStyle w:val="normal"/>
        <w:numPr>
          <w:ilvl w:val="0"/>
          <w:numId w:val="4"/>
        </w:numPr>
        <w:spacing w:after="0" w:line="240" w:lineRule="auto"/>
        <w:rPr>
          <w:rFonts w:ascii="Athiti" w:eastAsia="Athiti" w:hAnsi="Athiti" w:cs="Athiti"/>
          <w:lang w:val="cs-CZ"/>
        </w:rPr>
      </w:pPr>
      <w:r w:rsidRPr="004A470F">
        <w:rPr>
          <w:rFonts w:ascii="Athiti" w:eastAsia="Athiti" w:hAnsi="Athiti" w:cs="Athiti"/>
          <w:lang w:val="cs-CZ"/>
        </w:rPr>
        <w:t>země původu osob s přímou či nepřímou majetkovou účastí na klientovi (je-li právnickou osobou);</w:t>
      </w:r>
    </w:p>
    <w:p w:rsidR="00766C3E" w:rsidRPr="004A470F" w:rsidRDefault="00766C3E" w:rsidP="00766C3E">
      <w:pPr>
        <w:pStyle w:val="normal"/>
        <w:numPr>
          <w:ilvl w:val="0"/>
          <w:numId w:val="4"/>
        </w:numPr>
        <w:spacing w:after="0" w:line="240" w:lineRule="auto"/>
        <w:rPr>
          <w:rFonts w:ascii="Athiti" w:eastAsia="Athiti" w:hAnsi="Athiti" w:cs="Athiti"/>
          <w:lang w:val="cs-CZ"/>
        </w:rPr>
      </w:pPr>
      <w:r w:rsidRPr="004A470F">
        <w:rPr>
          <w:rFonts w:ascii="Athiti" w:eastAsia="Athiti" w:hAnsi="Athiti" w:cs="Athiti"/>
          <w:lang w:val="cs-CZ"/>
        </w:rPr>
        <w:t>země původu členů statutárních orgánů klienta nebo osob v obdobném postavení s rozhodovacím vlivem;</w:t>
      </w:r>
    </w:p>
    <w:p w:rsidR="00766C3E" w:rsidRPr="004A470F" w:rsidRDefault="00766C3E" w:rsidP="00766C3E">
      <w:pPr>
        <w:pStyle w:val="normal"/>
        <w:numPr>
          <w:ilvl w:val="0"/>
          <w:numId w:val="4"/>
        </w:numPr>
        <w:spacing w:after="0" w:line="240" w:lineRule="auto"/>
        <w:rPr>
          <w:rFonts w:ascii="Athiti" w:eastAsia="Athiti" w:hAnsi="Athiti" w:cs="Athiti"/>
          <w:lang w:val="cs-CZ"/>
        </w:rPr>
      </w:pPr>
      <w:r w:rsidRPr="004A470F">
        <w:rPr>
          <w:rFonts w:ascii="Athiti" w:eastAsia="Athiti" w:hAnsi="Athiti" w:cs="Athiti"/>
          <w:lang w:val="cs-CZ"/>
        </w:rPr>
        <w:t>země původu nebo cílová destinace transakce;</w:t>
      </w:r>
    </w:p>
    <w:p w:rsidR="00766C3E" w:rsidRPr="004A470F" w:rsidRDefault="00766C3E" w:rsidP="00766C3E">
      <w:pPr>
        <w:pStyle w:val="normal"/>
        <w:numPr>
          <w:ilvl w:val="0"/>
          <w:numId w:val="4"/>
        </w:numPr>
        <w:spacing w:after="0" w:line="240" w:lineRule="auto"/>
        <w:rPr>
          <w:rFonts w:ascii="Athiti" w:eastAsia="Athiti" w:hAnsi="Athiti" w:cs="Athiti"/>
          <w:lang w:val="cs-CZ"/>
        </w:rPr>
      </w:pPr>
      <w:r w:rsidRPr="004A470F">
        <w:rPr>
          <w:rFonts w:ascii="Athiti" w:eastAsia="Athiti" w:hAnsi="Athiti" w:cs="Athiti"/>
          <w:lang w:val="cs-CZ"/>
        </w:rPr>
        <w:t>působení klientů nebo jejich protistran v jurisdikcích s vysokou mírou korupce, organizovaného zločinu nebo se slabými mechanismy AML/CFT, případně uvedených na seznamu FATF;</w:t>
      </w:r>
    </w:p>
    <w:p w:rsidR="00766C3E" w:rsidRPr="004A470F" w:rsidRDefault="00766C3E" w:rsidP="00766C3E">
      <w:pPr>
        <w:pStyle w:val="normal"/>
        <w:numPr>
          <w:ilvl w:val="0"/>
          <w:numId w:val="4"/>
        </w:numPr>
        <w:spacing w:after="0" w:line="240" w:lineRule="auto"/>
        <w:rPr>
          <w:rFonts w:ascii="Athiti" w:eastAsia="Athiti" w:hAnsi="Athiti" w:cs="Athiti"/>
          <w:lang w:val="cs-CZ"/>
        </w:rPr>
      </w:pPr>
      <w:r w:rsidRPr="004A470F">
        <w:rPr>
          <w:rFonts w:ascii="Athiti" w:eastAsia="Athiti" w:hAnsi="Athiti" w:cs="Athiti"/>
          <w:lang w:val="cs-CZ"/>
        </w:rPr>
        <w:t>činnost klientů v zemích, na které se vztahují sankce, embarga nebo jiná mezinárodní omezení ze strany EU, OSN nebo jiných oprávněných subjektů;</w:t>
      </w:r>
    </w:p>
    <w:p w:rsidR="00766C3E" w:rsidRPr="004A470F" w:rsidRDefault="00766C3E" w:rsidP="00766C3E">
      <w:pPr>
        <w:pStyle w:val="normal"/>
        <w:numPr>
          <w:ilvl w:val="0"/>
          <w:numId w:val="4"/>
        </w:numPr>
        <w:spacing w:after="0" w:line="240" w:lineRule="auto"/>
        <w:rPr>
          <w:rFonts w:ascii="Athiti" w:eastAsia="Athiti" w:hAnsi="Athiti" w:cs="Athiti"/>
          <w:lang w:val="cs-CZ"/>
        </w:rPr>
      </w:pPr>
      <w:r w:rsidRPr="004A470F">
        <w:rPr>
          <w:rFonts w:ascii="Athiti" w:eastAsia="Athiti" w:hAnsi="Athiti" w:cs="Athiti"/>
          <w:lang w:val="cs-CZ"/>
        </w:rPr>
        <w:t>země poskytující podporu nebo financování teroristických aktivit, případně hostící označené teroristické organizace;</w:t>
      </w:r>
    </w:p>
    <w:p w:rsidR="00766C3E" w:rsidRPr="004A470F" w:rsidRDefault="00766C3E" w:rsidP="00766C3E">
      <w:pPr>
        <w:pStyle w:val="normal"/>
        <w:numPr>
          <w:ilvl w:val="0"/>
          <w:numId w:val="4"/>
        </w:numPr>
        <w:spacing w:after="0" w:line="240" w:lineRule="auto"/>
        <w:rPr>
          <w:rFonts w:ascii="Athiti" w:eastAsia="Athiti" w:hAnsi="Athiti" w:cs="Athiti"/>
          <w:lang w:val="cs-CZ"/>
        </w:rPr>
      </w:pPr>
      <w:r w:rsidRPr="004A470F">
        <w:rPr>
          <w:rFonts w:ascii="Athiti" w:eastAsia="Athiti" w:hAnsi="Athiti" w:cs="Athiti"/>
          <w:lang w:val="cs-CZ"/>
        </w:rPr>
        <w:t>země původu osob, ve kterých má klient přímou nebo nepřímou majetkovou účast;</w:t>
      </w:r>
    </w:p>
    <w:p w:rsidR="00766C3E" w:rsidRPr="004A470F" w:rsidRDefault="00766C3E" w:rsidP="00766C3E">
      <w:pPr>
        <w:pStyle w:val="normal"/>
        <w:numPr>
          <w:ilvl w:val="0"/>
          <w:numId w:val="4"/>
        </w:numPr>
        <w:spacing w:after="240" w:line="240" w:lineRule="auto"/>
        <w:rPr>
          <w:rFonts w:ascii="Athiti" w:eastAsia="Athiti" w:hAnsi="Athiti" w:cs="Athiti"/>
          <w:lang w:val="cs-CZ"/>
        </w:rPr>
      </w:pPr>
      <w:r w:rsidRPr="004A470F">
        <w:rPr>
          <w:rFonts w:ascii="Athiti" w:eastAsia="Athiti" w:hAnsi="Athiti" w:cs="Athiti"/>
          <w:lang w:val="cs-CZ"/>
        </w:rPr>
        <w:t>země, ve kterých klient provozuje pobočky nebo stálé provozovny.</w:t>
      </w:r>
    </w:p>
    <w:p w:rsidR="00766C3E" w:rsidRPr="004A470F" w:rsidRDefault="00766C3E" w:rsidP="00766C3E">
      <w:pPr>
        <w:pStyle w:val="Heading3"/>
        <w:keepNext w:val="0"/>
        <w:keepLines w:val="0"/>
        <w:spacing w:before="280" w:after="80"/>
        <w:ind w:left="1" w:hanging="3"/>
        <w:jc w:val="both"/>
        <w:rPr>
          <w:rFonts w:ascii="Athiti" w:eastAsia="Athiti" w:hAnsi="Athiti" w:cs="Athiti"/>
        </w:rPr>
      </w:pPr>
      <w:bookmarkStart w:id="32" w:name="_heading=h.pjhuum850v73" w:colFirst="0" w:colLast="0"/>
      <w:bookmarkStart w:id="33" w:name="_Toc204266959"/>
      <w:bookmarkEnd w:id="32"/>
      <w:r w:rsidRPr="004A470F">
        <w:rPr>
          <w:rFonts w:ascii="Athiti" w:eastAsia="Athiti" w:hAnsi="Athiti" w:cs="Athiti"/>
        </w:rPr>
        <w:t>Kategorizace geografických rizik</w:t>
      </w:r>
      <w:bookmarkEnd w:id="33"/>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 xml:space="preserve">Na základě výše uvedených faktorů vytvořila společnost </w:t>
      </w:r>
      <w:r w:rsidR="004A470F" w:rsidRPr="004A470F">
        <w:rPr>
          <w:rFonts w:ascii="Athiti" w:eastAsia="Athiti" w:hAnsi="Athiti" w:cs="Athiti"/>
          <w:lang w:val="cs-CZ"/>
        </w:rPr>
        <w:t>ZMAN - KESEF</w:t>
      </w:r>
      <w:r w:rsidRPr="004A470F">
        <w:rPr>
          <w:rFonts w:ascii="Athiti" w:eastAsia="Athiti" w:hAnsi="Athiti" w:cs="Athiti"/>
          <w:lang w:val="cs-CZ"/>
        </w:rPr>
        <w:t xml:space="preserve"> s.r.o. vlastní rámec pro klasifikaci geografických rizik, založený na důvěryhodných mezinárodních a evropských zdrojích. Kategorizace byla provedena s využitím následujících seznamů a indexů:</w:t>
      </w:r>
    </w:p>
    <w:p w:rsidR="00766C3E" w:rsidRPr="004A470F" w:rsidRDefault="00766C3E" w:rsidP="00766C3E">
      <w:pPr>
        <w:pStyle w:val="normal"/>
        <w:numPr>
          <w:ilvl w:val="0"/>
          <w:numId w:val="2"/>
        </w:numPr>
        <w:spacing w:before="240" w:after="0" w:line="240" w:lineRule="auto"/>
        <w:rPr>
          <w:rFonts w:ascii="Athiti" w:eastAsia="Athiti" w:hAnsi="Athiti" w:cs="Athiti"/>
          <w:lang w:val="cs-CZ"/>
        </w:rPr>
      </w:pPr>
      <w:r w:rsidRPr="004A470F">
        <w:rPr>
          <w:rFonts w:ascii="Athiti" w:eastAsia="Athiti" w:hAnsi="Athiti" w:cs="Athiti"/>
          <w:b/>
          <w:lang w:val="cs-CZ"/>
        </w:rPr>
        <w:t>Seznam jurisdikcí FATF pod zvýšeným dohledem</w:t>
      </w:r>
      <w:r w:rsidRPr="004A470F">
        <w:rPr>
          <w:rFonts w:ascii="Athiti" w:eastAsia="Athiti" w:hAnsi="Athiti" w:cs="Athiti"/>
          <w:lang w:val="cs-CZ"/>
        </w:rPr>
        <w:t xml:space="preserve"> – všechny uvedené země byly zařazeny do seznamu vysoce rizikových zemí </w:t>
      </w:r>
      <w:r w:rsidR="004A470F" w:rsidRPr="004A470F">
        <w:rPr>
          <w:rFonts w:ascii="Athiti" w:eastAsia="Athiti" w:hAnsi="Athiti" w:cs="Athiti"/>
          <w:lang w:val="cs-CZ"/>
        </w:rPr>
        <w:t>ZMAN - KESEF</w:t>
      </w:r>
      <w:r w:rsidRPr="004A470F">
        <w:rPr>
          <w:rFonts w:ascii="Athiti" w:eastAsia="Athiti" w:hAnsi="Athiti" w:cs="Athiti"/>
          <w:lang w:val="cs-CZ"/>
        </w:rPr>
        <w:t xml:space="preserve"> s.r.o.;</w:t>
      </w:r>
    </w:p>
    <w:p w:rsidR="00766C3E" w:rsidRPr="004A470F" w:rsidRDefault="00766C3E" w:rsidP="00766C3E">
      <w:pPr>
        <w:pStyle w:val="normal"/>
        <w:numPr>
          <w:ilvl w:val="0"/>
          <w:numId w:val="2"/>
        </w:numPr>
        <w:spacing w:after="0" w:line="240" w:lineRule="auto"/>
        <w:rPr>
          <w:rFonts w:ascii="Athiti" w:eastAsia="Athiti" w:hAnsi="Athiti" w:cs="Athiti"/>
          <w:lang w:val="cs-CZ"/>
        </w:rPr>
      </w:pPr>
      <w:r w:rsidRPr="004A470F">
        <w:rPr>
          <w:rFonts w:ascii="Athiti" w:eastAsia="Athiti" w:hAnsi="Athiti" w:cs="Athiti"/>
          <w:b/>
          <w:lang w:val="cs-CZ"/>
        </w:rPr>
        <w:t>Seznam vysoce rizikových třetích zemí EU</w:t>
      </w:r>
      <w:r w:rsidRPr="004A470F">
        <w:rPr>
          <w:rFonts w:ascii="Athiti" w:eastAsia="Athiti" w:hAnsi="Athiti" w:cs="Athiti"/>
          <w:lang w:val="cs-CZ"/>
        </w:rPr>
        <w:t xml:space="preserve"> – rovněž začleněn do seznamu vysoce rizikových zemí </w:t>
      </w:r>
      <w:r w:rsidR="004A470F" w:rsidRPr="004A470F">
        <w:rPr>
          <w:rFonts w:ascii="Athiti" w:eastAsia="Athiti" w:hAnsi="Athiti" w:cs="Athiti"/>
          <w:lang w:val="cs-CZ"/>
        </w:rPr>
        <w:t>ZMAN - KESEF</w:t>
      </w:r>
      <w:r w:rsidRPr="004A470F">
        <w:rPr>
          <w:rFonts w:ascii="Athiti" w:eastAsia="Athiti" w:hAnsi="Athiti" w:cs="Athiti"/>
          <w:lang w:val="cs-CZ"/>
        </w:rPr>
        <w:t xml:space="preserve"> s.r.o.;</w:t>
      </w:r>
    </w:p>
    <w:p w:rsidR="00766C3E" w:rsidRPr="004A470F" w:rsidRDefault="00766C3E" w:rsidP="00766C3E">
      <w:pPr>
        <w:pStyle w:val="normal"/>
        <w:numPr>
          <w:ilvl w:val="0"/>
          <w:numId w:val="2"/>
        </w:numPr>
        <w:spacing w:after="0" w:line="240" w:lineRule="auto"/>
        <w:rPr>
          <w:rFonts w:ascii="Athiti" w:eastAsia="Athiti" w:hAnsi="Athiti" w:cs="Athiti"/>
          <w:lang w:val="cs-CZ"/>
        </w:rPr>
      </w:pPr>
      <w:r w:rsidRPr="004A470F">
        <w:rPr>
          <w:rFonts w:ascii="Athiti" w:eastAsia="Athiti" w:hAnsi="Athiti" w:cs="Athiti"/>
          <w:b/>
          <w:lang w:val="cs-CZ"/>
        </w:rPr>
        <w:t>Seznam nespolupracujících daňových jurisdikcí EU</w:t>
      </w:r>
      <w:r w:rsidRPr="004A470F">
        <w:rPr>
          <w:rFonts w:ascii="Athiti" w:eastAsia="Athiti" w:hAnsi="Athiti" w:cs="Athiti"/>
          <w:lang w:val="cs-CZ"/>
        </w:rPr>
        <w:t xml:space="preserve"> – země uvedené na seznamu byly zařazeny mezi tzv. offshore rizikové země;</w:t>
      </w:r>
    </w:p>
    <w:p w:rsidR="00766C3E" w:rsidRPr="004A470F" w:rsidRDefault="00766C3E" w:rsidP="00766C3E">
      <w:pPr>
        <w:pStyle w:val="normal"/>
        <w:numPr>
          <w:ilvl w:val="0"/>
          <w:numId w:val="2"/>
        </w:numPr>
        <w:spacing w:after="0" w:line="240" w:lineRule="auto"/>
        <w:rPr>
          <w:rFonts w:ascii="Athiti" w:eastAsia="Athiti" w:hAnsi="Athiti" w:cs="Athiti"/>
          <w:lang w:val="cs-CZ"/>
        </w:rPr>
      </w:pPr>
      <w:r w:rsidRPr="004A470F">
        <w:rPr>
          <w:rFonts w:ascii="Athiti" w:eastAsia="Athiti" w:hAnsi="Athiti" w:cs="Athiti"/>
          <w:b/>
          <w:lang w:val="cs-CZ"/>
        </w:rPr>
        <w:t>Seznam daňových rájů OECD</w:t>
      </w:r>
      <w:r w:rsidRPr="004A470F">
        <w:rPr>
          <w:rFonts w:ascii="Athiti" w:eastAsia="Athiti" w:hAnsi="Athiti" w:cs="Athiti"/>
          <w:lang w:val="cs-CZ"/>
        </w:rPr>
        <w:t xml:space="preserve"> – země uvedené na seznamu byly rovněž zahrnuty do skupiny offshore rizikových zemí;</w:t>
      </w:r>
    </w:p>
    <w:p w:rsidR="00766C3E" w:rsidRPr="004A470F" w:rsidRDefault="00766C3E" w:rsidP="00766C3E">
      <w:pPr>
        <w:pStyle w:val="normal"/>
        <w:numPr>
          <w:ilvl w:val="0"/>
          <w:numId w:val="2"/>
        </w:numPr>
        <w:spacing w:after="0" w:line="240" w:lineRule="auto"/>
        <w:rPr>
          <w:rFonts w:ascii="Athiti" w:eastAsia="Athiti" w:hAnsi="Athiti" w:cs="Athiti"/>
          <w:lang w:val="cs-CZ"/>
        </w:rPr>
      </w:pPr>
      <w:r w:rsidRPr="004A470F">
        <w:rPr>
          <w:rFonts w:ascii="Athiti" w:eastAsia="Athiti" w:hAnsi="Athiti" w:cs="Athiti"/>
          <w:b/>
          <w:lang w:val="cs-CZ"/>
        </w:rPr>
        <w:t>Basilejský index AML</w:t>
      </w:r>
      <w:r w:rsidRPr="004A470F">
        <w:rPr>
          <w:rFonts w:ascii="Athiti" w:eastAsia="Athiti" w:hAnsi="Athiti" w:cs="Athiti"/>
          <w:lang w:val="cs-CZ"/>
        </w:rPr>
        <w:t xml:space="preserve"> (vydávaný International Centre for Asset Recovery) – 15 nejrizikovějších zemí dle tohoto indexu bylo zařazeno do seznamu vysoce rizikových zemí </w:t>
      </w:r>
      <w:r w:rsidR="004A470F" w:rsidRPr="004A470F">
        <w:rPr>
          <w:rFonts w:ascii="Athiti" w:eastAsia="Athiti" w:hAnsi="Athiti" w:cs="Athiti"/>
          <w:lang w:val="cs-CZ"/>
        </w:rPr>
        <w:t>ZMAN - KESEF</w:t>
      </w:r>
      <w:r w:rsidRPr="004A470F">
        <w:rPr>
          <w:rFonts w:ascii="Athiti" w:eastAsia="Athiti" w:hAnsi="Athiti" w:cs="Athiti"/>
          <w:lang w:val="cs-CZ"/>
        </w:rPr>
        <w:t xml:space="preserve"> s.r.o.;</w:t>
      </w:r>
    </w:p>
    <w:p w:rsidR="00766C3E" w:rsidRPr="004A470F" w:rsidRDefault="00766C3E" w:rsidP="00766C3E">
      <w:pPr>
        <w:pStyle w:val="normal"/>
        <w:numPr>
          <w:ilvl w:val="0"/>
          <w:numId w:val="2"/>
        </w:numPr>
        <w:spacing w:after="240" w:line="240" w:lineRule="auto"/>
        <w:rPr>
          <w:rFonts w:ascii="Athiti" w:eastAsia="Athiti" w:hAnsi="Athiti" w:cs="Athiti"/>
          <w:lang w:val="cs-CZ"/>
        </w:rPr>
      </w:pPr>
      <w:r w:rsidRPr="004A470F">
        <w:rPr>
          <w:rFonts w:ascii="Athiti" w:eastAsia="Athiti" w:hAnsi="Athiti" w:cs="Athiti"/>
          <w:b/>
          <w:lang w:val="cs-CZ"/>
        </w:rPr>
        <w:t>Index Know</w:t>
      </w:r>
      <w:r w:rsidR="00746B14">
        <w:rPr>
          <w:rFonts w:ascii="Athiti" w:eastAsia="Athiti" w:hAnsi="Athiti" w:cs="Athiti"/>
          <w:b/>
          <w:lang w:val="cs-CZ"/>
        </w:rPr>
        <w:t xml:space="preserve"> </w:t>
      </w:r>
      <w:r w:rsidRPr="004A470F">
        <w:rPr>
          <w:rFonts w:ascii="Athiti" w:eastAsia="Athiti" w:hAnsi="Athiti" w:cs="Athiti"/>
          <w:b/>
          <w:lang w:val="cs-CZ"/>
        </w:rPr>
        <w:t>Your</w:t>
      </w:r>
      <w:r w:rsidR="00746B14">
        <w:rPr>
          <w:rFonts w:ascii="Athiti" w:eastAsia="Athiti" w:hAnsi="Athiti" w:cs="Athiti"/>
          <w:b/>
          <w:lang w:val="cs-CZ"/>
        </w:rPr>
        <w:t xml:space="preserve"> </w:t>
      </w:r>
      <w:r w:rsidRPr="004A470F">
        <w:rPr>
          <w:rFonts w:ascii="Athiti" w:eastAsia="Athiti" w:hAnsi="Athiti" w:cs="Athiti"/>
          <w:b/>
          <w:lang w:val="cs-CZ"/>
        </w:rPr>
        <w:t>Country</w:t>
      </w:r>
      <w:r w:rsidRPr="004A470F">
        <w:rPr>
          <w:rFonts w:ascii="Athiti" w:eastAsia="Athiti" w:hAnsi="Athiti" w:cs="Athiti"/>
          <w:lang w:val="cs-CZ"/>
        </w:rPr>
        <w:t xml:space="preserve"> – nejrizikovější země byly rovněž přidány do seznamu vysoce rizikových zemí </w:t>
      </w:r>
      <w:r w:rsidR="004A470F" w:rsidRPr="004A470F">
        <w:rPr>
          <w:rFonts w:ascii="Athiti" w:eastAsia="Athiti" w:hAnsi="Athiti" w:cs="Athiti"/>
          <w:lang w:val="cs-CZ"/>
        </w:rPr>
        <w:t>ZMAN - KESEF</w:t>
      </w:r>
      <w:r w:rsidRPr="004A470F">
        <w:rPr>
          <w:rFonts w:ascii="Athiti" w:eastAsia="Athiti" w:hAnsi="Athiti" w:cs="Athiti"/>
          <w:lang w:val="cs-CZ"/>
        </w:rPr>
        <w:t xml:space="preserve"> s.r.o.</w:t>
      </w:r>
    </w:p>
    <w:p w:rsidR="00766C3E" w:rsidRPr="004A470F" w:rsidRDefault="00766C3E" w:rsidP="00766C3E">
      <w:pPr>
        <w:pStyle w:val="Heading3"/>
        <w:keepNext w:val="0"/>
        <w:keepLines w:val="0"/>
        <w:spacing w:before="280" w:after="80"/>
        <w:ind w:left="1" w:hanging="3"/>
        <w:jc w:val="both"/>
        <w:rPr>
          <w:rFonts w:ascii="Athiti" w:eastAsia="Athiti" w:hAnsi="Athiti" w:cs="Athiti"/>
        </w:rPr>
      </w:pPr>
      <w:bookmarkStart w:id="34" w:name="_heading=h.igrdi2ni9w9o" w:colFirst="0" w:colLast="0"/>
      <w:bookmarkStart w:id="35" w:name="_Toc204266960"/>
      <w:bookmarkEnd w:id="34"/>
      <w:r w:rsidRPr="004A470F">
        <w:rPr>
          <w:rFonts w:ascii="Athiti" w:eastAsia="Athiti" w:hAnsi="Athiti" w:cs="Athiti"/>
        </w:rPr>
        <w:t>Kritéria kategorizace</w:t>
      </w:r>
      <w:bookmarkEnd w:id="35"/>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Kategorizace rizik zemí byla provedena s ohledem na následující kritéria:</w:t>
      </w:r>
    </w:p>
    <w:p w:rsidR="00766C3E" w:rsidRPr="004A470F" w:rsidRDefault="00766C3E" w:rsidP="00766C3E">
      <w:pPr>
        <w:pStyle w:val="normal"/>
        <w:numPr>
          <w:ilvl w:val="0"/>
          <w:numId w:val="6"/>
        </w:numPr>
        <w:spacing w:before="240" w:after="0" w:line="240" w:lineRule="auto"/>
        <w:rPr>
          <w:rFonts w:ascii="Athiti" w:eastAsia="Athiti" w:hAnsi="Athiti" w:cs="Athiti"/>
          <w:lang w:val="cs-CZ"/>
        </w:rPr>
      </w:pPr>
      <w:r w:rsidRPr="004A470F">
        <w:rPr>
          <w:rFonts w:ascii="Athiti" w:eastAsia="Athiti" w:hAnsi="Athiti" w:cs="Athiti"/>
          <w:lang w:val="cs-CZ"/>
        </w:rPr>
        <w:t>úroveň a kvalita rámce AML/CFT v dané zemi;</w:t>
      </w:r>
    </w:p>
    <w:p w:rsidR="00766C3E" w:rsidRPr="004A470F" w:rsidRDefault="00766C3E" w:rsidP="00766C3E">
      <w:pPr>
        <w:pStyle w:val="normal"/>
        <w:numPr>
          <w:ilvl w:val="0"/>
          <w:numId w:val="6"/>
        </w:numPr>
        <w:spacing w:after="0" w:line="240" w:lineRule="auto"/>
        <w:rPr>
          <w:rFonts w:ascii="Athiti" w:eastAsia="Athiti" w:hAnsi="Athiti" w:cs="Athiti"/>
          <w:lang w:val="cs-CZ"/>
        </w:rPr>
      </w:pPr>
      <w:r w:rsidRPr="004A470F">
        <w:rPr>
          <w:rFonts w:ascii="Athiti" w:eastAsia="Athiti" w:hAnsi="Athiti" w:cs="Athiti"/>
          <w:lang w:val="cs-CZ"/>
        </w:rPr>
        <w:t>míra korupce a úplatkářství;</w:t>
      </w:r>
    </w:p>
    <w:p w:rsidR="00766C3E" w:rsidRPr="004A470F" w:rsidRDefault="00766C3E" w:rsidP="00766C3E">
      <w:pPr>
        <w:pStyle w:val="normal"/>
        <w:numPr>
          <w:ilvl w:val="0"/>
          <w:numId w:val="6"/>
        </w:numPr>
        <w:spacing w:after="0" w:line="240" w:lineRule="auto"/>
        <w:rPr>
          <w:rFonts w:ascii="Athiti" w:eastAsia="Athiti" w:hAnsi="Athiti" w:cs="Athiti"/>
          <w:lang w:val="cs-CZ"/>
        </w:rPr>
      </w:pPr>
      <w:r w:rsidRPr="004A470F">
        <w:rPr>
          <w:rFonts w:ascii="Athiti" w:eastAsia="Athiti" w:hAnsi="Athiti" w:cs="Athiti"/>
          <w:lang w:val="cs-CZ"/>
        </w:rPr>
        <w:lastRenderedPageBreak/>
        <w:t>úroveň finanční transparentnosti;</w:t>
      </w:r>
    </w:p>
    <w:p w:rsidR="00766C3E" w:rsidRPr="004A470F" w:rsidRDefault="00766C3E" w:rsidP="00766C3E">
      <w:pPr>
        <w:pStyle w:val="normal"/>
        <w:numPr>
          <w:ilvl w:val="0"/>
          <w:numId w:val="6"/>
        </w:numPr>
        <w:spacing w:after="0" w:line="240" w:lineRule="auto"/>
        <w:rPr>
          <w:rFonts w:ascii="Athiti" w:eastAsia="Athiti" w:hAnsi="Athiti" w:cs="Athiti"/>
          <w:lang w:val="cs-CZ"/>
        </w:rPr>
      </w:pPr>
      <w:r w:rsidRPr="004A470F">
        <w:rPr>
          <w:rFonts w:ascii="Athiti" w:eastAsia="Athiti" w:hAnsi="Athiti" w:cs="Athiti"/>
          <w:lang w:val="cs-CZ"/>
        </w:rPr>
        <w:t>stabilita, právní jistota a vymahatelnost práva;</w:t>
      </w:r>
    </w:p>
    <w:p w:rsidR="00766C3E" w:rsidRPr="004A470F" w:rsidRDefault="00766C3E" w:rsidP="00766C3E">
      <w:pPr>
        <w:pStyle w:val="normal"/>
        <w:numPr>
          <w:ilvl w:val="0"/>
          <w:numId w:val="6"/>
        </w:numPr>
        <w:spacing w:after="240" w:line="240" w:lineRule="auto"/>
        <w:rPr>
          <w:rFonts w:ascii="Athiti" w:eastAsia="Athiti" w:hAnsi="Athiti" w:cs="Athiti"/>
          <w:lang w:val="cs-CZ"/>
        </w:rPr>
      </w:pPr>
      <w:r w:rsidRPr="004A470F">
        <w:rPr>
          <w:rFonts w:ascii="Athiti" w:eastAsia="Athiti" w:hAnsi="Athiti" w:cs="Athiti"/>
          <w:lang w:val="cs-CZ"/>
        </w:rPr>
        <w:t>politická a institucionální odpovědnost a transparentnost.</w:t>
      </w:r>
    </w:p>
    <w:p w:rsidR="00766C3E" w:rsidRPr="004A470F" w:rsidRDefault="00766C3E" w:rsidP="00766C3E">
      <w:pPr>
        <w:pStyle w:val="Heading3"/>
        <w:keepNext w:val="0"/>
        <w:keepLines w:val="0"/>
        <w:spacing w:before="280" w:after="80"/>
        <w:ind w:left="1" w:hanging="3"/>
        <w:jc w:val="both"/>
        <w:rPr>
          <w:rFonts w:ascii="Athiti" w:eastAsia="Athiti" w:hAnsi="Athiti" w:cs="Athiti"/>
        </w:rPr>
      </w:pPr>
      <w:bookmarkStart w:id="36" w:name="_heading=h.togb0cd3jswf" w:colFirst="0" w:colLast="0"/>
      <w:bookmarkStart w:id="37" w:name="_Toc204266961"/>
      <w:bookmarkEnd w:id="36"/>
      <w:r w:rsidRPr="004A470F">
        <w:rPr>
          <w:rFonts w:ascii="Athiti" w:eastAsia="Athiti" w:hAnsi="Athiti" w:cs="Athiti"/>
        </w:rPr>
        <w:t>Úrovně geografického rizika</w:t>
      </w:r>
      <w:bookmarkEnd w:id="37"/>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 xml:space="preserve">Společnost </w:t>
      </w:r>
      <w:r w:rsidR="004A470F" w:rsidRPr="004A470F">
        <w:rPr>
          <w:rFonts w:ascii="Athiti" w:eastAsia="Athiti" w:hAnsi="Athiti" w:cs="Athiti"/>
          <w:lang w:val="cs-CZ"/>
        </w:rPr>
        <w:t>ZMAN - KESEF</w:t>
      </w:r>
      <w:r w:rsidRPr="004A470F">
        <w:rPr>
          <w:rFonts w:ascii="Athiti" w:eastAsia="Athiti" w:hAnsi="Athiti" w:cs="Athiti"/>
          <w:lang w:val="cs-CZ"/>
        </w:rPr>
        <w:t xml:space="preserve"> s.r.o. rozděluje země do následujících pěti rizikových kategorií:</w:t>
      </w:r>
    </w:p>
    <w:p w:rsidR="00766C3E" w:rsidRPr="004A470F" w:rsidRDefault="00766C3E" w:rsidP="00766C3E">
      <w:pPr>
        <w:pStyle w:val="normal"/>
        <w:numPr>
          <w:ilvl w:val="0"/>
          <w:numId w:val="8"/>
        </w:numPr>
        <w:spacing w:before="240" w:after="0" w:line="240" w:lineRule="auto"/>
        <w:rPr>
          <w:rFonts w:ascii="Athiti" w:eastAsia="Athiti" w:hAnsi="Athiti" w:cs="Athiti"/>
          <w:lang w:val="cs-CZ"/>
        </w:rPr>
      </w:pPr>
      <w:r w:rsidRPr="004A470F">
        <w:rPr>
          <w:rFonts w:ascii="Athiti" w:eastAsia="Athiti" w:hAnsi="Athiti" w:cs="Athiti"/>
          <w:b/>
          <w:lang w:val="cs-CZ"/>
        </w:rPr>
        <w:t>Země s nízkým rizikem</w:t>
      </w:r>
      <w:r w:rsidRPr="004A470F">
        <w:rPr>
          <w:rFonts w:ascii="Athiti" w:eastAsia="Athiti" w:hAnsi="Athiti" w:cs="Athiti"/>
          <w:lang w:val="cs-CZ"/>
        </w:rPr>
        <w:t xml:space="preserve"> – jurisdikce, které uplatňují AML/CFT standardy srovnatelné s Českou republikou (včetně všech zemí EU a vybraných zemí mimo EU, jak je specifikováno FAÚ);</w:t>
      </w:r>
    </w:p>
    <w:p w:rsidR="00766C3E" w:rsidRPr="004A470F" w:rsidRDefault="00766C3E" w:rsidP="00766C3E">
      <w:pPr>
        <w:pStyle w:val="normal"/>
        <w:numPr>
          <w:ilvl w:val="0"/>
          <w:numId w:val="8"/>
        </w:numPr>
        <w:spacing w:after="0" w:line="240" w:lineRule="auto"/>
        <w:rPr>
          <w:rFonts w:ascii="Athiti" w:eastAsia="Athiti" w:hAnsi="Athiti" w:cs="Athiti"/>
          <w:lang w:val="cs-CZ"/>
        </w:rPr>
      </w:pPr>
      <w:r w:rsidRPr="004A470F">
        <w:rPr>
          <w:rFonts w:ascii="Athiti" w:eastAsia="Athiti" w:hAnsi="Athiti" w:cs="Athiti"/>
          <w:b/>
          <w:lang w:val="cs-CZ"/>
        </w:rPr>
        <w:t>Země se standardním rizikem</w:t>
      </w:r>
      <w:r w:rsidRPr="004A470F">
        <w:rPr>
          <w:rFonts w:ascii="Athiti" w:eastAsia="Athiti" w:hAnsi="Athiti" w:cs="Athiti"/>
          <w:lang w:val="cs-CZ"/>
        </w:rPr>
        <w:t xml:space="preserve"> – země, které nepatří ani mezi nízkorizikové, ani mezi rizikové podle ostatních kritérií;</w:t>
      </w:r>
    </w:p>
    <w:p w:rsidR="00766C3E" w:rsidRPr="004A470F" w:rsidRDefault="00766C3E" w:rsidP="00766C3E">
      <w:pPr>
        <w:pStyle w:val="normal"/>
        <w:numPr>
          <w:ilvl w:val="0"/>
          <w:numId w:val="8"/>
        </w:numPr>
        <w:spacing w:after="0" w:line="240" w:lineRule="auto"/>
        <w:rPr>
          <w:rFonts w:ascii="Athiti" w:eastAsia="Athiti" w:hAnsi="Athiti" w:cs="Athiti"/>
          <w:lang w:val="cs-CZ"/>
        </w:rPr>
      </w:pPr>
      <w:r w:rsidRPr="004A470F">
        <w:rPr>
          <w:rFonts w:ascii="Athiti" w:eastAsia="Athiti" w:hAnsi="Athiti" w:cs="Athiti"/>
          <w:b/>
          <w:lang w:val="cs-CZ"/>
        </w:rPr>
        <w:t>Offshore rizikové země</w:t>
      </w:r>
      <w:r w:rsidRPr="004A470F">
        <w:rPr>
          <w:rFonts w:ascii="Athiti" w:eastAsia="Athiti" w:hAnsi="Athiti" w:cs="Athiti"/>
          <w:lang w:val="cs-CZ"/>
        </w:rPr>
        <w:t xml:space="preserve"> – daňově netransparentní jurisdikce, často zneužívané k anonymizaci vlastnictví;</w:t>
      </w:r>
    </w:p>
    <w:p w:rsidR="00766C3E" w:rsidRPr="004A470F" w:rsidRDefault="00766C3E" w:rsidP="00766C3E">
      <w:pPr>
        <w:pStyle w:val="normal"/>
        <w:numPr>
          <w:ilvl w:val="0"/>
          <w:numId w:val="8"/>
        </w:numPr>
        <w:spacing w:after="0" w:line="240" w:lineRule="auto"/>
        <w:rPr>
          <w:rFonts w:ascii="Athiti" w:eastAsia="Athiti" w:hAnsi="Athiti" w:cs="Athiti"/>
          <w:lang w:val="cs-CZ"/>
        </w:rPr>
      </w:pPr>
      <w:r w:rsidRPr="004A470F">
        <w:rPr>
          <w:rFonts w:ascii="Athiti" w:eastAsia="Athiti" w:hAnsi="Athiti" w:cs="Athiti"/>
          <w:b/>
          <w:lang w:val="cs-CZ"/>
        </w:rPr>
        <w:t>Vysoce rizikové země</w:t>
      </w:r>
      <w:r w:rsidRPr="004A470F">
        <w:rPr>
          <w:rFonts w:ascii="Athiti" w:eastAsia="Athiti" w:hAnsi="Athiti" w:cs="Athiti"/>
          <w:lang w:val="cs-CZ"/>
        </w:rPr>
        <w:t xml:space="preserve"> – jurisdikce identifikované jako vysoce rizikové na základě výše uvedených mezinárodních seznamů;</w:t>
      </w:r>
    </w:p>
    <w:p w:rsidR="00766C3E" w:rsidRPr="004A470F" w:rsidRDefault="00766C3E" w:rsidP="00766C3E">
      <w:pPr>
        <w:pStyle w:val="normal"/>
        <w:numPr>
          <w:ilvl w:val="0"/>
          <w:numId w:val="8"/>
        </w:numPr>
        <w:spacing w:after="240" w:line="240" w:lineRule="auto"/>
        <w:rPr>
          <w:rFonts w:ascii="Athiti" w:eastAsia="Athiti" w:hAnsi="Athiti" w:cs="Athiti"/>
          <w:lang w:val="cs-CZ"/>
        </w:rPr>
      </w:pPr>
      <w:r w:rsidRPr="004A470F">
        <w:rPr>
          <w:rFonts w:ascii="Athiti" w:eastAsia="Athiti" w:hAnsi="Athiti" w:cs="Athiti"/>
          <w:b/>
          <w:lang w:val="cs-CZ"/>
        </w:rPr>
        <w:t>Země na černé listině</w:t>
      </w:r>
      <w:r w:rsidRPr="004A470F">
        <w:rPr>
          <w:rFonts w:ascii="Athiti" w:eastAsia="Athiti" w:hAnsi="Athiti" w:cs="Athiti"/>
          <w:lang w:val="cs-CZ"/>
        </w:rPr>
        <w:t xml:space="preserve"> – jurisdikce, které jsou předmětem přímých sankcí, embarg nebo které jsou evidovány jako nespolupracující či podporující terorismus.</w:t>
      </w:r>
    </w:p>
    <w:p w:rsidR="00766C3E" w:rsidRPr="004A470F" w:rsidRDefault="00766C3E" w:rsidP="00766C3E">
      <w:pPr>
        <w:pStyle w:val="Heading3"/>
        <w:keepNext w:val="0"/>
        <w:keepLines w:val="0"/>
        <w:spacing w:before="280" w:after="80"/>
        <w:ind w:left="1" w:hanging="3"/>
        <w:jc w:val="both"/>
        <w:rPr>
          <w:rFonts w:ascii="Athiti" w:eastAsia="Athiti" w:hAnsi="Athiti" w:cs="Athiti"/>
        </w:rPr>
      </w:pPr>
      <w:bookmarkStart w:id="38" w:name="_heading=h.l3abb59q5de6" w:colFirst="0" w:colLast="0"/>
      <w:bookmarkStart w:id="39" w:name="_Toc204266962"/>
      <w:bookmarkEnd w:id="38"/>
      <w:r w:rsidRPr="004A470F">
        <w:rPr>
          <w:rFonts w:ascii="Athiti" w:eastAsia="Athiti" w:hAnsi="Athiti" w:cs="Athiti"/>
        </w:rPr>
        <w:t>4.1.4 Kategorizace zemí podle míry geografického rizika</w:t>
      </w:r>
      <w:bookmarkEnd w:id="39"/>
    </w:p>
    <w:p w:rsidR="00766C3E" w:rsidRPr="004A470F" w:rsidRDefault="00766C3E" w:rsidP="00766C3E">
      <w:pPr>
        <w:pStyle w:val="normal"/>
        <w:spacing w:before="240" w:after="240" w:line="240" w:lineRule="auto"/>
        <w:jc w:val="both"/>
        <w:rPr>
          <w:rFonts w:ascii="Athiti" w:eastAsia="Athiti" w:hAnsi="Athiti" w:cs="Athiti"/>
          <w:lang w:val="cs-CZ"/>
        </w:rPr>
      </w:pPr>
      <w:bookmarkStart w:id="40" w:name="_heading=h.26in1rg" w:colFirst="0" w:colLast="0"/>
      <w:bookmarkEnd w:id="40"/>
      <w:r w:rsidRPr="004A470F">
        <w:rPr>
          <w:rFonts w:ascii="Athiti" w:eastAsia="Athiti" w:hAnsi="Athiti" w:cs="Athiti"/>
          <w:lang w:val="cs-CZ"/>
        </w:rPr>
        <w:t xml:space="preserve">Společnost </w:t>
      </w:r>
      <w:r w:rsidR="004A470F" w:rsidRPr="004A470F">
        <w:rPr>
          <w:rFonts w:ascii="Athiti" w:eastAsia="Athiti" w:hAnsi="Athiti" w:cs="Athiti"/>
          <w:lang w:val="cs-CZ"/>
        </w:rPr>
        <w:t>ZMAN - KESEF</w:t>
      </w:r>
      <w:r w:rsidRPr="004A470F">
        <w:rPr>
          <w:rFonts w:ascii="Athiti" w:eastAsia="Athiti" w:hAnsi="Athiti" w:cs="Athiti"/>
          <w:lang w:val="cs-CZ"/>
        </w:rPr>
        <w:t xml:space="preserve"> s.r.o. zavedla klasifikaci zemí podle geografického rizika legalizace výnosů z trestné činnosti a financování terorismu (ML/FT), a to na základě kombinace důvěryhodných mezinárodních zdrojů, indexů a veřejně dostupných seznamů.</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Kategorizace zahrnuje pět úrovní rizika:</w:t>
      </w:r>
    </w:p>
    <w:p w:rsidR="00766C3E" w:rsidRPr="004A470F" w:rsidRDefault="00766C3E" w:rsidP="00766C3E">
      <w:pPr>
        <w:pStyle w:val="normal"/>
        <w:numPr>
          <w:ilvl w:val="0"/>
          <w:numId w:val="23"/>
        </w:numPr>
        <w:spacing w:before="240" w:after="0" w:line="240" w:lineRule="auto"/>
        <w:rPr>
          <w:rFonts w:ascii="Athiti" w:eastAsia="Athiti" w:hAnsi="Athiti" w:cs="Athiti"/>
          <w:lang w:val="cs-CZ"/>
        </w:rPr>
      </w:pPr>
      <w:r w:rsidRPr="004A470F">
        <w:rPr>
          <w:rFonts w:ascii="Athiti" w:eastAsia="Athiti" w:hAnsi="Athiti" w:cs="Athiti"/>
          <w:lang w:val="cs-CZ"/>
        </w:rPr>
        <w:t>Země s nízkým rizikem</w:t>
      </w:r>
    </w:p>
    <w:p w:rsidR="00766C3E" w:rsidRPr="004A470F" w:rsidRDefault="00766C3E" w:rsidP="00766C3E">
      <w:pPr>
        <w:pStyle w:val="normal"/>
        <w:numPr>
          <w:ilvl w:val="0"/>
          <w:numId w:val="23"/>
        </w:numPr>
        <w:spacing w:after="0" w:line="240" w:lineRule="auto"/>
        <w:rPr>
          <w:rFonts w:ascii="Athiti" w:eastAsia="Athiti" w:hAnsi="Athiti" w:cs="Athiti"/>
          <w:lang w:val="cs-CZ"/>
        </w:rPr>
      </w:pPr>
      <w:r w:rsidRPr="004A470F">
        <w:rPr>
          <w:rFonts w:ascii="Athiti" w:eastAsia="Athiti" w:hAnsi="Athiti" w:cs="Athiti"/>
          <w:lang w:val="cs-CZ"/>
        </w:rPr>
        <w:t>Země se standardním rizikem</w:t>
      </w:r>
    </w:p>
    <w:p w:rsidR="00766C3E" w:rsidRPr="004A470F" w:rsidRDefault="00766C3E" w:rsidP="00766C3E">
      <w:pPr>
        <w:pStyle w:val="normal"/>
        <w:numPr>
          <w:ilvl w:val="0"/>
          <w:numId w:val="23"/>
        </w:numPr>
        <w:spacing w:after="0" w:line="240" w:lineRule="auto"/>
        <w:rPr>
          <w:rFonts w:ascii="Athiti" w:eastAsia="Athiti" w:hAnsi="Athiti" w:cs="Athiti"/>
          <w:lang w:val="cs-CZ"/>
        </w:rPr>
      </w:pPr>
      <w:r w:rsidRPr="004A470F">
        <w:rPr>
          <w:rFonts w:ascii="Athiti" w:eastAsia="Athiti" w:hAnsi="Athiti" w:cs="Athiti"/>
          <w:lang w:val="cs-CZ"/>
        </w:rPr>
        <w:t>Offshore rizikové země</w:t>
      </w:r>
    </w:p>
    <w:p w:rsidR="00766C3E" w:rsidRPr="004A470F" w:rsidRDefault="00766C3E" w:rsidP="00766C3E">
      <w:pPr>
        <w:pStyle w:val="normal"/>
        <w:numPr>
          <w:ilvl w:val="0"/>
          <w:numId w:val="23"/>
        </w:numPr>
        <w:spacing w:after="0" w:line="240" w:lineRule="auto"/>
        <w:rPr>
          <w:rFonts w:ascii="Athiti" w:eastAsia="Athiti" w:hAnsi="Athiti" w:cs="Athiti"/>
          <w:lang w:val="cs-CZ"/>
        </w:rPr>
      </w:pPr>
      <w:r w:rsidRPr="004A470F">
        <w:rPr>
          <w:rFonts w:ascii="Athiti" w:eastAsia="Athiti" w:hAnsi="Athiti" w:cs="Athiti"/>
          <w:lang w:val="cs-CZ"/>
        </w:rPr>
        <w:t>Vysoce rizikové země</w:t>
      </w:r>
    </w:p>
    <w:p w:rsidR="00766C3E" w:rsidRPr="004A470F" w:rsidRDefault="00766C3E" w:rsidP="00766C3E">
      <w:pPr>
        <w:pStyle w:val="normal"/>
        <w:numPr>
          <w:ilvl w:val="0"/>
          <w:numId w:val="23"/>
        </w:numPr>
        <w:spacing w:after="240" w:line="240" w:lineRule="auto"/>
        <w:rPr>
          <w:rFonts w:ascii="Athiti" w:eastAsia="Athiti" w:hAnsi="Athiti" w:cs="Athiti"/>
          <w:lang w:val="cs-CZ"/>
        </w:rPr>
      </w:pPr>
      <w:r w:rsidRPr="004A470F">
        <w:rPr>
          <w:rFonts w:ascii="Athiti" w:eastAsia="Athiti" w:hAnsi="Athiti" w:cs="Athiti"/>
          <w:lang w:val="cs-CZ"/>
        </w:rPr>
        <w:t>Země na černé listině</w:t>
      </w:r>
    </w:p>
    <w:p w:rsidR="00766C3E" w:rsidRPr="004A470F" w:rsidRDefault="00766C3E" w:rsidP="00766C3E">
      <w:pPr>
        <w:pStyle w:val="Nadpis4"/>
        <w:keepNext w:val="0"/>
        <w:keepLines w:val="0"/>
        <w:spacing w:line="240" w:lineRule="auto"/>
        <w:jc w:val="both"/>
        <w:rPr>
          <w:rFonts w:ascii="Athiti" w:eastAsia="Athiti" w:hAnsi="Athiti" w:cs="Athiti"/>
          <w:sz w:val="22"/>
          <w:szCs w:val="22"/>
          <w:lang w:val="cs-CZ"/>
        </w:rPr>
      </w:pPr>
      <w:bookmarkStart w:id="41" w:name="_heading=h.pmxwtusdix08" w:colFirst="0" w:colLast="0"/>
      <w:bookmarkEnd w:id="41"/>
      <w:r w:rsidRPr="004A470F">
        <w:rPr>
          <w:rFonts w:ascii="Athiti" w:eastAsia="Athiti" w:hAnsi="Athiti" w:cs="Athiti"/>
          <w:sz w:val="22"/>
          <w:szCs w:val="22"/>
          <w:lang w:val="cs-CZ"/>
        </w:rPr>
        <w:t>Země s nízkým rizikem</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Zahrnují jurisdikce, které uplatňují AML/CFT standardy srovnatelné s těmi v České republice, zejména země EU a vybrané další země, které jsou uvedeny v seznamu Finančního analytického úřadu.</w:t>
      </w:r>
    </w:p>
    <w:p w:rsidR="00766C3E" w:rsidRPr="004A470F" w:rsidRDefault="00766C3E" w:rsidP="00766C3E">
      <w:pPr>
        <w:pStyle w:val="normal"/>
        <w:spacing w:before="240" w:after="240" w:line="240" w:lineRule="auto"/>
        <w:jc w:val="both"/>
        <w:rPr>
          <w:rFonts w:ascii="Athiti" w:eastAsia="Athiti" w:hAnsi="Athiti" w:cs="Athiti"/>
          <w:b/>
          <w:lang w:val="cs-CZ"/>
        </w:rPr>
      </w:pPr>
      <w:r w:rsidRPr="004A470F">
        <w:rPr>
          <w:rFonts w:ascii="Athiti" w:eastAsia="Athiti" w:hAnsi="Athiti" w:cs="Athiti"/>
          <w:b/>
          <w:lang w:val="cs-CZ"/>
        </w:rPr>
        <w:t>Seznam zemí s nízkým rizikem:</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Austrálie, Rakousko, Belgie, Brazílie, Bulharsko, Kanada, Kypr, Česká republika, Dánsko, Estonsko, Finsko, Francie, Německo, Řecko, Hongkong, Maďarsko, Indie, Irsko, Itálie, Japonsko, Lotyšsko, Lichtenštejnsko, Lucembursko, Mexiko, Nizozemsko, Norsko, Polsko, Portugalsko, Rumunsko, Singapur, Slovensko, Slovinsko, Jižní Afrika, Jižní Korea, Španělsko, Švédsko, Švýcarsko, Spojené království, Spojené státy americké.</w:t>
      </w:r>
    </w:p>
    <w:p w:rsidR="00766C3E" w:rsidRPr="004A470F" w:rsidRDefault="00766C3E" w:rsidP="00766C3E">
      <w:pPr>
        <w:pStyle w:val="Nadpis4"/>
        <w:keepNext w:val="0"/>
        <w:keepLines w:val="0"/>
        <w:spacing w:line="240" w:lineRule="auto"/>
        <w:jc w:val="both"/>
        <w:rPr>
          <w:rFonts w:ascii="Athiti" w:eastAsia="Athiti" w:hAnsi="Athiti" w:cs="Athiti"/>
          <w:sz w:val="22"/>
          <w:szCs w:val="22"/>
          <w:lang w:val="cs-CZ"/>
        </w:rPr>
      </w:pPr>
      <w:bookmarkStart w:id="42" w:name="_heading=h.e59pjy6ac62v" w:colFirst="0" w:colLast="0"/>
      <w:bookmarkEnd w:id="42"/>
      <w:r w:rsidRPr="004A470F">
        <w:rPr>
          <w:rFonts w:ascii="Athiti" w:eastAsia="Athiti" w:hAnsi="Athiti" w:cs="Athiti"/>
          <w:sz w:val="22"/>
          <w:szCs w:val="22"/>
          <w:lang w:val="cs-CZ"/>
        </w:rPr>
        <w:t>Země se standardním rizikem</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 xml:space="preserve">Nejpočetnější kategorie v rámci geografické klasifikace </w:t>
      </w:r>
      <w:r w:rsidR="004A470F" w:rsidRPr="004A470F">
        <w:rPr>
          <w:rFonts w:ascii="Athiti" w:eastAsia="Athiti" w:hAnsi="Athiti" w:cs="Athiti"/>
          <w:lang w:val="cs-CZ"/>
        </w:rPr>
        <w:t>ZMAN - KESEF</w:t>
      </w:r>
      <w:r w:rsidRPr="004A470F">
        <w:rPr>
          <w:rFonts w:ascii="Athiti" w:eastAsia="Athiti" w:hAnsi="Athiti" w:cs="Athiti"/>
          <w:lang w:val="cs-CZ"/>
        </w:rPr>
        <w:t xml:space="preserve"> s.r.o.. Obsahuje všechny jurisdikce, které nejsou výslovně zařazeny do kategorie nízkého, offshore, vysokého rizika či černé listiny. Tyto země mohou vykazovat drobné odchylky v míře ML/FT rizika, celkové skóre však zůstává relativně stabilní.</w:t>
      </w:r>
    </w:p>
    <w:p w:rsidR="00766C3E" w:rsidRPr="004A470F" w:rsidRDefault="00766C3E" w:rsidP="00766C3E">
      <w:pPr>
        <w:pStyle w:val="normal"/>
        <w:spacing w:before="240" w:after="240" w:line="240" w:lineRule="auto"/>
        <w:jc w:val="both"/>
        <w:rPr>
          <w:rFonts w:ascii="Athiti" w:eastAsia="Athiti" w:hAnsi="Athiti" w:cs="Athiti"/>
          <w:b/>
          <w:lang w:val="cs-CZ"/>
        </w:rPr>
      </w:pPr>
      <w:r w:rsidRPr="004A470F">
        <w:rPr>
          <w:rFonts w:ascii="Athiti" w:eastAsia="Athiti" w:hAnsi="Athiti" w:cs="Athiti"/>
          <w:b/>
          <w:lang w:val="cs-CZ"/>
        </w:rPr>
        <w:lastRenderedPageBreak/>
        <w:t>Seznam zemí se standardním rizikem:</w:t>
      </w:r>
    </w:p>
    <w:p w:rsidR="00766C3E" w:rsidRPr="004A470F" w:rsidRDefault="00766C3E" w:rsidP="00766C3E">
      <w:pPr>
        <w:pStyle w:val="normal"/>
        <w:spacing w:before="240" w:after="240" w:line="240" w:lineRule="auto"/>
        <w:jc w:val="both"/>
        <w:rPr>
          <w:rFonts w:ascii="Athiti" w:eastAsia="Athiti" w:hAnsi="Athiti" w:cs="Athiti"/>
          <w:b/>
          <w:lang w:val="cs-CZ"/>
        </w:rPr>
      </w:pPr>
      <w:r w:rsidRPr="004A470F">
        <w:rPr>
          <w:rFonts w:ascii="Athiti" w:eastAsia="Athiti" w:hAnsi="Athiti" w:cs="Athiti"/>
          <w:lang w:val="cs-CZ"/>
        </w:rPr>
        <w:t>Alžírsko, Angola, Argentina, Arménie, Ázerbájdžán, Bangladéš, Benin, Bhútán, Bolívie, Burundi, Kamerun, Kapverdy, Kolumbie, Komory, Chorvatsko, Džibutsko, Dominikánská republika, Východní Timor, El Salvador, Rovníková Guinea, Faerské ostrovy, Federativní státy Mikronésie, Fidži, Gabon, Gruzie, Grenada, Grenadiny, Guatemala, Guinea, Čad, Chile, Izrael, Kazachstán, Kiribati, Kuvajt, Kyrgyzstán, Lesotho, Litva, Madagaskar, Malawi, Malajsie, Maledivy, Marshallovy ostrovy, Mauritánie, Moldavsko, Monako, Černá Hora, Namibie, Nauru, Nový Zéland, Niger, Niue, Omán, Palau, Papua Nová Guinea, Čínská lidová republika, Peru, Katar, Makedonská republika, Rwanda, Samoa, San Marino, Svatý Tomáš a Princův ostrov, Sierra Leone, Šalamounovy ostrovy, Surinam, Thajsko, Gambie, Togo, Tonga, Turkmenistán, Tuvalu, Ukrajina, Uruguay, Uzbekistán, Vietnam, Zair (Demokratická republika Kongo), Zambie.</w:t>
      </w:r>
    </w:p>
    <w:p w:rsidR="00766C3E" w:rsidRPr="004A470F" w:rsidRDefault="00766C3E" w:rsidP="00766C3E">
      <w:pPr>
        <w:pStyle w:val="Nadpis4"/>
        <w:keepNext w:val="0"/>
        <w:keepLines w:val="0"/>
        <w:spacing w:line="240" w:lineRule="auto"/>
        <w:jc w:val="both"/>
        <w:rPr>
          <w:rFonts w:ascii="Athiti" w:eastAsia="Athiti" w:hAnsi="Athiti" w:cs="Athiti"/>
          <w:sz w:val="22"/>
          <w:szCs w:val="22"/>
          <w:lang w:val="cs-CZ"/>
        </w:rPr>
      </w:pPr>
      <w:bookmarkStart w:id="43" w:name="_heading=h.5t77jiufnvry" w:colFirst="0" w:colLast="0"/>
      <w:bookmarkEnd w:id="43"/>
      <w:r w:rsidRPr="004A470F">
        <w:rPr>
          <w:rFonts w:ascii="Athiti" w:eastAsia="Athiti" w:hAnsi="Athiti" w:cs="Athiti"/>
          <w:sz w:val="22"/>
          <w:szCs w:val="22"/>
          <w:lang w:val="cs-CZ"/>
        </w:rPr>
        <w:t>Offshore rizikové země</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 xml:space="preserve">Jurisdikce známé svou nízkou daňovou transparentností, nedostatečně rozvinutým právním rámcem v oblasti AML/CFT nebo neochotou ke spolupráci při daňových otázkách. </w:t>
      </w:r>
      <w:r w:rsidR="004A470F" w:rsidRPr="004A470F">
        <w:rPr>
          <w:rFonts w:ascii="Athiti" w:eastAsia="Athiti" w:hAnsi="Athiti" w:cs="Athiti"/>
          <w:lang w:val="cs-CZ"/>
        </w:rPr>
        <w:t>ZMAN - KESEF</w:t>
      </w:r>
      <w:r w:rsidRPr="004A470F">
        <w:rPr>
          <w:rFonts w:ascii="Athiti" w:eastAsia="Athiti" w:hAnsi="Athiti" w:cs="Athiti"/>
          <w:lang w:val="cs-CZ"/>
        </w:rPr>
        <w:t xml:space="preserve"> s.r.o. využívá pro identifikaci těchto jurisdikcí:</w:t>
      </w:r>
    </w:p>
    <w:p w:rsidR="00766C3E" w:rsidRPr="004A470F" w:rsidRDefault="00766C3E" w:rsidP="00766C3E">
      <w:pPr>
        <w:pStyle w:val="normal"/>
        <w:numPr>
          <w:ilvl w:val="0"/>
          <w:numId w:val="10"/>
        </w:numPr>
        <w:spacing w:before="240" w:after="0" w:line="240" w:lineRule="auto"/>
        <w:rPr>
          <w:rFonts w:ascii="Athiti" w:eastAsia="Athiti" w:hAnsi="Athiti" w:cs="Athiti"/>
          <w:lang w:val="cs-CZ"/>
        </w:rPr>
      </w:pPr>
      <w:r w:rsidRPr="004A470F">
        <w:rPr>
          <w:rFonts w:ascii="Athiti" w:eastAsia="Athiti" w:hAnsi="Athiti" w:cs="Athiti"/>
          <w:lang w:val="cs-CZ"/>
        </w:rPr>
        <w:t>Seznam nespolupracujících jurisdikcí pro daňové účely (EU);</w:t>
      </w:r>
    </w:p>
    <w:p w:rsidR="00766C3E" w:rsidRPr="004A470F" w:rsidRDefault="00766C3E" w:rsidP="00766C3E">
      <w:pPr>
        <w:pStyle w:val="normal"/>
        <w:numPr>
          <w:ilvl w:val="0"/>
          <w:numId w:val="10"/>
        </w:numPr>
        <w:spacing w:after="240" w:line="240" w:lineRule="auto"/>
        <w:rPr>
          <w:rFonts w:ascii="Athiti" w:eastAsia="Athiti" w:hAnsi="Athiti" w:cs="Athiti"/>
          <w:lang w:val="cs-CZ"/>
        </w:rPr>
      </w:pPr>
      <w:r w:rsidRPr="004A470F">
        <w:rPr>
          <w:rFonts w:ascii="Athiti" w:eastAsia="Athiti" w:hAnsi="Athiti" w:cs="Athiti"/>
          <w:lang w:val="cs-CZ"/>
        </w:rPr>
        <w:t>Seznam daňových rájů OECD.</w:t>
      </w:r>
    </w:p>
    <w:p w:rsidR="00766C3E" w:rsidRPr="004A470F" w:rsidRDefault="00766C3E" w:rsidP="00766C3E">
      <w:pPr>
        <w:pStyle w:val="normal"/>
        <w:spacing w:before="240" w:after="240" w:line="240" w:lineRule="auto"/>
        <w:jc w:val="both"/>
        <w:rPr>
          <w:rFonts w:ascii="Athiti" w:eastAsia="Athiti" w:hAnsi="Athiti" w:cs="Athiti"/>
          <w:b/>
          <w:lang w:val="cs-CZ"/>
        </w:rPr>
      </w:pPr>
      <w:r w:rsidRPr="004A470F">
        <w:rPr>
          <w:rFonts w:ascii="Athiti" w:eastAsia="Athiti" w:hAnsi="Athiti" w:cs="Athiti"/>
          <w:b/>
          <w:lang w:val="cs-CZ"/>
        </w:rPr>
        <w:t>Seznam offshore rizikových zemí:</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Andorra, Anguilla, Antigua a Barbuda, Aruba, Bahrajn, Belize, Bermudy, Britské Panenské ostrovy, Cookovy ostrovy, Curaçao, Gibraltar, Marshallovy ostrovy, Svatý Kryštof a Nevis, Svatá Lucie, Svatý Vincent a Grenadiny, Seychely, Ostrov Man, a další.</w:t>
      </w:r>
    </w:p>
    <w:p w:rsidR="00766C3E" w:rsidRPr="004A470F" w:rsidRDefault="00766C3E" w:rsidP="00766C3E">
      <w:pPr>
        <w:pStyle w:val="Nadpis4"/>
        <w:keepNext w:val="0"/>
        <w:keepLines w:val="0"/>
        <w:spacing w:line="240" w:lineRule="auto"/>
        <w:jc w:val="both"/>
        <w:rPr>
          <w:rFonts w:ascii="Athiti" w:eastAsia="Athiti" w:hAnsi="Athiti" w:cs="Athiti"/>
          <w:sz w:val="22"/>
          <w:szCs w:val="22"/>
          <w:lang w:val="cs-CZ"/>
        </w:rPr>
      </w:pPr>
      <w:bookmarkStart w:id="44" w:name="_heading=h.cxbpjg3kfkgw" w:colFirst="0" w:colLast="0"/>
      <w:bookmarkEnd w:id="44"/>
      <w:r w:rsidRPr="004A470F">
        <w:rPr>
          <w:rFonts w:ascii="Athiti" w:eastAsia="Athiti" w:hAnsi="Athiti" w:cs="Athiti"/>
          <w:sz w:val="22"/>
          <w:szCs w:val="22"/>
          <w:lang w:val="cs-CZ"/>
        </w:rPr>
        <w:t>Vysoce rizikové země</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Zahrnují jurisdikce s významnými systémovými nedostatky v oblasti AML/CFT, vysokou mírou korupce nebo politické nestability. K identifikaci slouží:</w:t>
      </w:r>
    </w:p>
    <w:p w:rsidR="00766C3E" w:rsidRPr="004A470F" w:rsidRDefault="00766C3E" w:rsidP="00766C3E">
      <w:pPr>
        <w:pStyle w:val="normal"/>
        <w:numPr>
          <w:ilvl w:val="0"/>
          <w:numId w:val="5"/>
        </w:numPr>
        <w:spacing w:before="240" w:after="0" w:line="240" w:lineRule="auto"/>
        <w:rPr>
          <w:rFonts w:ascii="Athiti" w:eastAsia="Athiti" w:hAnsi="Athiti" w:cs="Athiti"/>
          <w:lang w:val="cs-CZ"/>
        </w:rPr>
      </w:pPr>
      <w:r w:rsidRPr="004A470F">
        <w:rPr>
          <w:rFonts w:ascii="Athiti" w:eastAsia="Athiti" w:hAnsi="Athiti" w:cs="Athiti"/>
          <w:lang w:val="cs-CZ"/>
        </w:rPr>
        <w:t>Seznam jurisdikcí FATF pod zvýšeným dohledem (tzv. „grey list“);</w:t>
      </w:r>
    </w:p>
    <w:p w:rsidR="00766C3E" w:rsidRPr="004A470F" w:rsidRDefault="00766C3E" w:rsidP="00766C3E">
      <w:pPr>
        <w:pStyle w:val="normal"/>
        <w:numPr>
          <w:ilvl w:val="0"/>
          <w:numId w:val="5"/>
        </w:numPr>
        <w:spacing w:after="0" w:line="240" w:lineRule="auto"/>
        <w:rPr>
          <w:rFonts w:ascii="Athiti" w:eastAsia="Athiti" w:hAnsi="Athiti" w:cs="Athiti"/>
          <w:lang w:val="cs-CZ"/>
        </w:rPr>
      </w:pPr>
      <w:r w:rsidRPr="004A470F">
        <w:rPr>
          <w:rFonts w:ascii="Athiti" w:eastAsia="Athiti" w:hAnsi="Athiti" w:cs="Athiti"/>
          <w:lang w:val="cs-CZ"/>
        </w:rPr>
        <w:t>Seznam vysoce rizikových třetích zemí EU;</w:t>
      </w:r>
    </w:p>
    <w:p w:rsidR="00766C3E" w:rsidRPr="004A470F" w:rsidRDefault="00766C3E" w:rsidP="00766C3E">
      <w:pPr>
        <w:pStyle w:val="normal"/>
        <w:numPr>
          <w:ilvl w:val="0"/>
          <w:numId w:val="5"/>
        </w:numPr>
        <w:spacing w:after="240" w:line="240" w:lineRule="auto"/>
        <w:rPr>
          <w:rFonts w:ascii="Athiti" w:eastAsia="Athiti" w:hAnsi="Athiti" w:cs="Athiti"/>
          <w:lang w:val="cs-CZ"/>
        </w:rPr>
      </w:pPr>
      <w:r w:rsidRPr="004A470F">
        <w:rPr>
          <w:rFonts w:ascii="Athiti" w:eastAsia="Athiti" w:hAnsi="Athiti" w:cs="Athiti"/>
          <w:lang w:val="cs-CZ"/>
        </w:rPr>
        <w:t>Top 15 nejrizikovějších zemí dle Basilejského AML indexu.</w:t>
      </w:r>
    </w:p>
    <w:p w:rsidR="00766C3E" w:rsidRPr="004A470F" w:rsidRDefault="00766C3E" w:rsidP="00766C3E">
      <w:pPr>
        <w:pStyle w:val="normal"/>
        <w:spacing w:before="240" w:after="240" w:line="240" w:lineRule="auto"/>
        <w:jc w:val="both"/>
        <w:rPr>
          <w:rFonts w:ascii="Athiti" w:eastAsia="Athiti" w:hAnsi="Athiti" w:cs="Athiti"/>
          <w:b/>
          <w:lang w:val="cs-CZ"/>
        </w:rPr>
      </w:pPr>
      <w:r w:rsidRPr="004A470F">
        <w:rPr>
          <w:rFonts w:ascii="Athiti" w:eastAsia="Athiti" w:hAnsi="Athiti" w:cs="Athiti"/>
          <w:b/>
          <w:lang w:val="cs-CZ"/>
        </w:rPr>
        <w:t>Seznam vysoce rizikových zemí:</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Afghánistán, Albánie, Bahamy, Barbados, Bělorusko, Bosna a Hercegovina, Kambodža, Kajmanské ostrovy, Demokratická republika Kongo, Haiti, Indonésie, Irák, Jamajka, Jordánsko, Keňa, Libanon, Libye, Mali, Malta, Mauricius, Mongolsko, Myanmar, Nigérie, Pákistán, Panama, Filipíny, Rusko, Srbsko, Súdán, Sýrie, Trinidad a Tobago, Tunisko, Turecko, Spojené arabské emiráty, Venezuela, Zimbabwe.</w:t>
      </w:r>
    </w:p>
    <w:p w:rsidR="00766C3E" w:rsidRPr="004A470F" w:rsidRDefault="00766C3E" w:rsidP="00766C3E">
      <w:pPr>
        <w:pStyle w:val="Nadpis4"/>
        <w:keepNext w:val="0"/>
        <w:keepLines w:val="0"/>
        <w:spacing w:line="240" w:lineRule="auto"/>
        <w:jc w:val="both"/>
        <w:rPr>
          <w:rFonts w:ascii="Athiti" w:eastAsia="Athiti" w:hAnsi="Athiti" w:cs="Athiti"/>
          <w:sz w:val="22"/>
          <w:szCs w:val="22"/>
          <w:lang w:val="cs-CZ"/>
        </w:rPr>
      </w:pPr>
      <w:bookmarkStart w:id="45" w:name="_heading=h.jdh6j6bc98sl" w:colFirst="0" w:colLast="0"/>
      <w:bookmarkEnd w:id="45"/>
      <w:r w:rsidRPr="004A470F">
        <w:rPr>
          <w:rFonts w:ascii="Athiti" w:eastAsia="Athiti" w:hAnsi="Athiti" w:cs="Athiti"/>
          <w:sz w:val="22"/>
          <w:szCs w:val="22"/>
          <w:lang w:val="cs-CZ"/>
        </w:rPr>
        <w:t>Země na černé listině</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 xml:space="preserve">Jurisdikce se závažnými nedostatky v oblasti AML/CFT, které aktivně podporují financování terorismu. Jakýkoliv obchodní vztah se subjektem z těchto zemí představuje pro </w:t>
      </w:r>
      <w:r w:rsidR="004A470F" w:rsidRPr="004A470F">
        <w:rPr>
          <w:rFonts w:ascii="Athiti" w:eastAsia="Athiti" w:hAnsi="Athiti" w:cs="Athiti"/>
          <w:lang w:val="cs-CZ"/>
        </w:rPr>
        <w:t>ZMAN - KESEF</w:t>
      </w:r>
      <w:r w:rsidRPr="004A470F">
        <w:rPr>
          <w:rFonts w:ascii="Athiti" w:eastAsia="Athiti" w:hAnsi="Athiti" w:cs="Athiti"/>
          <w:lang w:val="cs-CZ"/>
        </w:rPr>
        <w:t xml:space="preserve"> s.r.o. nepřijatelné riziko a je zakázán.</w:t>
      </w:r>
    </w:p>
    <w:p w:rsidR="00766C3E" w:rsidRPr="004A470F" w:rsidRDefault="00766C3E" w:rsidP="00766C3E">
      <w:pPr>
        <w:pStyle w:val="normal"/>
        <w:spacing w:before="240" w:after="240" w:line="240" w:lineRule="auto"/>
        <w:jc w:val="both"/>
        <w:rPr>
          <w:rFonts w:ascii="Athiti" w:eastAsia="Athiti" w:hAnsi="Athiti" w:cs="Athiti"/>
          <w:b/>
          <w:lang w:val="cs-CZ"/>
        </w:rPr>
      </w:pPr>
      <w:r w:rsidRPr="004A470F">
        <w:rPr>
          <w:rFonts w:ascii="Athiti" w:eastAsia="Athiti" w:hAnsi="Athiti" w:cs="Athiti"/>
          <w:b/>
          <w:lang w:val="cs-CZ"/>
        </w:rPr>
        <w:t>Seznam zemí na černé listině:</w:t>
      </w:r>
    </w:p>
    <w:p w:rsidR="00766C3E" w:rsidRPr="004A470F" w:rsidRDefault="00766C3E" w:rsidP="00766C3E">
      <w:pPr>
        <w:pStyle w:val="normal"/>
        <w:numPr>
          <w:ilvl w:val="0"/>
          <w:numId w:val="7"/>
        </w:numPr>
        <w:spacing w:before="240" w:after="0" w:line="240" w:lineRule="auto"/>
        <w:rPr>
          <w:rFonts w:ascii="Athiti" w:eastAsia="Athiti" w:hAnsi="Athiti" w:cs="Athiti"/>
          <w:lang w:val="cs-CZ"/>
        </w:rPr>
      </w:pPr>
      <w:r w:rsidRPr="004A470F">
        <w:rPr>
          <w:rFonts w:ascii="Athiti" w:eastAsia="Athiti" w:hAnsi="Athiti" w:cs="Athiti"/>
          <w:lang w:val="cs-CZ"/>
        </w:rPr>
        <w:t>Írán</w:t>
      </w:r>
    </w:p>
    <w:p w:rsidR="00766C3E" w:rsidRPr="004A470F" w:rsidRDefault="00766C3E" w:rsidP="00766C3E">
      <w:pPr>
        <w:pStyle w:val="normal"/>
        <w:numPr>
          <w:ilvl w:val="0"/>
          <w:numId w:val="7"/>
        </w:numPr>
        <w:spacing w:after="240" w:line="240" w:lineRule="auto"/>
        <w:rPr>
          <w:rFonts w:ascii="Athiti" w:eastAsia="Athiti" w:hAnsi="Athiti" w:cs="Athiti"/>
          <w:lang w:val="cs-CZ"/>
        </w:rPr>
      </w:pPr>
      <w:r w:rsidRPr="004A470F">
        <w:rPr>
          <w:rFonts w:ascii="Athiti" w:eastAsia="Athiti" w:hAnsi="Athiti" w:cs="Athiti"/>
          <w:lang w:val="cs-CZ"/>
        </w:rPr>
        <w:t>Severní Korea (KLDR)</w:t>
      </w:r>
    </w:p>
    <w:p w:rsidR="00766C3E" w:rsidRPr="004A470F" w:rsidRDefault="00766C3E" w:rsidP="00766C3E">
      <w:pPr>
        <w:pStyle w:val="Heading3"/>
        <w:keepNext w:val="0"/>
        <w:keepLines w:val="0"/>
        <w:spacing w:before="280" w:after="80"/>
        <w:ind w:left="1" w:hanging="3"/>
        <w:jc w:val="both"/>
        <w:rPr>
          <w:rFonts w:ascii="Athiti" w:eastAsia="Athiti" w:hAnsi="Athiti" w:cs="Athiti"/>
        </w:rPr>
      </w:pPr>
      <w:bookmarkStart w:id="46" w:name="_heading=h.z5ve5695f21s" w:colFirst="0" w:colLast="0"/>
      <w:bookmarkStart w:id="47" w:name="_Toc204266963"/>
      <w:bookmarkEnd w:id="46"/>
      <w:r w:rsidRPr="004A470F">
        <w:rPr>
          <w:rFonts w:ascii="Athiti" w:eastAsia="Athiti" w:hAnsi="Athiti" w:cs="Athiti"/>
        </w:rPr>
        <w:lastRenderedPageBreak/>
        <w:t>Aktualizace a přezkum</w:t>
      </w:r>
      <w:bookmarkEnd w:id="47"/>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Kategorizace zemí a související seznamy rizik jsou pravidelně přezkoumávány na základě aktuálně dostupných informací, vývoje mezinárodních sankčních režimů a aktualizací příslušných seznamů (FATF, EU, OECD, Basel, KnowYourCountry).</w:t>
      </w:r>
    </w:p>
    <w:p w:rsidR="00766C3E" w:rsidRPr="004A470F" w:rsidRDefault="00766C3E" w:rsidP="00766C3E">
      <w:pPr>
        <w:pStyle w:val="Heading3"/>
        <w:keepNext w:val="0"/>
        <w:keepLines w:val="0"/>
        <w:spacing w:before="280" w:after="80"/>
        <w:ind w:left="1" w:hanging="3"/>
        <w:jc w:val="both"/>
        <w:rPr>
          <w:rFonts w:ascii="Athiti" w:eastAsia="Athiti" w:hAnsi="Athiti" w:cs="Athiti"/>
        </w:rPr>
      </w:pPr>
      <w:bookmarkStart w:id="48" w:name="_heading=h.q8gvgjbpfzdl" w:colFirst="0" w:colLast="0"/>
      <w:bookmarkStart w:id="49" w:name="_Toc204266964"/>
      <w:bookmarkEnd w:id="48"/>
      <w:r w:rsidRPr="004A470F">
        <w:rPr>
          <w:rFonts w:ascii="Athiti" w:eastAsia="Athiti" w:hAnsi="Athiti" w:cs="Athiti"/>
        </w:rPr>
        <w:t>4.2 Praktické postupy hodnocení rizik</w:t>
      </w:r>
      <w:bookmarkEnd w:id="49"/>
    </w:p>
    <w:p w:rsidR="00766C3E" w:rsidRPr="004A470F" w:rsidRDefault="00766C3E" w:rsidP="00766C3E">
      <w:pPr>
        <w:pStyle w:val="Nadpis4"/>
        <w:keepNext w:val="0"/>
        <w:keepLines w:val="0"/>
        <w:spacing w:line="240" w:lineRule="auto"/>
        <w:jc w:val="both"/>
        <w:rPr>
          <w:rFonts w:ascii="Athiti" w:eastAsia="Athiti" w:hAnsi="Athiti" w:cs="Athiti"/>
          <w:sz w:val="22"/>
          <w:szCs w:val="22"/>
          <w:lang w:val="cs-CZ"/>
        </w:rPr>
      </w:pPr>
      <w:bookmarkStart w:id="50" w:name="_heading=h.gkjhn5s5gf5b" w:colFirst="0" w:colLast="0"/>
      <w:bookmarkEnd w:id="50"/>
      <w:r w:rsidRPr="004A470F">
        <w:rPr>
          <w:rFonts w:ascii="Athiti" w:eastAsia="Athiti" w:hAnsi="Athiti" w:cs="Athiti"/>
          <w:sz w:val="22"/>
          <w:szCs w:val="22"/>
          <w:lang w:val="cs-CZ"/>
        </w:rPr>
        <w:t>4.2.1 Hodnocení rizika právnické osoby</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Hodnocení rizika právnické osoby je prováděno na základě přiděleného skóre, které vychází z hodnot uvedených v příslušných hodnoticích tabulkách níže. Konečné skóre je vypočítáno prostřednictvím nástroje Risk Scorecard (RSC).</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Podrobný popis postupu vyplnění RSC a přiřazení jednotlivých bodových hodnot je uveden v interním dokumentu KYC Onboarding Manual.</w:t>
      </w:r>
    </w:p>
    <w:p w:rsidR="00766C3E" w:rsidRPr="004A470F" w:rsidRDefault="00766C3E" w:rsidP="00766C3E">
      <w:pPr>
        <w:pStyle w:val="normal"/>
        <w:spacing w:before="240" w:after="240" w:line="240" w:lineRule="auto"/>
        <w:jc w:val="both"/>
        <w:rPr>
          <w:rFonts w:ascii="Athiti" w:eastAsia="Athiti" w:hAnsi="Athiti" w:cs="Athiti"/>
          <w:lang w:val="cs-CZ"/>
        </w:rPr>
      </w:pPr>
      <w:r w:rsidRPr="004A470F">
        <w:rPr>
          <w:rFonts w:ascii="Athiti" w:eastAsia="Athiti" w:hAnsi="Athiti" w:cs="Athiti"/>
          <w:lang w:val="cs-CZ"/>
        </w:rPr>
        <w:t>Na základě výsledného skóre je klient zařazen do jedné z předem definovaných rizikových kategorií, které odpovídají úrovni identifikovaného rizika legalizace výnosů z trestné činnosti a financování terorismu.</w:t>
      </w:r>
    </w:p>
    <w:tbl>
      <w:tblPr>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31"/>
        <w:gridCol w:w="4531"/>
      </w:tblGrid>
      <w:tr w:rsidR="00766C3E" w:rsidRPr="004A470F" w:rsidTr="00DC1C05">
        <w:trPr>
          <w:cantSplit/>
          <w:tblHeader/>
        </w:trPr>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A. Klient s nízkým rizikem</w:t>
            </w:r>
          </w:p>
        </w:tc>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až 5 bodů</w:t>
            </w:r>
          </w:p>
          <w:p w:rsidR="00766C3E" w:rsidRPr="004A470F" w:rsidRDefault="00766C3E" w:rsidP="00DC1C05">
            <w:pPr>
              <w:pStyle w:val="normal"/>
              <w:ind w:hanging="2"/>
              <w:rPr>
                <w:rFonts w:ascii="Athiti" w:eastAsia="Athiti" w:hAnsi="Athiti" w:cs="Athiti"/>
                <w:lang w:val="cs-CZ"/>
              </w:rPr>
            </w:pPr>
          </w:p>
        </w:tc>
      </w:tr>
      <w:tr w:rsidR="00766C3E" w:rsidRPr="004A470F" w:rsidTr="00DC1C05">
        <w:trPr>
          <w:cantSplit/>
          <w:tblHeader/>
        </w:trPr>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B. Klient se standardním rizikem</w:t>
            </w:r>
          </w:p>
        </w:tc>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5,1 – 100 bodů</w:t>
            </w:r>
          </w:p>
          <w:p w:rsidR="00766C3E" w:rsidRPr="004A470F" w:rsidRDefault="00766C3E" w:rsidP="00DC1C05">
            <w:pPr>
              <w:pStyle w:val="normal"/>
              <w:ind w:hanging="2"/>
              <w:rPr>
                <w:rFonts w:ascii="Athiti" w:eastAsia="Athiti" w:hAnsi="Athiti" w:cs="Athiti"/>
                <w:lang w:val="cs-CZ"/>
              </w:rPr>
            </w:pPr>
          </w:p>
        </w:tc>
      </w:tr>
      <w:tr w:rsidR="00766C3E" w:rsidRPr="004A470F" w:rsidTr="00DC1C05">
        <w:trPr>
          <w:cantSplit/>
          <w:tblHeader/>
        </w:trPr>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C. Vysoce rizikový klient</w:t>
            </w:r>
          </w:p>
        </w:tc>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100,1-1000 bodů</w:t>
            </w:r>
          </w:p>
          <w:p w:rsidR="00766C3E" w:rsidRPr="004A470F" w:rsidRDefault="00766C3E" w:rsidP="00DC1C05">
            <w:pPr>
              <w:pStyle w:val="normal"/>
              <w:ind w:hanging="2"/>
              <w:rPr>
                <w:rFonts w:ascii="Athiti" w:eastAsia="Athiti" w:hAnsi="Athiti" w:cs="Athiti"/>
                <w:lang w:val="cs-CZ"/>
              </w:rPr>
            </w:pPr>
          </w:p>
        </w:tc>
      </w:tr>
      <w:tr w:rsidR="00766C3E" w:rsidRPr="004A470F" w:rsidTr="00DC1C05">
        <w:trPr>
          <w:cantSplit/>
          <w:trHeight w:val="381"/>
          <w:tblHeader/>
        </w:trPr>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D. Klient s nepřijatelným rizikem</w:t>
            </w:r>
          </w:p>
        </w:tc>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1000,1 bodů nebo více</w:t>
            </w:r>
          </w:p>
        </w:tc>
      </w:tr>
    </w:tbl>
    <w:p w:rsidR="00766C3E" w:rsidRPr="004A470F" w:rsidRDefault="00766C3E" w:rsidP="00766C3E">
      <w:pPr>
        <w:pStyle w:val="normal"/>
        <w:spacing w:after="0" w:line="240" w:lineRule="auto"/>
        <w:rPr>
          <w:rFonts w:ascii="Athiti" w:eastAsia="Athiti" w:hAnsi="Athiti" w:cs="Athiti"/>
          <w:lang w:val="cs-CZ"/>
        </w:rPr>
      </w:pPr>
    </w:p>
    <w:p w:rsidR="00766C3E" w:rsidRPr="004A470F" w:rsidRDefault="00766C3E" w:rsidP="00766C3E">
      <w:pPr>
        <w:pStyle w:val="normal"/>
        <w:spacing w:after="0" w:line="240" w:lineRule="auto"/>
        <w:rPr>
          <w:rFonts w:ascii="Athiti" w:eastAsia="Athiti" w:hAnsi="Athiti" w:cs="Athiti"/>
          <w:lang w:val="cs-CZ"/>
        </w:rPr>
      </w:pPr>
      <w:r w:rsidRPr="004A470F">
        <w:rPr>
          <w:rFonts w:ascii="Athiti" w:eastAsia="Athiti" w:hAnsi="Athiti" w:cs="Athiti"/>
          <w:lang w:val="cs-CZ"/>
        </w:rPr>
        <w:t>Skóre rizika se počítá pomocí Excel RSC .</w:t>
      </w:r>
    </w:p>
    <w:p w:rsidR="00766C3E" w:rsidRPr="004A470F" w:rsidRDefault="00766C3E" w:rsidP="00766C3E">
      <w:pPr>
        <w:pStyle w:val="normal"/>
        <w:spacing w:after="0" w:line="240" w:lineRule="auto"/>
        <w:rPr>
          <w:rFonts w:ascii="Athiti" w:eastAsia="Athiti" w:hAnsi="Athiti" w:cs="Athiti"/>
          <w:lang w:val="cs-CZ"/>
        </w:rPr>
      </w:pPr>
    </w:p>
    <w:p w:rsidR="00766C3E" w:rsidRPr="004A470F" w:rsidRDefault="00766C3E" w:rsidP="00766C3E">
      <w:pPr>
        <w:pStyle w:val="normal"/>
        <w:pBdr>
          <w:top w:val="nil"/>
          <w:left w:val="nil"/>
          <w:bottom w:val="nil"/>
          <w:right w:val="nil"/>
          <w:between w:val="nil"/>
        </w:pBdr>
        <w:jc w:val="both"/>
        <w:rPr>
          <w:rFonts w:ascii="Athiti" w:eastAsia="Athiti" w:hAnsi="Athiti" w:cs="Athiti"/>
          <w:color w:val="000000"/>
          <w:lang w:val="cs-CZ"/>
        </w:rPr>
      </w:pPr>
      <w:r w:rsidRPr="004A470F">
        <w:rPr>
          <w:rFonts w:ascii="Athiti" w:eastAsia="Athiti" w:hAnsi="Athiti" w:cs="Athiti"/>
          <w:color w:val="000000"/>
          <w:lang w:val="cs-CZ"/>
        </w:rPr>
        <w:t>Rizikové faktory klient</w:t>
      </w:r>
      <w:r w:rsidRPr="004A470F">
        <w:rPr>
          <w:rFonts w:ascii="Athiti" w:eastAsia="Athiti" w:hAnsi="Athiti" w:cs="Athiti"/>
          <w:lang w:val="cs-CZ"/>
        </w:rPr>
        <w:t>a</w:t>
      </w:r>
      <w:r w:rsidRPr="004A470F">
        <w:rPr>
          <w:rFonts w:ascii="Athiti" w:eastAsia="Athiti" w:hAnsi="Athiti" w:cs="Athiti"/>
          <w:color w:val="000000"/>
          <w:lang w:val="cs-CZ"/>
        </w:rPr>
        <w:t xml:space="preserve"> jsou rozděleny do 7 kategorií. Každá skupina rizikových faktorů má svou rizikovou váhu. Rizikové váhy jednotlivých rizikových skupin jsou následující:</w:t>
      </w:r>
    </w:p>
    <w:tbl>
      <w:tblPr>
        <w:tblW w:w="90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3"/>
        <w:gridCol w:w="6586"/>
        <w:gridCol w:w="1664"/>
      </w:tblGrid>
      <w:tr w:rsidR="00766C3E" w:rsidRPr="004A470F" w:rsidTr="00DC1C05">
        <w:trPr>
          <w:cantSplit/>
          <w:tblHeader/>
        </w:trPr>
        <w:tc>
          <w:tcPr>
            <w:tcW w:w="813" w:type="dxa"/>
          </w:tcPr>
          <w:p w:rsidR="00766C3E" w:rsidRPr="004A470F" w:rsidRDefault="00766C3E" w:rsidP="00DC1C05">
            <w:pPr>
              <w:pStyle w:val="normal"/>
              <w:ind w:hanging="2"/>
              <w:jc w:val="both"/>
              <w:rPr>
                <w:rFonts w:ascii="Athiti" w:eastAsia="Athiti" w:hAnsi="Athiti" w:cs="Athiti"/>
                <w:lang w:val="cs-CZ"/>
              </w:rPr>
            </w:pPr>
          </w:p>
        </w:tc>
        <w:tc>
          <w:tcPr>
            <w:tcW w:w="6586"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Kategorie</w:t>
            </w:r>
          </w:p>
        </w:tc>
        <w:tc>
          <w:tcPr>
            <w:tcW w:w="16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Riziková váha</w:t>
            </w:r>
          </w:p>
        </w:tc>
      </w:tr>
      <w:tr w:rsidR="00766C3E" w:rsidRPr="004A470F" w:rsidTr="00DC1C05">
        <w:trPr>
          <w:cantSplit/>
          <w:tblHeader/>
        </w:trPr>
        <w:tc>
          <w:tcPr>
            <w:tcW w:w="813"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1.</w:t>
            </w:r>
          </w:p>
        </w:tc>
        <w:tc>
          <w:tcPr>
            <w:tcW w:w="658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Země původu účetní jednotky, její přímé mateřské společnosti nebo její pobočky/dceřiné společnosti</w:t>
            </w:r>
          </w:p>
        </w:tc>
        <w:tc>
          <w:tcPr>
            <w:tcW w:w="166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15 %</w:t>
            </w:r>
          </w:p>
        </w:tc>
      </w:tr>
      <w:tr w:rsidR="00766C3E" w:rsidRPr="004A470F" w:rsidTr="00DC1C05">
        <w:trPr>
          <w:cantSplit/>
          <w:tblHeader/>
        </w:trPr>
        <w:tc>
          <w:tcPr>
            <w:tcW w:w="813"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2.</w:t>
            </w:r>
          </w:p>
        </w:tc>
        <w:tc>
          <w:tcPr>
            <w:tcW w:w="658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Země původu zástupce subjektu nebo UBO</w:t>
            </w:r>
          </w:p>
        </w:tc>
        <w:tc>
          <w:tcPr>
            <w:tcW w:w="166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10 %</w:t>
            </w:r>
          </w:p>
        </w:tc>
      </w:tr>
      <w:tr w:rsidR="00766C3E" w:rsidRPr="004A470F" w:rsidTr="00DC1C05">
        <w:trPr>
          <w:cantSplit/>
          <w:tblHeader/>
        </w:trPr>
        <w:tc>
          <w:tcPr>
            <w:tcW w:w="813"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3.</w:t>
            </w:r>
          </w:p>
        </w:tc>
        <w:tc>
          <w:tcPr>
            <w:tcW w:w="658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Vlastnictví entity a struktura společnosti</w:t>
            </w:r>
          </w:p>
        </w:tc>
        <w:tc>
          <w:tcPr>
            <w:tcW w:w="166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10 %</w:t>
            </w:r>
          </w:p>
        </w:tc>
      </w:tr>
      <w:tr w:rsidR="00766C3E" w:rsidRPr="004A470F" w:rsidTr="00DC1C05">
        <w:trPr>
          <w:cantSplit/>
          <w:tblHeader/>
        </w:trPr>
        <w:tc>
          <w:tcPr>
            <w:tcW w:w="813"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4.</w:t>
            </w:r>
          </w:p>
        </w:tc>
        <w:tc>
          <w:tcPr>
            <w:tcW w:w="658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Hodnocení rizik profilu klienta</w:t>
            </w:r>
          </w:p>
        </w:tc>
        <w:tc>
          <w:tcPr>
            <w:tcW w:w="166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20 %</w:t>
            </w:r>
          </w:p>
        </w:tc>
      </w:tr>
      <w:tr w:rsidR="00766C3E" w:rsidRPr="004A470F" w:rsidTr="00DC1C05">
        <w:trPr>
          <w:cantSplit/>
          <w:tblHeader/>
        </w:trPr>
        <w:tc>
          <w:tcPr>
            <w:tcW w:w="813"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5.</w:t>
            </w:r>
          </w:p>
        </w:tc>
        <w:tc>
          <w:tcPr>
            <w:tcW w:w="658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Hodnocení rizik činnosti účetní jednotky</w:t>
            </w:r>
          </w:p>
        </w:tc>
        <w:tc>
          <w:tcPr>
            <w:tcW w:w="166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20 %</w:t>
            </w:r>
          </w:p>
        </w:tc>
      </w:tr>
      <w:tr w:rsidR="00766C3E" w:rsidRPr="004A470F" w:rsidTr="00DC1C05">
        <w:trPr>
          <w:cantSplit/>
          <w:tblHeader/>
        </w:trPr>
        <w:tc>
          <w:tcPr>
            <w:tcW w:w="813"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6.</w:t>
            </w:r>
          </w:p>
        </w:tc>
        <w:tc>
          <w:tcPr>
            <w:tcW w:w="658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Očekávané cíle plateb</w:t>
            </w:r>
          </w:p>
        </w:tc>
        <w:tc>
          <w:tcPr>
            <w:tcW w:w="166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10 %</w:t>
            </w:r>
          </w:p>
        </w:tc>
      </w:tr>
      <w:tr w:rsidR="00766C3E" w:rsidRPr="004A470F" w:rsidTr="00DC1C05">
        <w:trPr>
          <w:cantSplit/>
          <w:tblHeader/>
        </w:trPr>
        <w:tc>
          <w:tcPr>
            <w:tcW w:w="813"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7.</w:t>
            </w:r>
          </w:p>
        </w:tc>
        <w:tc>
          <w:tcPr>
            <w:tcW w:w="658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Hodnocení rizika produktu a kanálu</w:t>
            </w:r>
          </w:p>
        </w:tc>
        <w:tc>
          <w:tcPr>
            <w:tcW w:w="1664"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15 %</w:t>
            </w:r>
          </w:p>
        </w:tc>
      </w:tr>
    </w:tbl>
    <w:p w:rsidR="00766C3E" w:rsidRPr="004A470F" w:rsidRDefault="00766C3E" w:rsidP="00766C3E">
      <w:pPr>
        <w:pStyle w:val="normal"/>
        <w:spacing w:after="0" w:line="240" w:lineRule="auto"/>
        <w:rPr>
          <w:rFonts w:ascii="Athiti" w:eastAsia="Athiti" w:hAnsi="Athiti" w:cs="Athiti"/>
          <w:lang w:val="cs-CZ"/>
        </w:rPr>
      </w:pPr>
    </w:p>
    <w:p w:rsidR="00766C3E" w:rsidRPr="004A470F" w:rsidRDefault="00766C3E" w:rsidP="00766C3E">
      <w:pPr>
        <w:pStyle w:val="normal"/>
        <w:spacing w:after="0" w:line="240" w:lineRule="auto"/>
        <w:rPr>
          <w:rFonts w:ascii="Athiti" w:eastAsia="Athiti" w:hAnsi="Athiti" w:cs="Athiti"/>
          <w:lang w:val="cs-CZ"/>
        </w:rPr>
      </w:pPr>
      <w:r w:rsidRPr="004A470F">
        <w:rPr>
          <w:rFonts w:ascii="Athiti" w:eastAsia="Athiti" w:hAnsi="Athiti" w:cs="Athiti"/>
          <w:lang w:val="cs-CZ"/>
        </w:rPr>
        <w:lastRenderedPageBreak/>
        <w:t>Riziková váha je přiřazena rizikovým faktorům na základě následující metodiky:</w:t>
      </w:r>
    </w:p>
    <w:tbl>
      <w:tblPr>
        <w:tblW w:w="9060" w:type="dxa"/>
        <w:tblInd w:w="-108" w:type="dxa"/>
        <w:tblBorders>
          <w:top w:val="single" w:sz="4" w:space="0" w:color="4472C4"/>
          <w:left w:val="single" w:sz="4" w:space="0" w:color="4472C4"/>
          <w:bottom w:val="single" w:sz="4" w:space="0" w:color="4472C4"/>
          <w:right w:val="single" w:sz="4" w:space="0" w:color="4472C4"/>
          <w:insideH w:val="nil"/>
          <w:insideV w:val="nil"/>
        </w:tblBorders>
        <w:tblLayout w:type="fixed"/>
        <w:tblLook w:val="0000"/>
      </w:tblPr>
      <w:tblGrid>
        <w:gridCol w:w="1470"/>
        <w:gridCol w:w="1905"/>
        <w:gridCol w:w="1740"/>
        <w:gridCol w:w="150"/>
        <w:gridCol w:w="810"/>
        <w:gridCol w:w="2985"/>
      </w:tblGrid>
      <w:tr w:rsidR="00766C3E" w:rsidRPr="004A470F" w:rsidTr="00DC1C05">
        <w:trPr>
          <w:cantSplit/>
          <w:tblHeader/>
        </w:trPr>
        <w:tc>
          <w:tcPr>
            <w:tcW w:w="1470" w:type="dxa"/>
            <w:tcBorders>
              <w:bottom w:val="nil"/>
              <w:right w:val="nil"/>
            </w:tcBorders>
            <w:shd w:val="clear" w:color="auto" w:fill="4472C4"/>
          </w:tcPr>
          <w:p w:rsidR="00766C3E" w:rsidRPr="004A470F" w:rsidRDefault="00766C3E" w:rsidP="00DC1C05">
            <w:pPr>
              <w:pStyle w:val="normal"/>
              <w:spacing w:before="120" w:after="120"/>
              <w:ind w:hanging="2"/>
              <w:jc w:val="center"/>
              <w:rPr>
                <w:rFonts w:ascii="Athiti" w:eastAsia="Athiti" w:hAnsi="Athiti" w:cs="Athiti"/>
                <w:color w:val="FFFFFF"/>
                <w:sz w:val="20"/>
                <w:szCs w:val="20"/>
                <w:lang w:val="cs-CZ"/>
              </w:rPr>
            </w:pPr>
            <w:r w:rsidRPr="004A470F">
              <w:rPr>
                <w:rFonts w:ascii="Athiti" w:eastAsia="Athiti" w:hAnsi="Athiti" w:cs="Athiti"/>
                <w:color w:val="FFFFFF"/>
                <w:sz w:val="20"/>
                <w:szCs w:val="20"/>
                <w:lang w:val="cs-CZ"/>
              </w:rPr>
              <w:t>Riziková oblast</w:t>
            </w:r>
          </w:p>
        </w:tc>
        <w:tc>
          <w:tcPr>
            <w:tcW w:w="1905" w:type="dxa"/>
            <w:shd w:val="clear" w:color="auto" w:fill="4472C4"/>
          </w:tcPr>
          <w:p w:rsidR="00766C3E" w:rsidRPr="004A470F" w:rsidRDefault="00766C3E" w:rsidP="00DC1C05">
            <w:pPr>
              <w:pStyle w:val="normal"/>
              <w:spacing w:before="120" w:after="120"/>
              <w:ind w:hanging="2"/>
              <w:jc w:val="center"/>
              <w:rPr>
                <w:rFonts w:ascii="Athiti" w:eastAsia="Athiti" w:hAnsi="Athiti" w:cs="Athiti"/>
                <w:color w:val="FFFFFF"/>
                <w:sz w:val="20"/>
                <w:szCs w:val="20"/>
                <w:lang w:val="cs-CZ"/>
              </w:rPr>
            </w:pPr>
            <w:r w:rsidRPr="004A470F">
              <w:rPr>
                <w:rFonts w:ascii="Athiti" w:eastAsia="Athiti" w:hAnsi="Athiti" w:cs="Athiti"/>
                <w:color w:val="FFFFFF"/>
                <w:sz w:val="20"/>
                <w:szCs w:val="20"/>
                <w:lang w:val="cs-CZ"/>
              </w:rPr>
              <w:t>Indikátor rizika</w:t>
            </w:r>
            <w:r w:rsidRPr="004A470F">
              <w:rPr>
                <w:rFonts w:ascii="Athiti" w:eastAsia="Athiti" w:hAnsi="Athiti" w:cs="Athiti"/>
                <w:color w:val="FFFFFF"/>
                <w:sz w:val="20"/>
                <w:szCs w:val="20"/>
                <w:lang w:val="cs-CZ"/>
              </w:rPr>
              <w:br/>
            </w:r>
          </w:p>
        </w:tc>
        <w:tc>
          <w:tcPr>
            <w:tcW w:w="1740" w:type="dxa"/>
            <w:shd w:val="clear" w:color="auto" w:fill="4472C4"/>
          </w:tcPr>
          <w:p w:rsidR="00766C3E" w:rsidRPr="004A470F" w:rsidRDefault="00766C3E" w:rsidP="00DC1C05">
            <w:pPr>
              <w:pStyle w:val="normal"/>
              <w:spacing w:before="120" w:after="120"/>
              <w:ind w:hanging="2"/>
              <w:jc w:val="center"/>
              <w:rPr>
                <w:rFonts w:ascii="Athiti" w:eastAsia="Athiti" w:hAnsi="Athiti" w:cs="Athiti"/>
                <w:color w:val="FFFFFF"/>
                <w:sz w:val="20"/>
                <w:szCs w:val="20"/>
                <w:lang w:val="cs-CZ"/>
              </w:rPr>
            </w:pPr>
            <w:r w:rsidRPr="004A470F">
              <w:rPr>
                <w:rFonts w:ascii="Athiti" w:eastAsia="Athiti" w:hAnsi="Athiti" w:cs="Athiti"/>
                <w:color w:val="FFFFFF"/>
                <w:sz w:val="20"/>
                <w:szCs w:val="20"/>
                <w:lang w:val="cs-CZ"/>
              </w:rPr>
              <w:t>Zdroj</w:t>
            </w:r>
          </w:p>
        </w:tc>
        <w:tc>
          <w:tcPr>
            <w:tcW w:w="960" w:type="dxa"/>
            <w:gridSpan w:val="2"/>
            <w:shd w:val="clear" w:color="auto" w:fill="4472C4"/>
          </w:tcPr>
          <w:p w:rsidR="00766C3E" w:rsidRPr="004A470F" w:rsidRDefault="00766C3E" w:rsidP="00DC1C05">
            <w:pPr>
              <w:pStyle w:val="normal"/>
              <w:spacing w:before="120" w:after="120"/>
              <w:ind w:hanging="2"/>
              <w:jc w:val="center"/>
              <w:rPr>
                <w:rFonts w:ascii="Athiti" w:eastAsia="Athiti" w:hAnsi="Athiti" w:cs="Athiti"/>
                <w:color w:val="FFFFFF"/>
                <w:sz w:val="20"/>
                <w:szCs w:val="20"/>
                <w:lang w:val="cs-CZ"/>
              </w:rPr>
            </w:pPr>
            <w:r w:rsidRPr="004A470F">
              <w:rPr>
                <w:rFonts w:ascii="Athiti" w:eastAsia="Athiti" w:hAnsi="Athiti" w:cs="Athiti"/>
                <w:color w:val="FFFFFF"/>
                <w:sz w:val="20"/>
                <w:szCs w:val="20"/>
                <w:lang w:val="cs-CZ"/>
              </w:rPr>
              <w:t>Riziková váha</w:t>
            </w:r>
          </w:p>
        </w:tc>
        <w:tc>
          <w:tcPr>
            <w:tcW w:w="2985" w:type="dxa"/>
            <w:shd w:val="clear" w:color="auto" w:fill="4472C4"/>
          </w:tcPr>
          <w:p w:rsidR="00766C3E" w:rsidRPr="004A470F" w:rsidRDefault="00766C3E" w:rsidP="00DC1C05">
            <w:pPr>
              <w:pStyle w:val="normal"/>
              <w:spacing w:before="120" w:after="120"/>
              <w:ind w:hanging="2"/>
              <w:jc w:val="center"/>
              <w:rPr>
                <w:rFonts w:ascii="Athiti" w:eastAsia="Athiti" w:hAnsi="Athiti" w:cs="Athiti"/>
                <w:color w:val="FFFFFF"/>
                <w:sz w:val="20"/>
                <w:szCs w:val="20"/>
                <w:lang w:val="cs-CZ"/>
              </w:rPr>
            </w:pPr>
            <w:r w:rsidRPr="004A470F">
              <w:rPr>
                <w:rFonts w:ascii="Athiti" w:eastAsia="Athiti" w:hAnsi="Athiti" w:cs="Athiti"/>
                <w:color w:val="FFFFFF"/>
                <w:sz w:val="20"/>
                <w:szCs w:val="20"/>
                <w:lang w:val="cs-CZ"/>
              </w:rPr>
              <w:t>Vysvětlení rizikové váhy</w:t>
            </w:r>
          </w:p>
        </w:tc>
      </w:tr>
      <w:tr w:rsidR="00766C3E" w:rsidRPr="004A470F" w:rsidTr="00DC1C05">
        <w:trPr>
          <w:cantSplit/>
          <w:trHeight w:val="270"/>
          <w:tblHeader/>
        </w:trPr>
        <w:tc>
          <w:tcPr>
            <w:tcW w:w="1470" w:type="dxa"/>
            <w:vMerge w:val="restart"/>
            <w:tcBorders>
              <w:top w:val="single" w:sz="4" w:space="0" w:color="4472C4"/>
              <w:right w:val="nil"/>
            </w:tcBorders>
            <w:shd w:val="clear" w:color="auto" w:fill="FFFFFF"/>
          </w:tcPr>
          <w:p w:rsidR="00766C3E" w:rsidRPr="004A470F" w:rsidRDefault="00766C3E" w:rsidP="00DC1C05">
            <w:pPr>
              <w:pStyle w:val="normal"/>
              <w:spacing w:before="120" w:after="120"/>
              <w:ind w:hanging="2"/>
              <w:jc w:val="center"/>
              <w:rPr>
                <w:rFonts w:ascii="Athiti" w:eastAsia="Athiti" w:hAnsi="Athiti" w:cs="Athiti"/>
                <w:sz w:val="18"/>
                <w:szCs w:val="18"/>
                <w:lang w:val="cs-CZ"/>
              </w:rPr>
            </w:pPr>
            <w:bookmarkStart w:id="51" w:name="_heading=h.lnxbz9" w:colFirst="0" w:colLast="0"/>
            <w:bookmarkEnd w:id="51"/>
            <w:r w:rsidRPr="004A470F">
              <w:rPr>
                <w:rFonts w:ascii="Athiti" w:eastAsia="Athiti" w:hAnsi="Athiti" w:cs="Athiti"/>
                <w:sz w:val="18"/>
                <w:szCs w:val="18"/>
                <w:lang w:val="cs-CZ"/>
              </w:rPr>
              <w:t>GEOGRAFICKÉ RIZIKO</w:t>
            </w:r>
          </w:p>
          <w:p w:rsidR="00766C3E" w:rsidRPr="004A470F" w:rsidRDefault="00766C3E" w:rsidP="00DC1C05">
            <w:pPr>
              <w:pStyle w:val="normal"/>
              <w:spacing w:before="120" w:after="120"/>
              <w:ind w:hanging="2"/>
              <w:jc w:val="center"/>
              <w:rPr>
                <w:rFonts w:ascii="Athiti" w:eastAsia="Athiti" w:hAnsi="Athiti" w:cs="Athiti"/>
                <w:sz w:val="18"/>
                <w:szCs w:val="18"/>
                <w:lang w:val="cs-CZ"/>
              </w:rPr>
            </w:pPr>
            <w:r w:rsidRPr="004A470F">
              <w:rPr>
                <w:rFonts w:ascii="Athiti" w:eastAsia="Athiti" w:hAnsi="Athiti" w:cs="Athiti"/>
                <w:sz w:val="18"/>
                <w:szCs w:val="18"/>
                <w:lang w:val="cs-CZ"/>
              </w:rPr>
              <w:t>Země původu účetní jednotky, její přímé mateřské společnosti nebo její pobočky / dceřiné společnosti</w:t>
            </w:r>
          </w:p>
        </w:tc>
        <w:tc>
          <w:tcPr>
            <w:tcW w:w="1905" w:type="dxa"/>
            <w:tcBorders>
              <w:top w:val="single" w:sz="4" w:space="0" w:color="4472C4"/>
              <w:bottom w:val="single" w:sz="4" w:space="0" w:color="4472C4"/>
            </w:tcBorders>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Právnická osoba je registrována v zemi s nízkým rizikem</w:t>
            </w:r>
          </w:p>
        </w:tc>
        <w:tc>
          <w:tcPr>
            <w:tcW w:w="1890" w:type="dxa"/>
            <w:gridSpan w:val="2"/>
            <w:tcBorders>
              <w:top w:val="single" w:sz="4" w:space="0" w:color="4472C4"/>
              <w:bottom w:val="single" w:sz="4" w:space="0" w:color="4472C4"/>
            </w:tcBorders>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Borders>
              <w:top w:val="single" w:sz="4" w:space="0" w:color="4472C4"/>
              <w:bottom w:val="single" w:sz="4" w:space="0" w:color="4472C4"/>
            </w:tcBorders>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0</w:t>
            </w:r>
          </w:p>
        </w:tc>
        <w:tc>
          <w:tcPr>
            <w:tcW w:w="2985" w:type="dxa"/>
            <w:tcBorders>
              <w:top w:val="single" w:sz="4" w:space="0" w:color="4472C4"/>
              <w:bottom w:val="single" w:sz="4" w:space="0" w:color="4472C4"/>
            </w:tcBorders>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Nízkoriziková země nepředstavuje žádná zvýšená rizika praní a financování terorismu. Proto je riziková váha země s nízkým rizikem rovna „0“.</w:t>
            </w:r>
          </w:p>
        </w:tc>
      </w:tr>
      <w:tr w:rsidR="00766C3E" w:rsidRPr="004A470F" w:rsidTr="00DC1C05">
        <w:trPr>
          <w:cantSplit/>
          <w:trHeight w:val="601"/>
          <w:tblHeader/>
        </w:trPr>
        <w:tc>
          <w:tcPr>
            <w:tcW w:w="1470" w:type="dxa"/>
            <w:vMerge/>
            <w:tcBorders>
              <w:top w:val="single" w:sz="4" w:space="0" w:color="4472C4"/>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Právnická osoba je registrována v zemi se středním rizikem</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15</w:t>
            </w:r>
          </w:p>
        </w:tc>
        <w:tc>
          <w:tcPr>
            <w:tcW w:w="2985" w:type="dxa"/>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Země se středním rizikem představuje střední riziko ML/TF. Riziková váha země se středním rizikem je tedy rovna „15“.</w:t>
            </w:r>
          </w:p>
        </w:tc>
      </w:tr>
      <w:tr w:rsidR="00766C3E" w:rsidRPr="004A470F" w:rsidTr="00DC1C05">
        <w:trPr>
          <w:cantSplit/>
          <w:trHeight w:val="400"/>
          <w:tblHeader/>
        </w:trPr>
        <w:tc>
          <w:tcPr>
            <w:tcW w:w="1470" w:type="dxa"/>
            <w:vMerge/>
            <w:tcBorders>
              <w:top w:val="single" w:sz="4" w:space="0" w:color="4472C4"/>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tcBorders>
              <w:top w:val="single" w:sz="4" w:space="0" w:color="4472C4"/>
              <w:bottom w:val="single" w:sz="4" w:space="0" w:color="4472C4"/>
            </w:tcBorders>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Právnická osoba je registrována v Offshore zemi</w:t>
            </w:r>
          </w:p>
        </w:tc>
        <w:tc>
          <w:tcPr>
            <w:tcW w:w="1890" w:type="dxa"/>
            <w:gridSpan w:val="2"/>
            <w:tcBorders>
              <w:top w:val="single" w:sz="4" w:space="0" w:color="4472C4"/>
              <w:bottom w:val="single" w:sz="4" w:space="0" w:color="4472C4"/>
            </w:tcBorders>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Borders>
              <w:top w:val="single" w:sz="4" w:space="0" w:color="4472C4"/>
              <w:bottom w:val="single" w:sz="4" w:space="0" w:color="4472C4"/>
            </w:tcBorders>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300</w:t>
            </w:r>
          </w:p>
        </w:tc>
        <w:tc>
          <w:tcPr>
            <w:tcW w:w="2985" w:type="dxa"/>
            <w:tcBorders>
              <w:top w:val="single" w:sz="4" w:space="0" w:color="4472C4"/>
              <w:bottom w:val="single" w:sz="4" w:space="0" w:color="4472C4"/>
            </w:tcBorders>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Země s rizikem offshore představuje zvýšené, ale přijatelné riziko ML/TF. Riziková váha země s offshore rizikem je tedy rovna „300“.</w:t>
            </w:r>
          </w:p>
        </w:tc>
      </w:tr>
      <w:tr w:rsidR="00766C3E" w:rsidRPr="004A470F" w:rsidTr="00DC1C05">
        <w:trPr>
          <w:cantSplit/>
          <w:trHeight w:val="365"/>
          <w:tblHeader/>
        </w:trPr>
        <w:tc>
          <w:tcPr>
            <w:tcW w:w="1470" w:type="dxa"/>
            <w:vMerge/>
            <w:tcBorders>
              <w:top w:val="single" w:sz="4" w:space="0" w:color="4472C4"/>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Právnická osoba je registrována ve vysoce rizikové zemi</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705</w:t>
            </w:r>
          </w:p>
        </w:tc>
        <w:tc>
          <w:tcPr>
            <w:tcW w:w="2985" w:type="dxa"/>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Vysoce riziková země představuje významně zvýšené riziko ML/TF. Toto riziko je přijatelné v případě zesílených opatření proti praní peněz. Riziková váha vysoce rizikové země je tedy rovna „705“.</w:t>
            </w:r>
          </w:p>
        </w:tc>
      </w:tr>
      <w:tr w:rsidR="00766C3E" w:rsidRPr="004A470F" w:rsidTr="00DC1C05">
        <w:trPr>
          <w:cantSplit/>
          <w:trHeight w:val="255"/>
          <w:tblHeader/>
        </w:trPr>
        <w:tc>
          <w:tcPr>
            <w:tcW w:w="1470" w:type="dxa"/>
            <w:vMerge/>
            <w:tcBorders>
              <w:top w:val="single" w:sz="4" w:space="0" w:color="4472C4"/>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tcBorders>
              <w:top w:val="single" w:sz="4" w:space="0" w:color="4472C4"/>
              <w:bottom w:val="single" w:sz="4" w:space="0" w:color="4472C4"/>
            </w:tcBorders>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Právnická osoba je registrována v zemi černé listiny</w:t>
            </w:r>
          </w:p>
        </w:tc>
        <w:tc>
          <w:tcPr>
            <w:tcW w:w="1890" w:type="dxa"/>
            <w:gridSpan w:val="2"/>
            <w:tcBorders>
              <w:top w:val="single" w:sz="4" w:space="0" w:color="4472C4"/>
              <w:bottom w:val="single" w:sz="4" w:space="0" w:color="4472C4"/>
            </w:tcBorders>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Borders>
              <w:top w:val="single" w:sz="4" w:space="0" w:color="4472C4"/>
              <w:bottom w:val="single" w:sz="4" w:space="0" w:color="4472C4"/>
            </w:tcBorders>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1500</w:t>
            </w:r>
          </w:p>
        </w:tc>
        <w:tc>
          <w:tcPr>
            <w:tcW w:w="2985" w:type="dxa"/>
            <w:tcBorders>
              <w:top w:val="single" w:sz="4" w:space="0" w:color="4472C4"/>
              <w:bottom w:val="single" w:sz="4" w:space="0" w:color="4472C4"/>
            </w:tcBorders>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 xml:space="preserve">Země na černé listině představuje výrazně zvýšené riziko praní špinavých peněz/TF. Toto riziko je pro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 nepřijatelné . Riziková váha vysoce rizikové země je tedy rovna „1500“.</w:t>
            </w:r>
          </w:p>
        </w:tc>
      </w:tr>
      <w:tr w:rsidR="00766C3E" w:rsidRPr="004A470F" w:rsidTr="00DC1C05">
        <w:trPr>
          <w:cantSplit/>
          <w:trHeight w:val="466"/>
          <w:tblHeader/>
        </w:trPr>
        <w:tc>
          <w:tcPr>
            <w:tcW w:w="1470" w:type="dxa"/>
            <w:vMerge w:val="restart"/>
            <w:tcBorders>
              <w:right w:val="nil"/>
            </w:tcBorders>
            <w:shd w:val="clear" w:color="auto" w:fill="FFFFFF"/>
          </w:tcPr>
          <w:p w:rsidR="00766C3E" w:rsidRPr="004A470F" w:rsidRDefault="00766C3E" w:rsidP="00DC1C05">
            <w:pPr>
              <w:pStyle w:val="normal"/>
              <w:spacing w:before="120" w:after="120"/>
              <w:ind w:hanging="2"/>
              <w:jc w:val="center"/>
              <w:rPr>
                <w:rFonts w:ascii="Athiti" w:eastAsia="Athiti" w:hAnsi="Athiti" w:cs="Athiti"/>
                <w:sz w:val="18"/>
                <w:szCs w:val="18"/>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Pobočka nebo přímá/nepřímá dceřiná společnost právnické osoby je registrována v zemi s nízkým rizikem</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0</w:t>
            </w:r>
          </w:p>
        </w:tc>
        <w:tc>
          <w:tcPr>
            <w:tcW w:w="2985" w:type="dxa"/>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Nízkoriziková země nepředstavuje žádná zvýšená rizika praní a financování terorismu. Proto je riziková váha země s nízkým rizikem rovna „0“.</w:t>
            </w:r>
          </w:p>
        </w:tc>
      </w:tr>
      <w:tr w:rsidR="00766C3E" w:rsidRPr="004A470F" w:rsidTr="00DC1C05">
        <w:trPr>
          <w:cantSplit/>
          <w:trHeight w:val="466"/>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tcBorders>
              <w:top w:val="single" w:sz="4" w:space="0" w:color="4472C4"/>
              <w:bottom w:val="single" w:sz="4" w:space="0" w:color="4472C4"/>
            </w:tcBorders>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Pobočka nebo přímá/nepřímá dceřiná společnost právnické osoby je registrována v zemi se středním rizikem</w:t>
            </w:r>
          </w:p>
        </w:tc>
        <w:tc>
          <w:tcPr>
            <w:tcW w:w="1890" w:type="dxa"/>
            <w:gridSpan w:val="2"/>
            <w:tcBorders>
              <w:top w:val="single" w:sz="4" w:space="0" w:color="4472C4"/>
              <w:bottom w:val="single" w:sz="4" w:space="0" w:color="4472C4"/>
            </w:tcBorders>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Borders>
              <w:top w:val="single" w:sz="4" w:space="0" w:color="4472C4"/>
              <w:bottom w:val="single" w:sz="4" w:space="0" w:color="4472C4"/>
            </w:tcBorders>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8</w:t>
            </w:r>
          </w:p>
        </w:tc>
        <w:tc>
          <w:tcPr>
            <w:tcW w:w="2985" w:type="dxa"/>
            <w:tcBorders>
              <w:top w:val="single" w:sz="4" w:space="0" w:color="4472C4"/>
              <w:bottom w:val="single" w:sz="4" w:space="0" w:color="4472C4"/>
            </w:tcBorders>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Země se středním rizikem představuje střední riziko ML/TF. Riziko ab ranče nebo přímé/nepřímé dceřiné společnosti je však méně významné než riziko samotného klienta. Riziková váha země se středním rizikem je tedy rovna „8“.</w:t>
            </w:r>
          </w:p>
        </w:tc>
      </w:tr>
      <w:tr w:rsidR="00766C3E" w:rsidRPr="004A470F" w:rsidTr="00DC1C05">
        <w:trPr>
          <w:cantSplit/>
          <w:trHeight w:val="52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Pobočka nebo přímá/nepřímá dceřiná společnost právnické osoby je registrována v offshore zemi</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150</w:t>
            </w:r>
          </w:p>
        </w:tc>
        <w:tc>
          <w:tcPr>
            <w:tcW w:w="2985" w:type="dxa"/>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Země s rizikem offshore představuje zvýšené, ale přijatelné riziko ML/TF. Riziko ab ranče nebo přímé/nepřímé dceřiné společnosti je však méně významné než riziko samotného klienta. Riziková váha země s offshore rizikem je tedy rovna „150“.</w:t>
            </w:r>
          </w:p>
        </w:tc>
      </w:tr>
      <w:tr w:rsidR="00766C3E" w:rsidRPr="004A470F" w:rsidTr="00DC1C05">
        <w:trPr>
          <w:cantSplit/>
          <w:trHeight w:val="705"/>
          <w:tblHeader/>
        </w:trPr>
        <w:tc>
          <w:tcPr>
            <w:tcW w:w="1470" w:type="dxa"/>
            <w:vMerge w:val="restart"/>
            <w:tcBorders>
              <w:right w:val="nil"/>
            </w:tcBorders>
            <w:shd w:val="clear" w:color="auto" w:fill="FFFFFF"/>
          </w:tcPr>
          <w:p w:rsidR="00766C3E" w:rsidRPr="004A470F" w:rsidRDefault="00766C3E" w:rsidP="00DC1C05">
            <w:pPr>
              <w:pStyle w:val="normal"/>
              <w:spacing w:before="120" w:after="120"/>
              <w:ind w:hanging="2"/>
              <w:jc w:val="center"/>
              <w:rPr>
                <w:rFonts w:ascii="Athiti" w:eastAsia="Athiti" w:hAnsi="Athiti" w:cs="Athiti"/>
                <w:sz w:val="18"/>
                <w:szCs w:val="18"/>
                <w:lang w:val="cs-CZ"/>
              </w:rPr>
            </w:pPr>
          </w:p>
        </w:tc>
        <w:tc>
          <w:tcPr>
            <w:tcW w:w="1905" w:type="dxa"/>
            <w:tcBorders>
              <w:top w:val="single" w:sz="4" w:space="0" w:color="4472C4"/>
              <w:bottom w:val="single" w:sz="4" w:space="0" w:color="4472C4"/>
              <w:right w:val="nil"/>
            </w:tcBorders>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Pobočka nebo přímá/nepřímá dceřiná společnost právnické osoby je registrována ve vysoce rizikové zemi</w:t>
            </w:r>
          </w:p>
        </w:tc>
        <w:tc>
          <w:tcPr>
            <w:tcW w:w="1890" w:type="dxa"/>
            <w:gridSpan w:val="2"/>
            <w:tcBorders>
              <w:top w:val="single" w:sz="4" w:space="0" w:color="4472C4"/>
              <w:bottom w:val="single" w:sz="4" w:space="0" w:color="4472C4"/>
            </w:tcBorders>
          </w:tcPr>
          <w:p w:rsidR="00766C3E" w:rsidRPr="004A470F" w:rsidRDefault="00766C3E" w:rsidP="00DC1C05">
            <w:pPr>
              <w:pStyle w:val="normal"/>
              <w:spacing w:before="120" w:after="120"/>
              <w:ind w:hanging="2"/>
              <w:rPr>
                <w:rFonts w:ascii="Athiti" w:eastAsia="Athiti" w:hAnsi="Athiti" w:cs="Athiti"/>
                <w:lang w:val="cs-CZ"/>
              </w:rPr>
            </w:pPr>
            <w:r w:rsidRPr="004A470F">
              <w:rPr>
                <w:rFonts w:ascii="Athiti" w:eastAsia="Athiti" w:hAnsi="Athiti" w:cs="Athiti"/>
                <w:sz w:val="16"/>
                <w:szCs w:val="16"/>
                <w:lang w:val="cs-CZ"/>
              </w:rPr>
              <w:t>§7 vyhlášky ČNB č. 67/2018 Sb.</w:t>
            </w:r>
          </w:p>
        </w:tc>
        <w:tc>
          <w:tcPr>
            <w:tcW w:w="810" w:type="dxa"/>
            <w:tcBorders>
              <w:top w:val="single" w:sz="4" w:space="0" w:color="4472C4"/>
              <w:bottom w:val="single" w:sz="4" w:space="0" w:color="4472C4"/>
            </w:tcBorders>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353</w:t>
            </w:r>
          </w:p>
        </w:tc>
        <w:tc>
          <w:tcPr>
            <w:tcW w:w="2985" w:type="dxa"/>
            <w:tcBorders>
              <w:top w:val="single" w:sz="4" w:space="0" w:color="4472C4"/>
              <w:bottom w:val="single" w:sz="4" w:space="0" w:color="4472C4"/>
            </w:tcBorders>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Vysoce riziková země představuje významně zvýšené riziko ML/TF. Riziko ab ranče nebo přímé/nepřímé dceřiné společnosti je však méně významné než riziko samotného klienta. Toto riziko je přijatelné v případě zesílených opatření proti praní peněz. Riziková váha vysoce rizikové země je tedy rovna „353“.</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tcBorders>
              <w:top w:val="single" w:sz="4" w:space="0" w:color="4472C4"/>
              <w:bottom w:val="single" w:sz="4" w:space="0" w:color="4472C4"/>
              <w:right w:val="nil"/>
            </w:tcBorders>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Pobočka nebo přímá/nepřímá dceřiná společnost právnické osoby je registrována v zemi černé listiny</w:t>
            </w:r>
          </w:p>
        </w:tc>
        <w:tc>
          <w:tcPr>
            <w:tcW w:w="1890" w:type="dxa"/>
            <w:gridSpan w:val="2"/>
            <w:tcBorders>
              <w:top w:val="single" w:sz="4" w:space="0" w:color="4472C4"/>
              <w:bottom w:val="single" w:sz="4" w:space="0" w:color="4472C4"/>
            </w:tcBorders>
          </w:tcPr>
          <w:p w:rsidR="00766C3E" w:rsidRPr="004A470F" w:rsidRDefault="00766C3E" w:rsidP="00DC1C05">
            <w:pPr>
              <w:pStyle w:val="normal"/>
              <w:spacing w:before="120" w:after="120"/>
              <w:ind w:hanging="2"/>
              <w:rPr>
                <w:rFonts w:ascii="Athiti" w:eastAsia="Athiti" w:hAnsi="Athiti" w:cs="Athiti"/>
                <w:lang w:val="cs-CZ"/>
              </w:rPr>
            </w:pPr>
            <w:r w:rsidRPr="004A470F">
              <w:rPr>
                <w:rFonts w:ascii="Athiti" w:eastAsia="Athiti" w:hAnsi="Athiti" w:cs="Athiti"/>
                <w:sz w:val="16"/>
                <w:szCs w:val="16"/>
                <w:lang w:val="cs-CZ"/>
              </w:rPr>
              <w:t>§7 vyhlášky ČNB č. 67/2018 Sb.</w:t>
            </w:r>
          </w:p>
        </w:tc>
        <w:tc>
          <w:tcPr>
            <w:tcW w:w="810" w:type="dxa"/>
            <w:tcBorders>
              <w:top w:val="single" w:sz="4" w:space="0" w:color="4472C4"/>
              <w:bottom w:val="single" w:sz="4" w:space="0" w:color="4472C4"/>
            </w:tcBorders>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750</w:t>
            </w:r>
          </w:p>
        </w:tc>
        <w:tc>
          <w:tcPr>
            <w:tcW w:w="2985" w:type="dxa"/>
            <w:tcBorders>
              <w:top w:val="single" w:sz="4" w:space="0" w:color="4472C4"/>
              <w:bottom w:val="single" w:sz="4" w:space="0" w:color="4472C4"/>
            </w:tcBorders>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 xml:space="preserve">Země na černé listině představuje výrazně zvýšené riziko praní špinavých peněz/TF. Riziko ab ranče nebo přímé/nepřímé dceřiné společnosti je však méně významné než riziko samotného klienta. Toto riziko je pro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 nepřijatelné . Riziková váha vysoce rizikové země je tedy rovna „750“.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tcBorders>
              <w:top w:val="single" w:sz="4" w:space="0" w:color="4472C4"/>
              <w:bottom w:val="single" w:sz="4" w:space="0" w:color="4472C4"/>
              <w:right w:val="nil"/>
            </w:tcBorders>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Přímá mateřská společnost právnické osoby je registrována v zemi s nízkým rizikem</w:t>
            </w:r>
          </w:p>
        </w:tc>
        <w:tc>
          <w:tcPr>
            <w:tcW w:w="1890" w:type="dxa"/>
            <w:gridSpan w:val="2"/>
            <w:tcBorders>
              <w:top w:val="single" w:sz="4" w:space="0" w:color="4472C4"/>
              <w:bottom w:val="single" w:sz="4" w:space="0" w:color="4472C4"/>
            </w:tcBorders>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Borders>
              <w:top w:val="single" w:sz="4" w:space="0" w:color="4472C4"/>
              <w:bottom w:val="single" w:sz="4" w:space="0" w:color="4472C4"/>
            </w:tcBorders>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0</w:t>
            </w:r>
          </w:p>
        </w:tc>
        <w:tc>
          <w:tcPr>
            <w:tcW w:w="2985" w:type="dxa"/>
            <w:tcBorders>
              <w:top w:val="single" w:sz="4" w:space="0" w:color="4472C4"/>
              <w:bottom w:val="single" w:sz="4" w:space="0" w:color="4472C4"/>
            </w:tcBorders>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Nízkoriziková země nepředstavuje žádná zvýšená rizika praní a financování terorismu. Proto je riziková váha země s nízkým rizikem rovna „0“.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tcBorders>
              <w:top w:val="single" w:sz="4" w:space="0" w:color="4472C4"/>
              <w:bottom w:val="single" w:sz="4" w:space="0" w:color="4472C4"/>
              <w:right w:val="nil"/>
            </w:tcBorders>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Přímá mateřská společnost právnické osoby je registrována v zemi se středním rizikem</w:t>
            </w:r>
          </w:p>
        </w:tc>
        <w:tc>
          <w:tcPr>
            <w:tcW w:w="1890" w:type="dxa"/>
            <w:gridSpan w:val="2"/>
            <w:tcBorders>
              <w:top w:val="single" w:sz="4" w:space="0" w:color="4472C4"/>
              <w:bottom w:val="single" w:sz="4" w:space="0" w:color="4472C4"/>
            </w:tcBorders>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Borders>
              <w:top w:val="single" w:sz="4" w:space="0" w:color="4472C4"/>
              <w:bottom w:val="single" w:sz="4" w:space="0" w:color="4472C4"/>
            </w:tcBorders>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8</w:t>
            </w:r>
          </w:p>
        </w:tc>
        <w:tc>
          <w:tcPr>
            <w:tcW w:w="2985" w:type="dxa"/>
            <w:tcBorders>
              <w:top w:val="single" w:sz="4" w:space="0" w:color="4472C4"/>
              <w:bottom w:val="single" w:sz="4" w:space="0" w:color="4472C4"/>
            </w:tcBorders>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Země se středním rizikem představuje střední riziko ML/TF. Riziko nepřímé mateřské společnosti je však méně významné než riziko samotného klienta. Riziková váha země se středním rizikem je tedy rovna „8“.</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tcBorders>
              <w:top w:val="single" w:sz="4" w:space="0" w:color="4472C4"/>
              <w:bottom w:val="single" w:sz="4" w:space="0" w:color="4472C4"/>
              <w:right w:val="nil"/>
            </w:tcBorders>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Přímá mateřská společnost právnické osoby je registrována v Offshore zemi</w:t>
            </w:r>
          </w:p>
        </w:tc>
        <w:tc>
          <w:tcPr>
            <w:tcW w:w="1890" w:type="dxa"/>
            <w:gridSpan w:val="2"/>
            <w:tcBorders>
              <w:top w:val="single" w:sz="4" w:space="0" w:color="4472C4"/>
              <w:bottom w:val="single" w:sz="4" w:space="0" w:color="4472C4"/>
            </w:tcBorders>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Borders>
              <w:top w:val="single" w:sz="4" w:space="0" w:color="4472C4"/>
              <w:bottom w:val="single" w:sz="4" w:space="0" w:color="4472C4"/>
            </w:tcBorders>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150</w:t>
            </w:r>
          </w:p>
        </w:tc>
        <w:tc>
          <w:tcPr>
            <w:tcW w:w="2985" w:type="dxa"/>
            <w:tcBorders>
              <w:top w:val="single" w:sz="4" w:space="0" w:color="4472C4"/>
              <w:bottom w:val="single" w:sz="4" w:space="0" w:color="4472C4"/>
            </w:tcBorders>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Země s rizikem offshore představuje zvýšené, ale přijatelné riziko ML/TF. Riziko nepřímé mateřské společnosti je však méně významné než riziko samotného klienta. Riziková váha země s offshore rizikem je tedy rovna „150“.</w:t>
            </w:r>
          </w:p>
        </w:tc>
      </w:tr>
      <w:tr w:rsidR="00766C3E" w:rsidRPr="004A470F" w:rsidTr="00DC1C05">
        <w:trPr>
          <w:cantSplit/>
          <w:trHeight w:val="705"/>
          <w:tblHeader/>
        </w:trPr>
        <w:tc>
          <w:tcPr>
            <w:tcW w:w="1470" w:type="dxa"/>
            <w:vMerge w:val="restart"/>
            <w:tcBorders>
              <w:right w:val="nil"/>
            </w:tcBorders>
            <w:shd w:val="clear" w:color="auto" w:fill="FFFFFF"/>
          </w:tcPr>
          <w:p w:rsidR="00766C3E" w:rsidRPr="004A470F" w:rsidRDefault="00766C3E" w:rsidP="00DC1C05">
            <w:pPr>
              <w:pStyle w:val="normal"/>
              <w:spacing w:before="120" w:after="120"/>
              <w:ind w:hanging="2"/>
              <w:jc w:val="center"/>
              <w:rPr>
                <w:rFonts w:ascii="Athiti" w:eastAsia="Athiti" w:hAnsi="Athiti" w:cs="Athiti"/>
                <w:sz w:val="18"/>
                <w:szCs w:val="18"/>
                <w:lang w:val="cs-CZ"/>
              </w:rPr>
            </w:pPr>
          </w:p>
        </w:tc>
        <w:tc>
          <w:tcPr>
            <w:tcW w:w="1905" w:type="dxa"/>
            <w:tcBorders>
              <w:top w:val="single" w:sz="4" w:space="0" w:color="4472C4"/>
              <w:bottom w:val="single" w:sz="4" w:space="0" w:color="4472C4"/>
            </w:tcBorders>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Přímá mateřská společnost právnické osoby je registrována ve vysoce rizikové zemi</w:t>
            </w:r>
          </w:p>
        </w:tc>
        <w:tc>
          <w:tcPr>
            <w:tcW w:w="1890" w:type="dxa"/>
            <w:gridSpan w:val="2"/>
            <w:tcBorders>
              <w:top w:val="single" w:sz="4" w:space="0" w:color="4472C4"/>
              <w:bottom w:val="single" w:sz="4" w:space="0" w:color="4472C4"/>
            </w:tcBorders>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Borders>
              <w:top w:val="single" w:sz="4" w:space="0" w:color="4472C4"/>
              <w:bottom w:val="single" w:sz="4" w:space="0" w:color="4472C4"/>
            </w:tcBorders>
            <w:vAlign w:val="center"/>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sz w:val="16"/>
                <w:szCs w:val="16"/>
                <w:lang w:val="cs-CZ"/>
              </w:rPr>
              <w:t>353</w:t>
            </w:r>
          </w:p>
        </w:tc>
        <w:tc>
          <w:tcPr>
            <w:tcW w:w="2985" w:type="dxa"/>
            <w:tcBorders>
              <w:top w:val="single" w:sz="4" w:space="0" w:color="4472C4"/>
              <w:bottom w:val="single" w:sz="4" w:space="0" w:color="4472C4"/>
            </w:tcBorders>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Vysoce riziková země představuje významně zvýšené riziko ML/TF. Riziko nepřímé mateřské společnosti je však méně významné než riziko samotného klienta. Toto riziko je přijatelné v případě zesílených opatření proti praní peněz. Riziková váha vysoce rizikové země je tedy rovna „353“.</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Přímá mateřská společnost právnické osoby je registrována v zemi černé listiny</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750</w:t>
            </w:r>
          </w:p>
        </w:tc>
        <w:tc>
          <w:tcPr>
            <w:tcW w:w="2985" w:type="dxa"/>
            <w:vAlign w:val="center"/>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 xml:space="preserve">Země na černé listině představuje výrazně zvýšené riziko praní špinavých peněz/TF. Riziko nepřímé mateřské společnosti je však méně významné než riziko samotného klienta. Toto riziko je pro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 nepřijatelné . Riziková váha vysoce rizikové země je tedy rovna „750“.</w:t>
            </w:r>
          </w:p>
        </w:tc>
      </w:tr>
      <w:tr w:rsidR="00766C3E" w:rsidRPr="004A470F" w:rsidTr="00DC1C05">
        <w:trPr>
          <w:cantSplit/>
          <w:trHeight w:val="705"/>
          <w:tblHeader/>
        </w:trPr>
        <w:tc>
          <w:tcPr>
            <w:tcW w:w="1470" w:type="dxa"/>
            <w:vMerge w:val="restart"/>
            <w:tcBorders>
              <w:right w:val="nil"/>
            </w:tcBorders>
            <w:shd w:val="clear" w:color="auto" w:fill="FFFFFF"/>
          </w:tcPr>
          <w:p w:rsidR="00766C3E" w:rsidRPr="004A470F" w:rsidRDefault="00766C3E" w:rsidP="00DC1C05">
            <w:pPr>
              <w:pStyle w:val="normal"/>
              <w:spacing w:before="120" w:after="120"/>
              <w:ind w:hanging="2"/>
              <w:jc w:val="center"/>
              <w:rPr>
                <w:rFonts w:ascii="Athiti" w:eastAsia="Athiti" w:hAnsi="Athiti" w:cs="Athiti"/>
                <w:sz w:val="18"/>
                <w:szCs w:val="18"/>
                <w:lang w:val="cs-CZ"/>
              </w:rPr>
            </w:pPr>
            <w:r w:rsidRPr="004A470F">
              <w:rPr>
                <w:rFonts w:ascii="Athiti" w:eastAsia="Athiti" w:hAnsi="Athiti" w:cs="Athiti"/>
                <w:sz w:val="18"/>
                <w:szCs w:val="18"/>
                <w:lang w:val="cs-CZ"/>
              </w:rPr>
              <w:t>GEOGRAFICKÉ RIZIKO</w:t>
            </w:r>
          </w:p>
          <w:p w:rsidR="00766C3E" w:rsidRPr="004A470F" w:rsidRDefault="00766C3E" w:rsidP="00DC1C05">
            <w:pPr>
              <w:pStyle w:val="normal"/>
              <w:spacing w:before="120" w:after="120"/>
              <w:ind w:hanging="2"/>
              <w:jc w:val="center"/>
              <w:rPr>
                <w:rFonts w:ascii="Athiti" w:eastAsia="Athiti" w:hAnsi="Athiti" w:cs="Athiti"/>
                <w:sz w:val="18"/>
                <w:szCs w:val="18"/>
                <w:lang w:val="cs-CZ"/>
              </w:rPr>
            </w:pPr>
            <w:r w:rsidRPr="004A470F">
              <w:rPr>
                <w:rFonts w:ascii="Athiti" w:eastAsia="Athiti" w:hAnsi="Athiti" w:cs="Athiti"/>
                <w:sz w:val="18"/>
                <w:szCs w:val="18"/>
                <w:lang w:val="cs-CZ"/>
              </w:rPr>
              <w:t>Země původu zástupce subjektu, člena statutárního orgánu nebo UBO</w:t>
            </w: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Zástupce, člen statutárního orgánu nebo UBO právnické osoby je rezidentem země s nízkým rizikem</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Nízkoriziková země nepředstavuje žádná zvýšená rizika praní a financování terorismu. Proto je riziková váha země s nízkým rizikem rovna „0“.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Zástupce, člen statutárního orgánu nebo UBO právnické osoby je rezidentem země se středním rizikem</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5</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Země se středním rizikem představuje střední riziko ML/TF. Riziková váha země se středním rizikem je tedy rovna „5“.</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Zástupce, člen statutárního orgánu nebo UBO právnické osoby je rezidentem Offshore země</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300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Země s rizikem offshore představuje zvýšené, ale přijatelné riziko ML/TF. Riziková váha země s offshore rizikem je tedy rovna „300“.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Zástupce, člen statutárního orgánu nebo UBO právnické osoby je rezidentem vysoce rizikové země</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700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Vysoce riziková země představuje významně zvýšené riziko ML/TF. Toto riziko je přijatelné v případě zesílených opatření proti praní peněz. Riziková váha vysoce rizikové země je tedy rovna „700“.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Zástupce, člen statutárního orgánu nebo UBO právnické osoby je rezidentem země černé listiny</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1000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Země na černé listině představuje výrazně zvýšené riziko praní špinavých peněz/TF. Toto riziko je pro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 nepřijatelné . Riziková váha vysoce rizikové země je tedy rovna „1000“.</w:t>
            </w:r>
          </w:p>
        </w:tc>
      </w:tr>
      <w:tr w:rsidR="00766C3E" w:rsidRPr="004A470F" w:rsidTr="00DC1C05">
        <w:trPr>
          <w:cantSplit/>
          <w:trHeight w:val="705"/>
          <w:tblHeader/>
        </w:trPr>
        <w:tc>
          <w:tcPr>
            <w:tcW w:w="1470" w:type="dxa"/>
            <w:vMerge w:val="restart"/>
            <w:tcBorders>
              <w:right w:val="nil"/>
            </w:tcBorders>
            <w:shd w:val="clear" w:color="auto" w:fill="FFFFFF"/>
          </w:tcPr>
          <w:p w:rsidR="00766C3E" w:rsidRPr="004A470F" w:rsidRDefault="00766C3E" w:rsidP="00DC1C05">
            <w:pPr>
              <w:pStyle w:val="normal"/>
              <w:spacing w:before="120" w:after="120"/>
              <w:ind w:hanging="2"/>
              <w:jc w:val="center"/>
              <w:rPr>
                <w:rFonts w:ascii="Athiti" w:eastAsia="Athiti" w:hAnsi="Athiti" w:cs="Athiti"/>
                <w:sz w:val="18"/>
                <w:szCs w:val="18"/>
                <w:lang w:val="cs-CZ"/>
              </w:rPr>
            </w:pPr>
            <w:r w:rsidRPr="004A470F">
              <w:rPr>
                <w:rFonts w:ascii="Athiti" w:eastAsia="Athiti" w:hAnsi="Athiti" w:cs="Athiti"/>
                <w:sz w:val="18"/>
                <w:szCs w:val="18"/>
                <w:lang w:val="cs-CZ"/>
              </w:rPr>
              <w:lastRenderedPageBreak/>
              <w:t>RIZIKO KLIENTA</w:t>
            </w:r>
          </w:p>
          <w:p w:rsidR="00766C3E" w:rsidRPr="004A470F" w:rsidRDefault="00766C3E" w:rsidP="00DC1C05">
            <w:pPr>
              <w:pStyle w:val="normal"/>
              <w:spacing w:before="120" w:after="120"/>
              <w:ind w:hanging="2"/>
              <w:jc w:val="center"/>
              <w:rPr>
                <w:rFonts w:ascii="Athiti" w:eastAsia="Athiti" w:hAnsi="Athiti" w:cs="Athiti"/>
                <w:sz w:val="18"/>
                <w:szCs w:val="18"/>
                <w:lang w:val="cs-CZ"/>
              </w:rPr>
            </w:pPr>
            <w:r w:rsidRPr="004A470F">
              <w:rPr>
                <w:rFonts w:ascii="Athiti" w:eastAsia="Athiti" w:hAnsi="Athiti" w:cs="Athiti"/>
                <w:sz w:val="18"/>
                <w:szCs w:val="18"/>
                <w:lang w:val="cs-CZ"/>
              </w:rPr>
              <w:t>Vlastnictví účetní jednotky a struktura společnosti a právní forma</w:t>
            </w: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Právnická osoba je institucí ve vlastnictví státu</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Právní forma státní instituce představuje jak faktory snižující riziko ML/TF, tak faktory zvyšující riziko. Zjednodušuje proces identifikace klienta a due diligence, což snižuje riziko ML/TF. Zároveň však představuje zvýšené riziko korupce. S ohledem na oba faktory je riziková váha státní instituce rovna „10“.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Právnická osoba je veřejná akciová společnost (PJSC) kótovaná na regulovaném akciovém trhu</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Právní forma veřejné akciové společnosti snižuje riziko praní peněz a financování terorismu, protože tento typ institucí podléhá zvýšenému regulatornímu dohledu. Riziková váha instituce ve vlastnictví státu je tedy rovna „0“.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Právnická osoba je uzavřená akciová společnost (CJSC)</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20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Právní forma uzavřené akciové společnosti zvyšuje riziko ML/TF, protože tento typ institucí může představovat potíže při identifikaci UBO. Riziková váha uzavřené akciové společnosti je tedy rovna „20“.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Právnickou osobou je společnost s ručením omezeným</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20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Právní forma společnosti s ručením omezeným zvyšuje riziko ML/TF, protože tento typ institucí může představovat potíže s identifikací UBO. Riziková váha společnosti s ručením omezeným je tedy rovna „20“.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Právnická osoba je svěřenský</w:t>
            </w:r>
            <w:r w:rsidR="00746B14">
              <w:rPr>
                <w:rFonts w:ascii="Athiti" w:eastAsia="Athiti" w:hAnsi="Athiti" w:cs="Athiti"/>
                <w:sz w:val="16"/>
                <w:szCs w:val="16"/>
                <w:lang w:val="cs-CZ"/>
              </w:rPr>
              <w:t xml:space="preserve"> </w:t>
            </w:r>
            <w:r w:rsidRPr="004A470F">
              <w:rPr>
                <w:rFonts w:ascii="Athiti" w:eastAsia="Athiti" w:hAnsi="Athiti" w:cs="Athiti"/>
                <w:sz w:val="16"/>
                <w:szCs w:val="16"/>
                <w:lang w:val="cs-CZ"/>
              </w:rPr>
              <w:t xml:space="preserve"> fond</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Právní forma svěřenského</w:t>
            </w:r>
            <w:r w:rsidR="00746B14">
              <w:rPr>
                <w:rFonts w:ascii="Athiti" w:eastAsia="Athiti" w:hAnsi="Athiti" w:cs="Athiti"/>
                <w:sz w:val="16"/>
                <w:szCs w:val="16"/>
                <w:lang w:val="cs-CZ"/>
              </w:rPr>
              <w:t xml:space="preserve"> </w:t>
            </w:r>
            <w:r w:rsidRPr="004A470F">
              <w:rPr>
                <w:rFonts w:ascii="Athiti" w:eastAsia="Athiti" w:hAnsi="Athiti" w:cs="Athiti"/>
                <w:sz w:val="16"/>
                <w:szCs w:val="16"/>
                <w:lang w:val="cs-CZ"/>
              </w:rPr>
              <w:t xml:space="preserve"> fondu výrazně zvyšuje riziko ML/TF, protože tento typ institucí často představuje potíže s identifikací UBO. Proto je riziková váha </w:t>
            </w:r>
            <w:r w:rsidR="006E0C45" w:rsidRPr="004A470F">
              <w:rPr>
                <w:rFonts w:ascii="Athiti" w:eastAsia="Athiti" w:hAnsi="Athiti" w:cs="Athiti"/>
                <w:sz w:val="16"/>
                <w:szCs w:val="16"/>
                <w:lang w:val="cs-CZ"/>
              </w:rPr>
              <w:t>růst</w:t>
            </w:r>
            <w:r w:rsidRPr="004A470F">
              <w:rPr>
                <w:rFonts w:ascii="Athiti" w:eastAsia="Athiti" w:hAnsi="Athiti" w:cs="Athiti"/>
                <w:sz w:val="16"/>
                <w:szCs w:val="16"/>
                <w:lang w:val="cs-CZ"/>
              </w:rPr>
              <w:t xml:space="preserve"> fondu rovna „100“.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Právnická osoba má formu neziskové organizace (např. „nadace“, „nadační fond“, „spolek“, „ústav“)</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50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Právní forma neziskové organizace zvyšuje riziko ML/TF, protože tento typ institucí často představuje potíže s identifikací UBO. Mohou být také zneužity pro politické a korupční účely. Proto je riziková váha </w:t>
            </w:r>
            <w:r w:rsidR="006E0C45" w:rsidRPr="004A470F">
              <w:rPr>
                <w:rFonts w:ascii="Athiti" w:eastAsia="Athiti" w:hAnsi="Athiti" w:cs="Athiti"/>
                <w:sz w:val="16"/>
                <w:szCs w:val="16"/>
                <w:lang w:val="cs-CZ"/>
              </w:rPr>
              <w:t>růst</w:t>
            </w:r>
            <w:r w:rsidRPr="004A470F">
              <w:rPr>
                <w:rFonts w:ascii="Athiti" w:eastAsia="Athiti" w:hAnsi="Athiti" w:cs="Athiti"/>
                <w:sz w:val="16"/>
                <w:szCs w:val="16"/>
                <w:lang w:val="cs-CZ"/>
              </w:rPr>
              <w:t xml:space="preserve"> fondu rovna „50“.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Právnická osoba neuvedená na Q21-26</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30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V případě zahraničních klientů může existovat mnoho různých právních forem ML/TF riziko, které nebylo možné předem řádně předvídat. Riziková váha ostatních právních forem je tedy rovna „30“.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Nepřirozeně komplikovaná nebo netransparentní vlastnická struktura</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§9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Nepřirozeně komplikovaná nebo netransparentní vlastnická struktura výrazně zvyšuje riziko ML/TF, protože tento typ struktury představuje velké potíže při identifikaci NOP. Riziková váha této vlastnické struktury je tedy rovna „100“.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Podezření, že skutečný vlastník klienta je zastřen v důsledku obchodu mezi skutečným vlastníkem a osobou vystupující jako společník, člen statutárního orgánu nebo pověřený vlastník</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§9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Podezření, že skutečný vlastník klienta je zastřen v důsledku obchodu mezi skutečným vlastníkem a jinou osobou, významně zvyšuje riziko ML/TF, protože tento typ okolností představuje velké potíže při identifikaci UBO. Riziková váha této vlastnické struktury je tedy rovna „100“.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UBO, zástupce nebo člen statutárního orgánu právnické osoby je politicky exponovaná osoba</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§9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Pokud je UBO, zástupce nebo člen statutárního orgánu právnické osoby PEP, výrazně to zvyšuje riziko ML/TF obecně známé riziko korupce. Proto je riziková váha PEP ve vlastnické nebo řídící struktuře rovna „100“.</w:t>
            </w:r>
          </w:p>
        </w:tc>
      </w:tr>
      <w:tr w:rsidR="00766C3E" w:rsidRPr="004A470F" w:rsidTr="00DC1C05">
        <w:trPr>
          <w:cantSplit/>
          <w:trHeight w:val="705"/>
          <w:tblHeader/>
        </w:trPr>
        <w:tc>
          <w:tcPr>
            <w:tcW w:w="1470" w:type="dxa"/>
            <w:vMerge w:val="restart"/>
            <w:tcBorders>
              <w:right w:val="nil"/>
            </w:tcBorders>
            <w:shd w:val="clear" w:color="auto" w:fill="FFFFFF"/>
          </w:tcPr>
          <w:p w:rsidR="00766C3E" w:rsidRPr="004A470F" w:rsidRDefault="00766C3E" w:rsidP="00DC1C05">
            <w:pPr>
              <w:pStyle w:val="normal"/>
              <w:spacing w:before="120" w:after="120"/>
              <w:ind w:hanging="2"/>
              <w:jc w:val="center"/>
              <w:rPr>
                <w:rFonts w:ascii="Athiti" w:eastAsia="Athiti" w:hAnsi="Athiti" w:cs="Athiti"/>
                <w:sz w:val="18"/>
                <w:szCs w:val="18"/>
                <w:lang w:val="cs-CZ"/>
              </w:rPr>
            </w:pPr>
            <w:r w:rsidRPr="004A470F">
              <w:rPr>
                <w:rFonts w:ascii="Athiti" w:eastAsia="Athiti" w:hAnsi="Athiti" w:cs="Athiti"/>
                <w:sz w:val="18"/>
                <w:szCs w:val="18"/>
                <w:lang w:val="cs-CZ"/>
              </w:rPr>
              <w:t>RIZIKO KLIENTA</w:t>
            </w:r>
          </w:p>
          <w:p w:rsidR="00766C3E" w:rsidRPr="004A470F" w:rsidRDefault="00766C3E" w:rsidP="00DC1C05">
            <w:pPr>
              <w:pStyle w:val="normal"/>
              <w:spacing w:before="120" w:after="120"/>
              <w:ind w:hanging="2"/>
              <w:jc w:val="center"/>
              <w:rPr>
                <w:rFonts w:ascii="Athiti" w:eastAsia="Athiti" w:hAnsi="Athiti" w:cs="Athiti"/>
                <w:sz w:val="18"/>
                <w:szCs w:val="18"/>
                <w:lang w:val="cs-CZ"/>
              </w:rPr>
            </w:pPr>
            <w:r w:rsidRPr="004A470F">
              <w:rPr>
                <w:rFonts w:ascii="Athiti" w:eastAsia="Athiti" w:hAnsi="Athiti" w:cs="Athiti"/>
                <w:sz w:val="18"/>
                <w:szCs w:val="18"/>
                <w:lang w:val="cs-CZ"/>
              </w:rPr>
              <w:t>Hodnocení rizik profilu klienta</w:t>
            </w: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U klienta byly identifikovány zásadní negativní zprávy</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Zásadní negativní zprávy s ohledem na klienta výrazně zvyšují riziko ML/TF související s klientem. Riziková váha tohoto ukazatele je tedy rovna „100“.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Zásadní negativní zprávy byly identifikovány u přímé mateřské společnosti klienta, jeho přímé či nepřímé pobočky/dceřiné společnosti</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50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Zásadní negativní zpráva s ohledem na přímou mateřskou společnost klienta, její přímou či nepřímou pobočku/dceřinou společnost zvyšuje riziko ML/TF, ale riziko není tak vysoké jako u klienta samotného. Riziková váha tohoto ukazatele je tedy rovna „50“.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Zásadní negativní zprávy byly identifikovány u NOZ klienta, zástupce nebo člena statutárního orgánu</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Zásadní negativní zprávy s ohledem na UBO, zástupce nebo MoSB klienta zvyšují riziko ML/TF a riziko je stejně vysoké jako u klienta samotného. Riziková váha tohoto ukazatele je tedy rovna „100“.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Klient, jeho zástupce, člen statutárního orgánu nebo UBO je osoba/subjekt se sankcemi EU</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§9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Riziko jednání s osobou/subjektem sankcionovaným EU je pro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 nepřijatelně vysoké . Riziková váha tohoto ukazatele je tedy rovna „1000“.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Přímá mateřská společnost klienta, její přímá nebo nepřímá pobočka/dceřiná společnost je osobou/subjektem, na který se vztahují sankce EU</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§9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Riziko jednání s osobou/subjektem sankcionovaným EU je pro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 nepřijatelně vysoké . Riziková váha tohoto ukazatele je tedy rovna „1000“.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Protistranou klienta je osoba/subjekt se sankcemi EU</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§9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Riziko jednání s protistranou klienta, která je osobou/subjektem sankcionovaným EU, je pro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 nepřijatelně vysoké . Riziková váha tohoto ukazatele je tedy rovna „1000“.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Klient, jeho zástupce, člen statutárního orgánu nebo UBO je osobou/subjektem sankcionovaným OFAC</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500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Riziko jednání s osobou/subjektem, na který se vztahují sankce OFAC, je výrazně vysoké, ale nerovná se nařízení, na které se vztahují sankce EU. Riziková váha tohoto ukazatele je tedy rovna „500“.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Přímá mateřská společnost klienta, její přímá nebo nepřímá pobočka / dceřiná společnost je osobou/subjektem sankcionovaným OFAC</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500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Riziko jednání s osobou/subjektem, na který se vztahují sankce OFAC, je výrazně vysoké, ale nerovná se nařízení, na které se vztahují sankce EU. Riziková váha tohoto ukazatele je tedy rovna „500“.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Protistranou klienta je osoba/subjekt schválený OFAC</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400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Riziko jednání s protistranou klienta, která je sankcionovanou osobou/subjektem OFAC, je výrazně vysoké, ale nerovná se regulaci sankcí EU. Riziková váha tohoto ukazatele je tedy rovna „400“.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Nejasný původ finančních aktiv klienta</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Nejasný původ finančních aktiv klienta výrazně zvyšuje riziko ML/TF. Riziková váha tohoto ukazatele je tedy rovna „100“.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Podezření, že klient nejedná na svůj účet, ale ve prospěch jiných třetích osob</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Podezření, že klient nejedná na svůj účet, výrazně zvyšuje riziko ML/TF. Riziková váha tohoto ukazatele je tedy rovna „100“.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Klient byl v posledních 12 měsících předmětem hlášení o podezřelé transakci</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Pokud byl klient během posledních 12 měsíců předmětem oznámení o podezřelé transakci, tyto okolnosti významně zvyšují riziko ML/TF. Riziková váha tohoto ukazatele je tedy rovna „100“.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99CC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 xml:space="preserve">Klient odmítá spolupracovat s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 při provádění due diligence podle pravidel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vAlign w:val="center"/>
          </w:tcPr>
          <w:p w:rsidR="00766C3E" w:rsidRPr="004A470F" w:rsidRDefault="00766C3E" w:rsidP="00DC1C05">
            <w:pPr>
              <w:pStyle w:val="normal"/>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Pokud klient odmítne spolupracovat s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 při provádění due diligence, tyto okolnosti výrazně zvyšují riziko ML/TF. Riziková váha tohoto ukazatele je tedy rovna „100“.</w:t>
            </w:r>
          </w:p>
        </w:tc>
      </w:tr>
      <w:tr w:rsidR="00766C3E" w:rsidRPr="004A470F" w:rsidTr="00DC1C05">
        <w:trPr>
          <w:cantSplit/>
          <w:trHeight w:val="705"/>
          <w:tblHeader/>
        </w:trPr>
        <w:tc>
          <w:tcPr>
            <w:tcW w:w="1470" w:type="dxa"/>
            <w:vMerge w:val="restart"/>
            <w:tcBorders>
              <w:right w:val="nil"/>
            </w:tcBorders>
            <w:shd w:val="clear" w:color="auto" w:fill="FFFFFF"/>
          </w:tcPr>
          <w:p w:rsidR="00766C3E" w:rsidRPr="004A470F" w:rsidRDefault="00766C3E" w:rsidP="00DC1C05">
            <w:pPr>
              <w:pStyle w:val="normal"/>
              <w:spacing w:before="120" w:after="120"/>
              <w:ind w:hanging="2"/>
              <w:jc w:val="center"/>
              <w:rPr>
                <w:rFonts w:ascii="Athiti" w:eastAsia="Athiti" w:hAnsi="Athiti" w:cs="Athiti"/>
                <w:sz w:val="18"/>
                <w:szCs w:val="18"/>
                <w:lang w:val="cs-CZ"/>
              </w:rPr>
            </w:pPr>
            <w:r w:rsidRPr="004A470F">
              <w:rPr>
                <w:rFonts w:ascii="Athiti" w:eastAsia="Athiti" w:hAnsi="Athiti" w:cs="Athiti"/>
                <w:sz w:val="18"/>
                <w:szCs w:val="18"/>
                <w:lang w:val="cs-CZ"/>
              </w:rPr>
              <w:t>OBCHODNÍ RIZIKO</w:t>
            </w:r>
          </w:p>
          <w:p w:rsidR="00766C3E" w:rsidRPr="004A470F" w:rsidRDefault="00766C3E" w:rsidP="00DC1C05">
            <w:pPr>
              <w:pStyle w:val="normal"/>
              <w:spacing w:before="120" w:after="120"/>
              <w:ind w:hanging="2"/>
              <w:jc w:val="center"/>
              <w:rPr>
                <w:rFonts w:ascii="Athiti" w:eastAsia="Athiti" w:hAnsi="Athiti" w:cs="Athiti"/>
                <w:sz w:val="18"/>
                <w:szCs w:val="18"/>
                <w:lang w:val="cs-CZ"/>
              </w:rPr>
            </w:pPr>
            <w:r w:rsidRPr="004A470F">
              <w:rPr>
                <w:rFonts w:ascii="Athiti" w:eastAsia="Athiti" w:hAnsi="Athiti" w:cs="Athiti"/>
                <w:sz w:val="18"/>
                <w:szCs w:val="18"/>
                <w:lang w:val="cs-CZ"/>
              </w:rPr>
              <w:t>Hodnocení rizik činnosti účetní jednotky</w:t>
            </w: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Významné nesrovnalosti mezi celkovým finančním obratem klienta v předchozích obdobích a očekávaným finančním obratem v budoucích obdobích</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50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Významné nesrovnalosti mezi finančním obratem klienta v předchozích obdobích a očekávaným finančním obratem v budoucích obdobích mohou představovat potenciální riziko ML/TF. Riziková váha tohoto ukazatele je tedy rovna „50“.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 xml:space="preserve">Významné nesrovnalosti mezi finančním obratem klienta na účtu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 v předchozích obdobích a očekávaným finančním obratem v budoucích obdobích</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50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Významné nesrovnalosti mezi finančním obratem klienta v předchozích obdobích a očekávaným finančním obratem v budoucích obdobích mohou představovat potenciální riziko ML/TF. Riziková váha tohoto ukazatele je tedy rovna „50“.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Klientem je nově založená společnost s vysokým očekávaným finančním obratem</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50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Nově založená společnost s vysokou úrovní očekávaného finančního obratu může představovat potenciální riziko ML/TF. Riziková váha tohoto ukazatele je tedy rovna „50“.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Klient vykonává nebo se chystá provozovat obchodní činnost v různých nesouvisejících oblastech</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20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Podnikatelské aktivity v různých nesouvisejících oblastech mohou představovat potenciální riziko ML/TF. Riziková váha tohoto ukazatele je tedy rovna „20“.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Zástupce klienta nedokáže srozumitelně vysvětlit povahu činnosti společnosti</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Risk Based Access of the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Pokud zástupce klienta nedokáže srozumitelně vysvětlit povahu činnosti společnosti, existuje podezření, že tato osoba je pouze nominant. Riziková váha tohoto ukazatele je tedy rovna „100“.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Klient nevykonává žádnou ekonomickou činnost</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§9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Pokud klient nevykonává žádnou ekonomickou činnost, existuje podezření, že se jedná o fiktivní společnost. Riziková váha tohoto ukazatele je tedy rovna „100“.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Klient provádí nebo se chystá provádět rizikovou činnost kategorie A</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100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Riziko Aktivita kategorie A představuje zvýšené riziko ML/TF. Riziková váha tohoto ukazatele je tedy rovna „100“.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Klient provádí nebo se chystá provádět rizikovou činnost kategorie B</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50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Riziková aktivita kategorie B představuje zvýšené riziko ML/TF, ale není tak významné jako rizika pro kategorii A. Riziková váha tohoto ukazatele je tedy rovna „50“.</w:t>
            </w:r>
          </w:p>
        </w:tc>
      </w:tr>
      <w:tr w:rsidR="00766C3E" w:rsidRPr="004A470F" w:rsidTr="00DC1C05">
        <w:trPr>
          <w:cantSplit/>
          <w:trHeight w:val="705"/>
          <w:tblHeader/>
        </w:trPr>
        <w:tc>
          <w:tcPr>
            <w:tcW w:w="1470" w:type="dxa"/>
            <w:vMerge w:val="restart"/>
            <w:tcBorders>
              <w:right w:val="nil"/>
            </w:tcBorders>
            <w:shd w:val="clear" w:color="auto" w:fill="FFFFFF"/>
          </w:tcPr>
          <w:p w:rsidR="00766C3E" w:rsidRPr="004A470F" w:rsidRDefault="00766C3E" w:rsidP="00DC1C05">
            <w:pPr>
              <w:pStyle w:val="normal"/>
              <w:spacing w:before="120" w:after="120"/>
              <w:ind w:hanging="2"/>
              <w:jc w:val="center"/>
              <w:rPr>
                <w:rFonts w:ascii="Athiti" w:eastAsia="Athiti" w:hAnsi="Athiti" w:cs="Athiti"/>
                <w:sz w:val="18"/>
                <w:szCs w:val="18"/>
                <w:lang w:val="cs-CZ"/>
              </w:rPr>
            </w:pPr>
            <w:r w:rsidRPr="004A470F">
              <w:rPr>
                <w:rFonts w:ascii="Athiti" w:eastAsia="Athiti" w:hAnsi="Athiti" w:cs="Athiti"/>
                <w:sz w:val="18"/>
                <w:szCs w:val="18"/>
                <w:lang w:val="cs-CZ"/>
              </w:rPr>
              <w:t>GEOGRAFICKÉ RIZIKO</w:t>
            </w:r>
          </w:p>
          <w:p w:rsidR="00766C3E" w:rsidRPr="004A470F" w:rsidRDefault="00766C3E" w:rsidP="00DC1C05">
            <w:pPr>
              <w:pStyle w:val="normal"/>
              <w:spacing w:before="120" w:after="120"/>
              <w:ind w:hanging="2"/>
              <w:jc w:val="center"/>
              <w:rPr>
                <w:rFonts w:ascii="Athiti" w:eastAsia="Athiti" w:hAnsi="Athiti" w:cs="Athiti"/>
                <w:sz w:val="18"/>
                <w:szCs w:val="18"/>
                <w:lang w:val="cs-CZ"/>
              </w:rPr>
            </w:pPr>
            <w:r w:rsidRPr="004A470F">
              <w:rPr>
                <w:rFonts w:ascii="Athiti" w:eastAsia="Athiti" w:hAnsi="Athiti" w:cs="Athiti"/>
                <w:sz w:val="18"/>
                <w:szCs w:val="18"/>
                <w:lang w:val="cs-CZ"/>
              </w:rPr>
              <w:t>Očekávané cíle plateb</w:t>
            </w: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Očekávané platby by měly pocházet z/směřovat do zemí s nízkým rizikem</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Nízkoriziková země nepředstavuje žádná zvýšená rizika praní a financování terorismu. Proto je riziková váha země s nízkým rizikem rovna „0“.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Očekávané platby by měly pocházet z/směřovat do zemí se středním rizikem</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10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Země se středním rizikem představuje střední riziko ML/TF. Riziková váha země se středním rizikem je tedy rovna „10“.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Očekávané platby by měly pocházet z/do Offshore zemí</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300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Země s rizikem offshore představuje zvýšené, ale přijatelné riziko ML/TF. Riziková váha země s offshore rizikem je tedy rovna „300“.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Očekávané platby by měly pocházet z vysoce rizikových zemí nebo do nich směřovat</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700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Vysoce riziková země představuje významně zvýšené riziko ML/TF. Toto riziko je přijatelné v případě zesílených opatření proti praní peněz. Riziková váha vysoce rizikové země je tedy rovna „700“.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Očekávané platby by měly pocházet ze zemí černé listiny nebo by do nich měly jít</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1000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 xml:space="preserve">Země na černé listině představuje výrazně zvýšené riziko praní špinavých peněz/TF. Toto riziko je pro </w:t>
            </w:r>
            <w:r w:rsidR="004A470F" w:rsidRPr="004A470F">
              <w:rPr>
                <w:rFonts w:ascii="Athiti" w:eastAsia="Athiti" w:hAnsi="Athiti" w:cs="Athiti"/>
                <w:sz w:val="16"/>
                <w:szCs w:val="16"/>
                <w:lang w:val="cs-CZ"/>
              </w:rPr>
              <w:t>ZMAN - KESEF</w:t>
            </w:r>
            <w:r w:rsidRPr="004A470F">
              <w:rPr>
                <w:rFonts w:ascii="Athiti" w:eastAsia="Athiti" w:hAnsi="Athiti" w:cs="Athiti"/>
                <w:sz w:val="16"/>
                <w:szCs w:val="16"/>
                <w:lang w:val="cs-CZ"/>
              </w:rPr>
              <w:t xml:space="preserve"> s.r.o. nepřijatelné . Riziková váha vysoce rizikové země je tedy rovna „1000“.</w:t>
            </w:r>
          </w:p>
        </w:tc>
      </w:tr>
      <w:tr w:rsidR="00766C3E" w:rsidRPr="004A470F" w:rsidTr="00DC1C05">
        <w:trPr>
          <w:cantSplit/>
          <w:trHeight w:val="705"/>
          <w:tblHeader/>
        </w:trPr>
        <w:tc>
          <w:tcPr>
            <w:tcW w:w="1470" w:type="dxa"/>
            <w:vMerge w:val="restart"/>
            <w:tcBorders>
              <w:right w:val="nil"/>
            </w:tcBorders>
            <w:shd w:val="clear" w:color="auto" w:fill="FFFFFF"/>
          </w:tcPr>
          <w:p w:rsidR="00766C3E" w:rsidRPr="004A470F" w:rsidRDefault="00766C3E" w:rsidP="00DC1C05">
            <w:pPr>
              <w:pStyle w:val="normal"/>
              <w:spacing w:before="120" w:after="120"/>
              <w:ind w:hanging="2"/>
              <w:jc w:val="center"/>
              <w:rPr>
                <w:rFonts w:ascii="Athiti" w:eastAsia="Athiti" w:hAnsi="Athiti" w:cs="Athiti"/>
                <w:sz w:val="18"/>
                <w:szCs w:val="18"/>
                <w:lang w:val="cs-CZ"/>
              </w:rPr>
            </w:pPr>
            <w:r w:rsidRPr="004A470F">
              <w:rPr>
                <w:rFonts w:ascii="Athiti" w:eastAsia="Athiti" w:hAnsi="Athiti" w:cs="Athiti"/>
                <w:sz w:val="18"/>
                <w:szCs w:val="18"/>
                <w:lang w:val="cs-CZ"/>
              </w:rPr>
              <w:t>Hodnocení rizika produktu a kanálu</w:t>
            </w: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Entita použije spořicí účet</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Spořicí účet nepředstavuje zvýšená rizika ML/TF. Proto je riziková váha země s nízkým rizikem rovna „0“.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Subjekt použije běžný účet</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3</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Běžný účet představuje mírné riziko ML/TF. Riziková váha země se středním rizikem je tedy rovna „3“.</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Účetní jednotka získá úvěr/financování</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Půjčka/financování nepředstavuje zvýšená rizika ML/TF. Proto je riziková váha země s nízkým rizikem rovna „0“.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766C3E"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Účetní jednotka bude využívat produkty obchodního financování (LC, záruky atd.)</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8</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Produkty obchodního financování představují zvýšené riziko ML/TF. Riziková váha země se středním rizikem je tedy rovna „8“.</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4A470F"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ZMAN - KESEF</w:t>
            </w:r>
            <w:r w:rsidR="00766C3E" w:rsidRPr="004A470F">
              <w:rPr>
                <w:rFonts w:ascii="Athiti" w:eastAsia="Athiti" w:hAnsi="Athiti" w:cs="Athiti"/>
                <w:sz w:val="16"/>
                <w:szCs w:val="16"/>
                <w:lang w:val="cs-CZ"/>
              </w:rPr>
              <w:t xml:space="preserve"> s.r.o. používal osobní identifikaci klienta „tváří v tvář“.</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Identifikace tváří v tvář nepředstavuje zvýšené riziko ML/TF. Proto je riziková váha země s nízkým rizikem rovna „0“.</w:t>
            </w:r>
          </w:p>
        </w:tc>
      </w:tr>
      <w:tr w:rsidR="00766C3E" w:rsidRPr="004A470F" w:rsidTr="00DC1C05">
        <w:trPr>
          <w:cantSplit/>
          <w:trHeight w:val="705"/>
          <w:tblHeader/>
        </w:trPr>
        <w:tc>
          <w:tcPr>
            <w:tcW w:w="1470" w:type="dxa"/>
            <w:vMerge w:val="restart"/>
            <w:tcBorders>
              <w:right w:val="nil"/>
            </w:tcBorders>
            <w:shd w:val="clear" w:color="auto" w:fill="FFFFFF"/>
          </w:tcPr>
          <w:p w:rsidR="00766C3E" w:rsidRPr="004A470F" w:rsidRDefault="00766C3E" w:rsidP="00DC1C05">
            <w:pPr>
              <w:pStyle w:val="normal"/>
              <w:spacing w:before="120" w:after="120"/>
              <w:ind w:hanging="2"/>
              <w:jc w:val="center"/>
              <w:rPr>
                <w:rFonts w:ascii="Athiti" w:eastAsia="Athiti" w:hAnsi="Athiti" w:cs="Athiti"/>
                <w:sz w:val="18"/>
                <w:szCs w:val="18"/>
                <w:lang w:val="cs-CZ"/>
              </w:rPr>
            </w:pPr>
          </w:p>
        </w:tc>
        <w:tc>
          <w:tcPr>
            <w:tcW w:w="1905" w:type="dxa"/>
            <w:shd w:val="clear" w:color="auto" w:fill="CCFFFF"/>
          </w:tcPr>
          <w:p w:rsidR="00766C3E" w:rsidRPr="004A470F" w:rsidRDefault="004A470F"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ZMAN - KESEF</w:t>
            </w:r>
            <w:r w:rsidR="00766C3E" w:rsidRPr="004A470F">
              <w:rPr>
                <w:rFonts w:ascii="Athiti" w:eastAsia="Athiti" w:hAnsi="Athiti" w:cs="Athiti"/>
                <w:sz w:val="16"/>
                <w:szCs w:val="16"/>
                <w:lang w:val="cs-CZ"/>
              </w:rPr>
              <w:t xml:space="preserve"> s.r.o. použil identifikaci u notáře nebo jiného obdobného orgánu</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3</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Identifikace notářem nebo podobným orgánem představuje jen mírně vyšší riziko ML/TF. Riziková váha země se středním rizikem je tedy rovna „3“.</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4A470F"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ZMAN - KESEF</w:t>
            </w:r>
            <w:r w:rsidR="00766C3E" w:rsidRPr="004A470F">
              <w:rPr>
                <w:rFonts w:ascii="Athiti" w:eastAsia="Athiti" w:hAnsi="Athiti" w:cs="Athiti"/>
                <w:sz w:val="16"/>
                <w:szCs w:val="16"/>
                <w:lang w:val="cs-CZ"/>
              </w:rPr>
              <w:t xml:space="preserve"> s.r.o. použil identifikační třetí osobu jinou než notář nebo jiný podobný orgán</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30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Identifikace třetí stranou jinou než notářem nebo podobným orgánem představuje zvýšené riziko praní peněz/TF. Riziková váha země se středním rizikem je tedy rovna „30“.</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4A470F"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ZMAN - KESEF</w:t>
            </w:r>
            <w:r w:rsidR="00766C3E" w:rsidRPr="004A470F">
              <w:rPr>
                <w:rFonts w:ascii="Athiti" w:eastAsia="Athiti" w:hAnsi="Athiti" w:cs="Athiti"/>
                <w:sz w:val="16"/>
                <w:szCs w:val="16"/>
                <w:lang w:val="cs-CZ"/>
              </w:rPr>
              <w:t xml:space="preserve"> s.r.o. použila převzetí identifikace od jiného FI</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15</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Převzetí identifikace od jiného FI zvýšilo riziko ML/TF. Riziková váha země se středním rizikem je tedy rovna „15“.</w:t>
            </w:r>
          </w:p>
        </w:tc>
      </w:tr>
      <w:tr w:rsidR="00766C3E" w:rsidRPr="004A470F" w:rsidTr="00DC1C05">
        <w:trPr>
          <w:cantSplit/>
          <w:trHeight w:val="705"/>
          <w:tblHeader/>
        </w:trPr>
        <w:tc>
          <w:tcPr>
            <w:tcW w:w="1470" w:type="dxa"/>
            <w:vMerge/>
            <w:tcBorders>
              <w:right w:val="nil"/>
            </w:tcBorders>
            <w:shd w:val="clear" w:color="auto" w:fill="FFFFFF"/>
          </w:tcPr>
          <w:p w:rsidR="00766C3E" w:rsidRPr="004A470F" w:rsidRDefault="00766C3E" w:rsidP="00DC1C05">
            <w:pPr>
              <w:pStyle w:val="normal"/>
              <w:widowControl w:val="0"/>
              <w:pBdr>
                <w:top w:val="nil"/>
                <w:left w:val="nil"/>
                <w:bottom w:val="nil"/>
                <w:right w:val="nil"/>
                <w:between w:val="nil"/>
              </w:pBdr>
              <w:spacing w:line="276" w:lineRule="auto"/>
              <w:ind w:hanging="2"/>
              <w:rPr>
                <w:rFonts w:ascii="Athiti" w:eastAsia="Athiti" w:hAnsi="Athiti" w:cs="Athiti"/>
                <w:sz w:val="16"/>
                <w:szCs w:val="16"/>
                <w:lang w:val="cs-CZ"/>
              </w:rPr>
            </w:pPr>
          </w:p>
        </w:tc>
        <w:tc>
          <w:tcPr>
            <w:tcW w:w="1905" w:type="dxa"/>
            <w:shd w:val="clear" w:color="auto" w:fill="CCFFFF"/>
          </w:tcPr>
          <w:p w:rsidR="00766C3E" w:rsidRPr="004A470F" w:rsidRDefault="004A470F" w:rsidP="00DC1C05">
            <w:pPr>
              <w:pStyle w:val="normal"/>
              <w:ind w:hanging="2"/>
              <w:rPr>
                <w:rFonts w:ascii="Athiti" w:eastAsia="Athiti" w:hAnsi="Athiti" w:cs="Athiti"/>
                <w:sz w:val="16"/>
                <w:szCs w:val="16"/>
                <w:lang w:val="cs-CZ"/>
              </w:rPr>
            </w:pPr>
            <w:r w:rsidRPr="004A470F">
              <w:rPr>
                <w:rFonts w:ascii="Athiti" w:eastAsia="Athiti" w:hAnsi="Athiti" w:cs="Athiti"/>
                <w:sz w:val="16"/>
                <w:szCs w:val="16"/>
                <w:lang w:val="cs-CZ"/>
              </w:rPr>
              <w:t>ZMAN - KESEF</w:t>
            </w:r>
            <w:r w:rsidR="00766C3E" w:rsidRPr="004A470F">
              <w:rPr>
                <w:rFonts w:ascii="Athiti" w:eastAsia="Athiti" w:hAnsi="Athiti" w:cs="Athiti"/>
                <w:sz w:val="16"/>
                <w:szCs w:val="16"/>
                <w:lang w:val="cs-CZ"/>
              </w:rPr>
              <w:t xml:space="preserve"> s.r.o. použila převzetí identifikace od jiné finanční instituce</w:t>
            </w:r>
          </w:p>
        </w:tc>
        <w:tc>
          <w:tcPr>
            <w:tcW w:w="1890" w:type="dxa"/>
            <w:gridSpan w:val="2"/>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§7 vyhlášky ČNB č. 67/2018 Sb.</w:t>
            </w:r>
          </w:p>
        </w:tc>
        <w:tc>
          <w:tcPr>
            <w:tcW w:w="810" w:type="dxa"/>
          </w:tcPr>
          <w:p w:rsidR="00766C3E" w:rsidRPr="004A470F" w:rsidRDefault="00766C3E" w:rsidP="00DC1C05">
            <w:pPr>
              <w:pStyle w:val="normal"/>
              <w:spacing w:before="120" w:after="120"/>
              <w:ind w:hanging="2"/>
              <w:jc w:val="center"/>
              <w:rPr>
                <w:rFonts w:ascii="Athiti" w:eastAsia="Athiti" w:hAnsi="Athiti" w:cs="Athiti"/>
                <w:sz w:val="16"/>
                <w:szCs w:val="16"/>
                <w:lang w:val="cs-CZ"/>
              </w:rPr>
            </w:pPr>
            <w:r w:rsidRPr="004A470F">
              <w:rPr>
                <w:rFonts w:ascii="Athiti" w:eastAsia="Athiti" w:hAnsi="Athiti" w:cs="Athiti"/>
                <w:sz w:val="16"/>
                <w:szCs w:val="16"/>
                <w:lang w:val="cs-CZ"/>
              </w:rPr>
              <w:t>30</w:t>
            </w:r>
          </w:p>
        </w:tc>
        <w:tc>
          <w:tcPr>
            <w:tcW w:w="2985" w:type="dxa"/>
          </w:tcPr>
          <w:p w:rsidR="00766C3E" w:rsidRPr="004A470F" w:rsidRDefault="00766C3E" w:rsidP="00DC1C05">
            <w:pPr>
              <w:pStyle w:val="normal"/>
              <w:spacing w:before="120" w:after="120"/>
              <w:ind w:hanging="2"/>
              <w:rPr>
                <w:rFonts w:ascii="Athiti" w:eastAsia="Athiti" w:hAnsi="Athiti" w:cs="Athiti"/>
                <w:sz w:val="16"/>
                <w:szCs w:val="16"/>
                <w:lang w:val="cs-CZ"/>
              </w:rPr>
            </w:pPr>
            <w:r w:rsidRPr="004A470F">
              <w:rPr>
                <w:rFonts w:ascii="Athiti" w:eastAsia="Athiti" w:hAnsi="Athiti" w:cs="Athiti"/>
                <w:sz w:val="16"/>
                <w:szCs w:val="16"/>
                <w:lang w:val="cs-CZ"/>
              </w:rPr>
              <w:t>Převzetí identifikace od jiné finanční instituce představuje zvýšené riziko ML/TF. Riziková váha země se středním rizikem je tedy rovna „30“.</w:t>
            </w:r>
          </w:p>
        </w:tc>
      </w:tr>
    </w:tbl>
    <w:p w:rsidR="00766C3E" w:rsidRPr="004A470F" w:rsidRDefault="00766C3E" w:rsidP="00766C3E">
      <w:pPr>
        <w:pStyle w:val="normal"/>
        <w:spacing w:after="0" w:line="240" w:lineRule="auto"/>
        <w:rPr>
          <w:rFonts w:ascii="Athiti" w:eastAsia="Athiti" w:hAnsi="Athiti" w:cs="Athiti"/>
          <w:lang w:val="cs-CZ"/>
        </w:rPr>
      </w:pPr>
    </w:p>
    <w:p w:rsidR="00766C3E" w:rsidRPr="004A470F" w:rsidRDefault="00766C3E" w:rsidP="00766C3E">
      <w:pPr>
        <w:pStyle w:val="normal"/>
        <w:spacing w:after="0" w:line="240" w:lineRule="auto"/>
        <w:rPr>
          <w:rFonts w:ascii="Athiti" w:eastAsia="Athiti" w:hAnsi="Athiti" w:cs="Athiti"/>
          <w:lang w:val="cs-CZ"/>
        </w:rPr>
      </w:pPr>
      <w:r w:rsidRPr="004A470F">
        <w:rPr>
          <w:rFonts w:ascii="Athiti" w:eastAsia="Athiti" w:hAnsi="Athiti" w:cs="Athiti"/>
          <w:lang w:val="cs-CZ"/>
        </w:rPr>
        <w:t>4.2.2 Odpovídající finanční instituce</w:t>
      </w:r>
    </w:p>
    <w:tbl>
      <w:tblPr>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31"/>
        <w:gridCol w:w="4531"/>
      </w:tblGrid>
      <w:tr w:rsidR="00766C3E" w:rsidRPr="004A470F" w:rsidTr="00DC1C05">
        <w:trPr>
          <w:cantSplit/>
          <w:tblHeader/>
        </w:trPr>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A. Klient s nízkým rizikem</w:t>
            </w:r>
          </w:p>
        </w:tc>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až 12,5 bodu</w:t>
            </w:r>
          </w:p>
          <w:p w:rsidR="00766C3E" w:rsidRPr="004A470F" w:rsidRDefault="00766C3E" w:rsidP="00DC1C05">
            <w:pPr>
              <w:pStyle w:val="normal"/>
              <w:ind w:hanging="2"/>
              <w:rPr>
                <w:rFonts w:ascii="Athiti" w:eastAsia="Athiti" w:hAnsi="Athiti" w:cs="Athiti"/>
                <w:lang w:val="cs-CZ"/>
              </w:rPr>
            </w:pPr>
          </w:p>
        </w:tc>
      </w:tr>
      <w:tr w:rsidR="00766C3E" w:rsidRPr="004A470F" w:rsidTr="00DC1C05">
        <w:trPr>
          <w:cantSplit/>
          <w:tblHeader/>
        </w:trPr>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A-. Klient s relativně nízkým rizikem</w:t>
            </w:r>
          </w:p>
        </w:tc>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12,6 - 30 bodů</w:t>
            </w:r>
          </w:p>
        </w:tc>
      </w:tr>
      <w:tr w:rsidR="00766C3E" w:rsidRPr="004A470F" w:rsidTr="00DC1C05">
        <w:trPr>
          <w:cantSplit/>
          <w:tblHeader/>
        </w:trPr>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B. Klient se standardním rizikem</w:t>
            </w:r>
          </w:p>
        </w:tc>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30,1 – 100 bodů</w:t>
            </w:r>
          </w:p>
          <w:p w:rsidR="00766C3E" w:rsidRPr="004A470F" w:rsidRDefault="00766C3E" w:rsidP="00DC1C05">
            <w:pPr>
              <w:pStyle w:val="normal"/>
              <w:ind w:hanging="2"/>
              <w:rPr>
                <w:rFonts w:ascii="Athiti" w:eastAsia="Athiti" w:hAnsi="Athiti" w:cs="Athiti"/>
                <w:lang w:val="cs-CZ"/>
              </w:rPr>
            </w:pPr>
          </w:p>
        </w:tc>
      </w:tr>
      <w:tr w:rsidR="00766C3E" w:rsidRPr="004A470F" w:rsidTr="00DC1C05">
        <w:trPr>
          <w:cantSplit/>
          <w:tblHeader/>
        </w:trPr>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C. Vysoce rizikový klient</w:t>
            </w:r>
          </w:p>
        </w:tc>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100,1 – 1000 bodů</w:t>
            </w:r>
          </w:p>
          <w:p w:rsidR="00766C3E" w:rsidRPr="004A470F" w:rsidRDefault="00766C3E" w:rsidP="00DC1C05">
            <w:pPr>
              <w:pStyle w:val="normal"/>
              <w:ind w:hanging="2"/>
              <w:rPr>
                <w:rFonts w:ascii="Athiti" w:eastAsia="Athiti" w:hAnsi="Athiti" w:cs="Athiti"/>
                <w:lang w:val="cs-CZ"/>
              </w:rPr>
            </w:pPr>
          </w:p>
        </w:tc>
      </w:tr>
      <w:tr w:rsidR="00766C3E" w:rsidRPr="004A470F" w:rsidTr="00DC1C05">
        <w:trPr>
          <w:cantSplit/>
          <w:trHeight w:val="358"/>
          <w:tblHeader/>
        </w:trPr>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D. Klient s nepřijatelným rizikem</w:t>
            </w:r>
          </w:p>
        </w:tc>
        <w:tc>
          <w:tcPr>
            <w:tcW w:w="4531"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1000,1 bodů nebo více</w:t>
            </w:r>
          </w:p>
        </w:tc>
      </w:tr>
    </w:tbl>
    <w:p w:rsidR="00766C3E" w:rsidRPr="004A470F" w:rsidRDefault="00766C3E" w:rsidP="00766C3E">
      <w:pPr>
        <w:pStyle w:val="normal"/>
        <w:spacing w:after="0" w:line="240" w:lineRule="auto"/>
        <w:rPr>
          <w:rFonts w:ascii="Athiti" w:eastAsia="Athiti" w:hAnsi="Athiti" w:cs="Athiti"/>
          <w:lang w:val="cs-CZ"/>
        </w:rPr>
      </w:pPr>
    </w:p>
    <w:p w:rsidR="00766C3E" w:rsidRPr="004A470F" w:rsidRDefault="00766C3E" w:rsidP="00766C3E">
      <w:pPr>
        <w:pStyle w:val="normal"/>
        <w:spacing w:after="0" w:line="240" w:lineRule="auto"/>
        <w:rPr>
          <w:rFonts w:ascii="Athiti" w:eastAsia="Athiti" w:hAnsi="Athiti" w:cs="Athiti"/>
          <w:lang w:val="cs-CZ"/>
        </w:rPr>
      </w:pPr>
      <w:bookmarkStart w:id="52" w:name="_heading=h.35nkun2" w:colFirst="0" w:colLast="0"/>
      <w:bookmarkEnd w:id="52"/>
      <w:r w:rsidRPr="004A470F">
        <w:rPr>
          <w:rFonts w:ascii="Athiti" w:eastAsia="Athiti" w:hAnsi="Athiti" w:cs="Athiti"/>
          <w:lang w:val="cs-CZ"/>
        </w:rPr>
        <w:t>Skóre rizika se vypočítává pomocí karty AML Risk Score Card .</w:t>
      </w:r>
    </w:p>
    <w:p w:rsidR="00766C3E" w:rsidRPr="004A470F" w:rsidRDefault="00766C3E" w:rsidP="00766C3E">
      <w:pPr>
        <w:pStyle w:val="normal"/>
        <w:spacing w:after="0" w:line="240" w:lineRule="auto"/>
        <w:rPr>
          <w:rFonts w:ascii="Athiti" w:eastAsia="Athiti" w:hAnsi="Athiti" w:cs="Athiti"/>
          <w:lang w:val="cs-CZ"/>
        </w:rPr>
      </w:pPr>
      <w:bookmarkStart w:id="53" w:name="_heading=h.a83m0r8kz26y" w:colFirst="0" w:colLast="0"/>
      <w:bookmarkEnd w:id="53"/>
    </w:p>
    <w:p w:rsidR="00766C3E" w:rsidRPr="004A470F" w:rsidRDefault="00766C3E" w:rsidP="00766C3E">
      <w:pPr>
        <w:pStyle w:val="Heading3"/>
        <w:ind w:left="0" w:hanging="2"/>
        <w:rPr>
          <w:rFonts w:ascii="Athiti" w:eastAsia="Athiti" w:hAnsi="Athiti" w:cs="Athiti"/>
          <w:b w:val="0"/>
        </w:rPr>
      </w:pPr>
      <w:bookmarkStart w:id="54" w:name="_Toc204266965"/>
      <w:r w:rsidRPr="004A470F">
        <w:rPr>
          <w:rFonts w:ascii="Athiti" w:eastAsia="Athiti" w:hAnsi="Athiti" w:cs="Athiti"/>
          <w:b w:val="0"/>
          <w:sz w:val="22"/>
        </w:rPr>
        <w:t>4.2.3. Přehodnocení rizikového profilu klienta</w:t>
      </w:r>
      <w:bookmarkEnd w:id="54"/>
    </w:p>
    <w:p w:rsidR="00766C3E" w:rsidRPr="004A470F" w:rsidRDefault="00766C3E" w:rsidP="00766C3E">
      <w:pPr>
        <w:pStyle w:val="normal"/>
        <w:spacing w:after="0" w:line="240" w:lineRule="auto"/>
        <w:jc w:val="both"/>
        <w:rPr>
          <w:rFonts w:ascii="Athiti" w:eastAsia="Athiti" w:hAnsi="Athiti" w:cs="Athiti"/>
          <w:lang w:val="cs-CZ"/>
        </w:rPr>
      </w:pPr>
      <w:r w:rsidRPr="004A470F">
        <w:rPr>
          <w:rFonts w:ascii="Athiti" w:eastAsia="Athiti" w:hAnsi="Athiti" w:cs="Athiti"/>
          <w:lang w:val="cs-CZ"/>
        </w:rPr>
        <w:t>Přehodnocení rizikové kategorie klienta je prováděno pravidelně s četností v závislosti na rizikovém ratingu klienta. Pravidelné přehodnocování se provádí podle následujícího harmonogramu:</w:t>
      </w:r>
    </w:p>
    <w:p w:rsidR="00766C3E" w:rsidRPr="004A470F" w:rsidRDefault="00766C3E" w:rsidP="00766C3E">
      <w:pPr>
        <w:pStyle w:val="normal"/>
        <w:spacing w:after="0" w:line="240" w:lineRule="auto"/>
        <w:rPr>
          <w:rFonts w:ascii="Athiti" w:eastAsia="Athiti" w:hAnsi="Athiti" w:cs="Athiti"/>
          <w:lang w:val="cs-CZ"/>
        </w:rPr>
      </w:pPr>
    </w:p>
    <w:tbl>
      <w:tblPr>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2"/>
        <w:gridCol w:w="6230"/>
      </w:tblGrid>
      <w:tr w:rsidR="00766C3E" w:rsidRPr="004A470F" w:rsidTr="00DC1C05">
        <w:trPr>
          <w:cantSplit/>
          <w:tblHeader/>
        </w:trPr>
        <w:tc>
          <w:tcPr>
            <w:tcW w:w="2832"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Kategorie rizika klienta</w:t>
            </w:r>
          </w:p>
        </w:tc>
        <w:tc>
          <w:tcPr>
            <w:tcW w:w="6230"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Frekvence přehodnocení</w:t>
            </w:r>
          </w:p>
        </w:tc>
      </w:tr>
      <w:tr w:rsidR="00766C3E" w:rsidRPr="004A470F" w:rsidTr="00DC1C05">
        <w:trPr>
          <w:cantSplit/>
          <w:tblHeader/>
        </w:trPr>
        <w:tc>
          <w:tcPr>
            <w:tcW w:w="2832"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Kategorie A.</w:t>
            </w:r>
          </w:p>
        </w:tc>
        <w:tc>
          <w:tcPr>
            <w:tcW w:w="6230"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každých 36 měsíců</w:t>
            </w:r>
          </w:p>
        </w:tc>
      </w:tr>
      <w:tr w:rsidR="00766C3E" w:rsidRPr="004A470F" w:rsidTr="00DC1C05">
        <w:trPr>
          <w:cantSplit/>
          <w:tblHeader/>
        </w:trPr>
        <w:tc>
          <w:tcPr>
            <w:tcW w:w="2832"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Kategorie A-</w:t>
            </w:r>
          </w:p>
        </w:tc>
        <w:tc>
          <w:tcPr>
            <w:tcW w:w="6230"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Každých 30 měsíců</w:t>
            </w:r>
          </w:p>
        </w:tc>
      </w:tr>
      <w:tr w:rsidR="00766C3E" w:rsidRPr="004A470F" w:rsidTr="00DC1C05">
        <w:trPr>
          <w:cantSplit/>
          <w:tblHeader/>
        </w:trPr>
        <w:tc>
          <w:tcPr>
            <w:tcW w:w="2832"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Kategorie B.</w:t>
            </w:r>
          </w:p>
        </w:tc>
        <w:tc>
          <w:tcPr>
            <w:tcW w:w="6230"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každých 24 měsíců</w:t>
            </w:r>
          </w:p>
        </w:tc>
      </w:tr>
      <w:tr w:rsidR="00766C3E" w:rsidRPr="004A470F" w:rsidTr="00DC1C05">
        <w:trPr>
          <w:cantSplit/>
          <w:tblHeader/>
        </w:trPr>
        <w:tc>
          <w:tcPr>
            <w:tcW w:w="2832"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Kategorie C.</w:t>
            </w:r>
          </w:p>
        </w:tc>
        <w:tc>
          <w:tcPr>
            <w:tcW w:w="6230"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každých 12 měsíců</w:t>
            </w:r>
          </w:p>
        </w:tc>
      </w:tr>
      <w:tr w:rsidR="00766C3E" w:rsidRPr="004A470F" w:rsidTr="00DC1C05">
        <w:trPr>
          <w:cantSplit/>
          <w:tblHeader/>
        </w:trPr>
        <w:tc>
          <w:tcPr>
            <w:tcW w:w="2832"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Kategorie D.</w:t>
            </w:r>
          </w:p>
        </w:tc>
        <w:tc>
          <w:tcPr>
            <w:tcW w:w="6230"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 xml:space="preserve">Pokud je klient na základě výsledků pravidelného nebo nepravidelného přehodnocení přeřazen do této kategorie, </w:t>
            </w:r>
            <w:r w:rsidR="004A470F" w:rsidRPr="004A470F">
              <w:rPr>
                <w:rFonts w:ascii="Athiti" w:eastAsia="Athiti" w:hAnsi="Athiti" w:cs="Athiti"/>
                <w:lang w:val="cs-CZ"/>
              </w:rPr>
              <w:t>ZMAN - KESEF</w:t>
            </w:r>
            <w:r w:rsidRPr="004A470F">
              <w:rPr>
                <w:rFonts w:ascii="Athiti" w:eastAsia="Athiti" w:hAnsi="Athiti" w:cs="Athiti"/>
                <w:lang w:val="cs-CZ"/>
              </w:rPr>
              <w:t xml:space="preserve"> s.r.o. ukončí obchodní vztahy s klientem.</w:t>
            </w:r>
          </w:p>
        </w:tc>
      </w:tr>
    </w:tbl>
    <w:p w:rsidR="00766C3E" w:rsidRPr="004A470F" w:rsidRDefault="00766C3E" w:rsidP="00766C3E">
      <w:pPr>
        <w:pStyle w:val="Heading3"/>
        <w:ind w:left="0" w:hanging="2"/>
        <w:rPr>
          <w:rFonts w:ascii="Athiti" w:eastAsia="Athiti" w:hAnsi="Athiti" w:cs="Athiti"/>
          <w:b w:val="0"/>
          <w:sz w:val="22"/>
        </w:rPr>
      </w:pPr>
      <w:bookmarkStart w:id="55" w:name="_heading=h.1ksv4uv" w:colFirst="0" w:colLast="0"/>
      <w:bookmarkEnd w:id="55"/>
    </w:p>
    <w:p w:rsidR="00766C3E" w:rsidRPr="004A470F" w:rsidRDefault="00766C3E" w:rsidP="00766C3E">
      <w:pPr>
        <w:pStyle w:val="Heading3"/>
        <w:ind w:left="0" w:hanging="2"/>
        <w:rPr>
          <w:rFonts w:ascii="Athiti" w:eastAsia="Athiti" w:hAnsi="Athiti" w:cs="Athiti"/>
          <w:b w:val="0"/>
        </w:rPr>
      </w:pPr>
      <w:bookmarkStart w:id="56" w:name="_Toc204266966"/>
      <w:r w:rsidRPr="004A470F">
        <w:rPr>
          <w:rFonts w:ascii="Athiti" w:eastAsia="Athiti" w:hAnsi="Athiti" w:cs="Athiti"/>
          <w:b w:val="0"/>
          <w:sz w:val="22"/>
        </w:rPr>
        <w:t>4.2.4. Vzhled a zmírnění specifických rizikových faktorů</w:t>
      </w:r>
      <w:bookmarkEnd w:id="56"/>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9"/>
        <w:gridCol w:w="4646"/>
      </w:tblGrid>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TYP RIZIKA</w:t>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ZMÍRŇOVACÍ AKCE</w:t>
            </w:r>
          </w:p>
        </w:tc>
      </w:tr>
      <w:tr w:rsidR="00766C3E" w:rsidRPr="004A470F" w:rsidTr="00DC1C05">
        <w:trPr>
          <w:cantSplit/>
          <w:tblHeader/>
          <w:jc w:val="center"/>
        </w:trPr>
        <w:tc>
          <w:tcPr>
            <w:tcW w:w="9065" w:type="dxa"/>
            <w:gridSpan w:val="2"/>
            <w:tcBorders>
              <w:top w:val="single" w:sz="4" w:space="0" w:color="000000"/>
              <w:left w:val="single" w:sz="4" w:space="0" w:color="000000"/>
              <w:bottom w:val="single" w:sz="4" w:space="0" w:color="000000"/>
              <w:right w:val="single" w:sz="4" w:space="0" w:color="000000"/>
            </w:tcBorders>
            <w:shd w:val="clear" w:color="auto" w:fill="5B9BD5"/>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Riziko klientů</w:t>
            </w:r>
          </w:p>
        </w:tc>
      </w:tr>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Riziko země na základě původu klienta</w:t>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Manuální ovládání, sledování transakcí</w:t>
            </w:r>
          </w:p>
        </w:tc>
      </w:tr>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lastRenderedPageBreak/>
              <w:t>Riziko plynoucí z netransparentní nebo komplikované vlastnické struktury</w:t>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 xml:space="preserve">Riziko je sníženo zvýšenou hloubkovou kontrolou klienta, informacemi o vlastnické struktuře obdrženými od klienta a šetřením </w:t>
            </w:r>
            <w:r w:rsidR="004A470F" w:rsidRPr="004A470F">
              <w:rPr>
                <w:rFonts w:ascii="Athiti" w:eastAsia="Athiti" w:hAnsi="Athiti" w:cs="Athiti"/>
                <w:lang w:val="cs-CZ"/>
              </w:rPr>
              <w:t>ZMAN - KESEF</w:t>
            </w:r>
            <w:r w:rsidRPr="004A470F">
              <w:rPr>
                <w:rFonts w:ascii="Athiti" w:eastAsia="Athiti" w:hAnsi="Athiti" w:cs="Athiti"/>
                <w:lang w:val="cs-CZ"/>
              </w:rPr>
              <w:t xml:space="preserve"> s.r.o. za účelem potvrzení informací o klientovi. Posouzení, zda má vlastnická struktura smysl v souvislosti s předmětem podnikání</w:t>
            </w:r>
          </w:p>
        </w:tc>
      </w:tr>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Právnická osoba, svěřenský fond nebo jiné právní uspořádání bez právní subjektivity je osobním nástrojem držby majetku</w:t>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 xml:space="preserve">Požadované prohlášení skutečného majitele a požadavek identifikace členů statutárního orgánu, šetření provedené </w:t>
            </w:r>
            <w:r w:rsidR="004A470F" w:rsidRPr="004A470F">
              <w:rPr>
                <w:rFonts w:ascii="Athiti" w:eastAsia="Athiti" w:hAnsi="Athiti" w:cs="Athiti"/>
                <w:lang w:val="cs-CZ"/>
              </w:rPr>
              <w:t>ZMAN - KESEF</w:t>
            </w:r>
            <w:r w:rsidRPr="004A470F">
              <w:rPr>
                <w:rFonts w:ascii="Athiti" w:eastAsia="Athiti" w:hAnsi="Athiti" w:cs="Athiti"/>
                <w:lang w:val="cs-CZ"/>
              </w:rPr>
              <w:t xml:space="preserve"> s.r.o. pro potvrzení informací získaných od klienta.</w:t>
            </w:r>
          </w:p>
        </w:tc>
      </w:tr>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Klientem je korporace, ve které mohou jednat pověření akcionáři nebo společníci nebo která vydává akcie na doručitele</w:t>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 xml:space="preserve">Požadované prohlášení skutečných vlastníků, identifikace jednajících osob, šetření provedené </w:t>
            </w:r>
            <w:r w:rsidR="004A470F" w:rsidRPr="004A470F">
              <w:rPr>
                <w:rFonts w:ascii="Athiti" w:eastAsia="Athiti" w:hAnsi="Athiti" w:cs="Athiti"/>
                <w:lang w:val="cs-CZ"/>
              </w:rPr>
              <w:t>ZMAN - KESEF</w:t>
            </w:r>
            <w:r w:rsidRPr="004A470F">
              <w:rPr>
                <w:rFonts w:ascii="Athiti" w:eastAsia="Athiti" w:hAnsi="Athiti" w:cs="Athiti"/>
                <w:lang w:val="cs-CZ"/>
              </w:rPr>
              <w:t xml:space="preserve"> s.r.o. k potvrzení informací získaných od klienta.</w:t>
            </w:r>
          </w:p>
        </w:tc>
      </w:tr>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ŘÍZ</w:t>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Riziko je sníženo použitím externích stínících systémů .</w:t>
            </w:r>
          </w:p>
        </w:tc>
      </w:tr>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Riziko vyplývající z předmětu podnikání</w:t>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Je definován seznam vysoce rizikových činností</w:t>
            </w:r>
          </w:p>
        </w:tc>
      </w:tr>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Klient je/byl vyšetřován policií/FAU</w:t>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Zvýšený rizikový faktor zjištěný v RSC</w:t>
            </w:r>
          </w:p>
        </w:tc>
      </w:tr>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Došlé platby od nespojených subjektů</w:t>
            </w:r>
            <w:r w:rsidRPr="004A470F">
              <w:rPr>
                <w:rFonts w:ascii="Athiti" w:eastAsia="Athiti" w:hAnsi="Athiti" w:cs="Athiti"/>
                <w:lang w:val="cs-CZ"/>
              </w:rPr>
              <w:br/>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Informace o hlavních protistranách jsou požadovány před navázáním obchodních vztahů</w:t>
            </w:r>
          </w:p>
        </w:tc>
      </w:tr>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Riziko partnerské země</w:t>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Kontrola protistran klienta vůči „černým listinám“ prostřednictvím externího screeningového systému , v případě pochybností dodatečné informace vyžádané od klienta</w:t>
            </w:r>
          </w:p>
        </w:tc>
      </w:tr>
      <w:tr w:rsidR="00766C3E" w:rsidRPr="004A470F" w:rsidTr="00DC1C05">
        <w:trPr>
          <w:cantSplit/>
          <w:tblHeader/>
          <w:jc w:val="center"/>
        </w:trPr>
        <w:tc>
          <w:tcPr>
            <w:tcW w:w="9065" w:type="dxa"/>
            <w:gridSpan w:val="2"/>
            <w:tcBorders>
              <w:top w:val="single" w:sz="4" w:space="0" w:color="000000"/>
              <w:left w:val="single" w:sz="4" w:space="0" w:color="000000"/>
              <w:bottom w:val="single" w:sz="4" w:space="0" w:color="000000"/>
              <w:right w:val="single" w:sz="4" w:space="0" w:color="000000"/>
            </w:tcBorders>
            <w:shd w:val="clear" w:color="auto" w:fill="5B9BD5"/>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Riziko operací klientů</w:t>
            </w:r>
          </w:p>
        </w:tc>
      </w:tr>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Došlé platby od nespojených subjektů</w:t>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Manuální kontrola na základě informací poskytnutých klientem</w:t>
            </w:r>
          </w:p>
        </w:tc>
      </w:tr>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Riziko partnerské země</w:t>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Spravováno ručně při onboardingu a automaticky při průběžné due diligence plateb klienta ( externí screeningový systém ).</w:t>
            </w:r>
          </w:p>
        </w:tc>
      </w:tr>
      <w:tr w:rsidR="00766C3E" w:rsidRPr="004A470F" w:rsidTr="00DC1C05">
        <w:trPr>
          <w:cantSplit/>
          <w:tblHeader/>
          <w:jc w:val="center"/>
        </w:trPr>
        <w:tc>
          <w:tcPr>
            <w:tcW w:w="4419"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Platby podle podezřelých scénářů</w:t>
            </w:r>
          </w:p>
        </w:tc>
        <w:tc>
          <w:tcPr>
            <w:tcW w:w="4646" w:type="dxa"/>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Použití interního systému k detekci podezřelých transakcí</w:t>
            </w:r>
          </w:p>
        </w:tc>
      </w:tr>
      <w:tr w:rsidR="00766C3E" w:rsidRPr="004A470F" w:rsidTr="00DC1C05">
        <w:trPr>
          <w:cantSplit/>
          <w:tblHeader/>
          <w:jc w:val="center"/>
        </w:trPr>
        <w:tc>
          <w:tcPr>
            <w:tcW w:w="9065" w:type="dxa"/>
            <w:gridSpan w:val="2"/>
            <w:tcBorders>
              <w:top w:val="single" w:sz="4" w:space="0" w:color="000000"/>
              <w:left w:val="single" w:sz="4" w:space="0" w:color="000000"/>
              <w:bottom w:val="single" w:sz="4" w:space="0" w:color="000000"/>
              <w:right w:val="single" w:sz="4" w:space="0" w:color="000000"/>
            </w:tcBorders>
            <w:shd w:val="clear" w:color="auto" w:fill="5B9BD5"/>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Obecné faktory zmírňující riziko</w:t>
            </w:r>
          </w:p>
        </w:tc>
      </w:tr>
      <w:tr w:rsidR="00766C3E" w:rsidRPr="004A470F" w:rsidTr="00DC1C05">
        <w:trPr>
          <w:cantSplit/>
          <w:tblHeader/>
          <w:jc w:val="center"/>
        </w:trPr>
        <w:tc>
          <w:tcPr>
            <w:tcW w:w="9065" w:type="dxa"/>
            <w:gridSpan w:val="2"/>
            <w:tcBorders>
              <w:top w:val="single" w:sz="4" w:space="0" w:color="000000"/>
              <w:left w:val="single" w:sz="4" w:space="0" w:color="000000"/>
              <w:bottom w:val="single" w:sz="4" w:space="0" w:color="000000"/>
              <w:right w:val="single" w:sz="4" w:space="0" w:color="000000"/>
            </w:tcBorders>
          </w:tcPr>
          <w:p w:rsidR="00766C3E" w:rsidRPr="004A470F" w:rsidRDefault="004A470F" w:rsidP="00DC1C05">
            <w:pPr>
              <w:pStyle w:val="normal"/>
              <w:ind w:hanging="2"/>
              <w:rPr>
                <w:rFonts w:ascii="Athiti" w:eastAsia="Athiti" w:hAnsi="Athiti" w:cs="Athiti"/>
                <w:lang w:val="cs-CZ"/>
              </w:rPr>
            </w:pPr>
            <w:r w:rsidRPr="004A470F">
              <w:rPr>
                <w:rFonts w:ascii="Athiti" w:eastAsia="Athiti" w:hAnsi="Athiti" w:cs="Athiti"/>
                <w:lang w:val="cs-CZ"/>
              </w:rPr>
              <w:t>ZMAN - KESEF</w:t>
            </w:r>
            <w:r w:rsidR="00766C3E" w:rsidRPr="004A470F">
              <w:rPr>
                <w:rFonts w:ascii="Athiti" w:eastAsia="Athiti" w:hAnsi="Athiti" w:cs="Athiti"/>
                <w:lang w:val="cs-CZ"/>
              </w:rPr>
              <w:t xml:space="preserve"> s.r.o. nepodniká mimo smluvní vztah, takže každý klient prochází procesem identifikace a kontroly</w:t>
            </w:r>
          </w:p>
        </w:tc>
      </w:tr>
      <w:tr w:rsidR="00766C3E" w:rsidRPr="004A470F" w:rsidTr="00DC1C05">
        <w:trPr>
          <w:cantSplit/>
          <w:tblHeader/>
          <w:jc w:val="center"/>
        </w:trPr>
        <w:tc>
          <w:tcPr>
            <w:tcW w:w="9065" w:type="dxa"/>
            <w:gridSpan w:val="2"/>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Každý klient prochází AML risk scoringem a následně podstupuje pravidelné monitorování</w:t>
            </w:r>
          </w:p>
        </w:tc>
      </w:tr>
      <w:tr w:rsidR="00766C3E" w:rsidRPr="004A470F" w:rsidTr="00DC1C05">
        <w:trPr>
          <w:cantSplit/>
          <w:tblHeader/>
          <w:jc w:val="center"/>
        </w:trPr>
        <w:tc>
          <w:tcPr>
            <w:tcW w:w="9065" w:type="dxa"/>
            <w:gridSpan w:val="2"/>
            <w:tcBorders>
              <w:top w:val="single" w:sz="4" w:space="0" w:color="000000"/>
              <w:left w:val="single" w:sz="4" w:space="0" w:color="000000"/>
              <w:bottom w:val="single" w:sz="4" w:space="0" w:color="000000"/>
              <w:right w:val="single" w:sz="4" w:space="0" w:color="000000"/>
            </w:tcBorders>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 xml:space="preserve">Veškeré transakce na účtech klientů ve </w:t>
            </w:r>
            <w:r w:rsidR="004A470F" w:rsidRPr="004A470F">
              <w:rPr>
                <w:rFonts w:ascii="Athiti" w:eastAsia="Athiti" w:hAnsi="Athiti" w:cs="Athiti"/>
                <w:lang w:val="cs-CZ"/>
              </w:rPr>
              <w:t>ZMAN - KESEF</w:t>
            </w:r>
            <w:r w:rsidRPr="004A470F">
              <w:rPr>
                <w:rFonts w:ascii="Athiti" w:eastAsia="Athiti" w:hAnsi="Athiti" w:cs="Athiti"/>
                <w:lang w:val="cs-CZ"/>
              </w:rPr>
              <w:t xml:space="preserve"> s.r.o. jsou automaticky monitorovány externím screeningovým systémem.</w:t>
            </w:r>
          </w:p>
        </w:tc>
      </w:tr>
    </w:tbl>
    <w:p w:rsidR="00766C3E" w:rsidRPr="004A470F" w:rsidRDefault="00766C3E" w:rsidP="00766C3E">
      <w:pPr>
        <w:pStyle w:val="normal"/>
        <w:spacing w:after="0" w:line="240" w:lineRule="auto"/>
        <w:rPr>
          <w:rFonts w:ascii="Athiti" w:eastAsia="Athiti" w:hAnsi="Athiti" w:cs="Athiti"/>
          <w:sz w:val="26"/>
          <w:szCs w:val="26"/>
          <w:lang w:val="cs-CZ"/>
        </w:rPr>
      </w:pPr>
    </w:p>
    <w:p w:rsidR="00766C3E" w:rsidRPr="004A470F" w:rsidRDefault="00766C3E" w:rsidP="00766C3E">
      <w:pPr>
        <w:pStyle w:val="Heading3"/>
        <w:ind w:left="0" w:hanging="2"/>
        <w:rPr>
          <w:rFonts w:ascii="Athiti" w:eastAsia="Athiti" w:hAnsi="Athiti" w:cs="Athiti"/>
          <w:b w:val="0"/>
        </w:rPr>
      </w:pPr>
      <w:bookmarkStart w:id="57" w:name="_Toc204266967"/>
      <w:r w:rsidRPr="004A470F">
        <w:rPr>
          <w:rFonts w:ascii="Athiti" w:eastAsia="Athiti" w:hAnsi="Athiti" w:cs="Athiti"/>
          <w:b w:val="0"/>
          <w:sz w:val="22"/>
        </w:rPr>
        <w:lastRenderedPageBreak/>
        <w:t>4.2.5. Řízení vnitřních a zbytkových rizik</w:t>
      </w:r>
      <w:bookmarkEnd w:id="57"/>
    </w:p>
    <w:p w:rsidR="00766C3E" w:rsidRPr="004A470F" w:rsidRDefault="00766C3E" w:rsidP="00766C3E">
      <w:pPr>
        <w:pStyle w:val="normal"/>
        <w:jc w:val="both"/>
        <w:rPr>
          <w:rFonts w:ascii="Athiti" w:eastAsia="Athiti" w:hAnsi="Athiti" w:cs="Athiti"/>
          <w:lang w:val="cs-CZ"/>
        </w:rPr>
      </w:pPr>
      <w:r w:rsidRPr="004A470F">
        <w:rPr>
          <w:rFonts w:ascii="Athiti" w:eastAsia="Athiti" w:hAnsi="Athiti" w:cs="Athiti"/>
          <w:lang w:val="cs-CZ"/>
        </w:rPr>
        <w:t xml:space="preserve">Inherentní (příchozí) a zbytkové (zbývající) řízení rizik ML/TF jsou nedílnou součástí přístupu </w:t>
      </w:r>
      <w:r w:rsidR="004A470F" w:rsidRPr="004A470F">
        <w:rPr>
          <w:rFonts w:ascii="Athiti" w:eastAsia="Athiti" w:hAnsi="Athiti" w:cs="Athiti"/>
          <w:lang w:val="cs-CZ"/>
        </w:rPr>
        <w:t>ZMAN - KESEF</w:t>
      </w:r>
      <w:r w:rsidRPr="004A470F">
        <w:rPr>
          <w:rFonts w:ascii="Athiti" w:eastAsia="Athiti" w:hAnsi="Athiti" w:cs="Athiti"/>
          <w:lang w:val="cs-CZ"/>
        </w:rPr>
        <w:t xml:space="preserve"> s.r.o. založeného na riziku. Inherentní riziko se posuzuje pomocí praktických postupů hodnocení rizik uvedených výše, především pomocí Risk Scorecard (RSC), který vypočítává vlastní skóre rizika ML/TF pro každého klienta.</w:t>
      </w:r>
    </w:p>
    <w:p w:rsidR="00766C3E" w:rsidRPr="004A470F" w:rsidRDefault="00766C3E" w:rsidP="00766C3E">
      <w:pPr>
        <w:pStyle w:val="normal"/>
        <w:jc w:val="both"/>
        <w:rPr>
          <w:rFonts w:ascii="Athiti" w:eastAsia="Athiti" w:hAnsi="Athiti" w:cs="Athiti"/>
          <w:lang w:val="cs-CZ"/>
        </w:rPr>
      </w:pPr>
      <w:r w:rsidRPr="004A470F">
        <w:rPr>
          <w:rFonts w:ascii="Athiti" w:eastAsia="Athiti" w:hAnsi="Athiti" w:cs="Athiti"/>
          <w:lang w:val="cs-CZ"/>
        </w:rPr>
        <w:t xml:space="preserve">Jakmile je stanovena úroveň inherentního rizika, </w:t>
      </w:r>
      <w:r w:rsidR="004A470F" w:rsidRPr="004A470F">
        <w:rPr>
          <w:rFonts w:ascii="Athiti" w:eastAsia="Athiti" w:hAnsi="Athiti" w:cs="Athiti"/>
          <w:lang w:val="cs-CZ"/>
        </w:rPr>
        <w:t>ZMAN - KESEF</w:t>
      </w:r>
      <w:r w:rsidRPr="004A470F">
        <w:rPr>
          <w:rFonts w:ascii="Athiti" w:eastAsia="Athiti" w:hAnsi="Athiti" w:cs="Athiti"/>
          <w:lang w:val="cs-CZ"/>
        </w:rPr>
        <w:t xml:space="preserve"> s.r.o. může zavést vhodná kontrolní opatření k účinnému zmírnění příchozího rizika. Obecný přístup k řízení inherentních a zbytkových rizik lze ilustrovat následovně:</w:t>
      </w:r>
    </w:p>
    <w:tbl>
      <w:tblPr>
        <w:tblW w:w="9072" w:type="dxa"/>
        <w:jc w:val="center"/>
        <w:tblBorders>
          <w:top w:val="nil"/>
          <w:left w:val="nil"/>
          <w:bottom w:val="nil"/>
          <w:right w:val="nil"/>
          <w:insideH w:val="nil"/>
          <w:insideV w:val="nil"/>
        </w:tblBorders>
        <w:tblLayout w:type="fixed"/>
        <w:tblLook w:val="0000"/>
      </w:tblPr>
      <w:tblGrid>
        <w:gridCol w:w="3115"/>
        <w:gridCol w:w="483"/>
        <w:gridCol w:w="3243"/>
        <w:gridCol w:w="483"/>
        <w:gridCol w:w="1748"/>
      </w:tblGrid>
      <w:tr w:rsidR="00766C3E" w:rsidRPr="004A470F" w:rsidTr="00DC1C05">
        <w:trPr>
          <w:cantSplit/>
          <w:tblHeader/>
          <w:jc w:val="center"/>
        </w:trPr>
        <w:tc>
          <w:tcPr>
            <w:tcW w:w="3115" w:type="dxa"/>
            <w:shd w:val="clear" w:color="auto" w:fill="B4C6E7"/>
            <w:vAlign w:val="center"/>
          </w:tcPr>
          <w:p w:rsidR="00766C3E" w:rsidRPr="004A470F" w:rsidRDefault="00766C3E" w:rsidP="00DC1C05">
            <w:pPr>
              <w:pStyle w:val="normal"/>
              <w:ind w:hanging="2"/>
              <w:jc w:val="center"/>
              <w:rPr>
                <w:rFonts w:ascii="Athiti" w:eastAsia="Athiti" w:hAnsi="Athiti" w:cs="Athiti"/>
                <w:color w:val="1F3864"/>
                <w:lang w:val="cs-CZ"/>
              </w:rPr>
            </w:pPr>
            <w:r w:rsidRPr="004A470F">
              <w:rPr>
                <w:rFonts w:ascii="Athiti" w:eastAsia="Athiti" w:hAnsi="Athiti" w:cs="Athiti"/>
                <w:color w:val="1F3864"/>
                <w:lang w:val="cs-CZ"/>
              </w:rPr>
              <w:t>Inherentní riziko</w:t>
            </w:r>
          </w:p>
        </w:tc>
        <w:tc>
          <w:tcPr>
            <w:tcW w:w="483" w:type="dxa"/>
            <w:shd w:val="clear" w:color="auto" w:fill="auto"/>
            <w:vAlign w:val="center"/>
          </w:tcPr>
          <w:p w:rsidR="00766C3E" w:rsidRPr="004A470F" w:rsidRDefault="00766C3E" w:rsidP="00DC1C05">
            <w:pPr>
              <w:pStyle w:val="normal"/>
              <w:ind w:left="2" w:hanging="4"/>
              <w:jc w:val="center"/>
              <w:rPr>
                <w:rFonts w:ascii="Athiti" w:eastAsia="Athiti" w:hAnsi="Athiti" w:cs="Athiti"/>
                <w:sz w:val="40"/>
                <w:szCs w:val="40"/>
                <w:lang w:val="cs-CZ"/>
              </w:rPr>
            </w:pPr>
            <w:r w:rsidRPr="004A470F">
              <w:rPr>
                <w:rFonts w:ascii="Athiti" w:eastAsia="Athiti" w:hAnsi="Athiti" w:cs="Athiti"/>
                <w:sz w:val="40"/>
                <w:szCs w:val="40"/>
                <w:lang w:val="cs-CZ"/>
              </w:rPr>
              <w:t>-</w:t>
            </w:r>
          </w:p>
        </w:tc>
        <w:tc>
          <w:tcPr>
            <w:tcW w:w="3243" w:type="dxa"/>
            <w:shd w:val="clear" w:color="auto" w:fill="B4C6E7"/>
            <w:vAlign w:val="center"/>
          </w:tcPr>
          <w:p w:rsidR="00766C3E" w:rsidRPr="004A470F" w:rsidRDefault="00766C3E" w:rsidP="00DC1C05">
            <w:pPr>
              <w:pStyle w:val="normal"/>
              <w:ind w:hanging="2"/>
              <w:jc w:val="center"/>
              <w:rPr>
                <w:rFonts w:ascii="Athiti" w:eastAsia="Athiti" w:hAnsi="Athiti" w:cs="Athiti"/>
                <w:color w:val="1F3864"/>
                <w:lang w:val="cs-CZ"/>
              </w:rPr>
            </w:pPr>
            <w:r w:rsidRPr="004A470F">
              <w:rPr>
                <w:rFonts w:ascii="Athiti" w:eastAsia="Athiti" w:hAnsi="Athiti" w:cs="Athiti"/>
                <w:color w:val="1F3864"/>
                <w:lang w:val="cs-CZ"/>
              </w:rPr>
              <w:t>Kontrolní opatření</w:t>
            </w:r>
          </w:p>
        </w:tc>
        <w:tc>
          <w:tcPr>
            <w:tcW w:w="483" w:type="dxa"/>
            <w:shd w:val="clear" w:color="auto" w:fill="auto"/>
            <w:vAlign w:val="center"/>
          </w:tcPr>
          <w:p w:rsidR="00766C3E" w:rsidRPr="004A470F" w:rsidRDefault="00766C3E" w:rsidP="00DC1C05">
            <w:pPr>
              <w:pStyle w:val="normal"/>
              <w:ind w:left="2" w:hanging="4"/>
              <w:jc w:val="center"/>
              <w:rPr>
                <w:rFonts w:ascii="Athiti" w:eastAsia="Athiti" w:hAnsi="Athiti" w:cs="Athiti"/>
                <w:sz w:val="40"/>
                <w:szCs w:val="40"/>
                <w:lang w:val="cs-CZ"/>
              </w:rPr>
            </w:pPr>
            <w:r w:rsidRPr="004A470F">
              <w:rPr>
                <w:rFonts w:ascii="Athiti" w:eastAsia="Athiti" w:hAnsi="Athiti" w:cs="Athiti"/>
                <w:color w:val="4472C4"/>
                <w:sz w:val="40"/>
                <w:szCs w:val="40"/>
                <w:lang w:val="cs-CZ"/>
              </w:rPr>
              <w:t>=</w:t>
            </w:r>
          </w:p>
        </w:tc>
        <w:tc>
          <w:tcPr>
            <w:tcW w:w="1748" w:type="dxa"/>
            <w:shd w:val="clear" w:color="auto" w:fill="B4C6E7"/>
            <w:vAlign w:val="center"/>
          </w:tcPr>
          <w:p w:rsidR="00766C3E" w:rsidRPr="004A470F" w:rsidRDefault="00766C3E" w:rsidP="00DC1C05">
            <w:pPr>
              <w:pStyle w:val="normal"/>
              <w:ind w:hanging="2"/>
              <w:jc w:val="center"/>
              <w:rPr>
                <w:rFonts w:ascii="Athiti" w:eastAsia="Athiti" w:hAnsi="Athiti" w:cs="Athiti"/>
                <w:color w:val="1F3864"/>
                <w:lang w:val="cs-CZ"/>
              </w:rPr>
            </w:pPr>
            <w:r w:rsidRPr="004A470F">
              <w:rPr>
                <w:rFonts w:ascii="Athiti" w:eastAsia="Athiti" w:hAnsi="Athiti" w:cs="Athiti"/>
                <w:color w:val="1F3864"/>
                <w:lang w:val="cs-CZ"/>
              </w:rPr>
              <w:t>Zbytkové riziko</w:t>
            </w:r>
          </w:p>
        </w:tc>
      </w:tr>
    </w:tbl>
    <w:p w:rsidR="00766C3E" w:rsidRPr="004A470F" w:rsidRDefault="00766C3E" w:rsidP="00766C3E">
      <w:pPr>
        <w:pStyle w:val="normal"/>
        <w:spacing w:after="0" w:line="240" w:lineRule="auto"/>
        <w:jc w:val="both"/>
        <w:rPr>
          <w:rFonts w:ascii="Athiti" w:eastAsia="Athiti" w:hAnsi="Athiti" w:cs="Athiti"/>
          <w:lang w:val="cs-CZ"/>
        </w:rPr>
      </w:pPr>
      <w:r w:rsidRPr="004A470F">
        <w:rPr>
          <w:rFonts w:ascii="Athiti" w:eastAsia="Athiti" w:hAnsi="Athiti" w:cs="Athiti"/>
          <w:lang w:val="cs-CZ"/>
        </w:rPr>
        <w:br/>
        <w:t>Inherentní riziko je efektivně řízeno a v podstatě redukováno pomocí následujících kontrolních opatření:</w:t>
      </w:r>
    </w:p>
    <w:p w:rsidR="00766C3E" w:rsidRPr="004A470F" w:rsidRDefault="00766C3E" w:rsidP="00766C3E">
      <w:pPr>
        <w:pStyle w:val="normal"/>
        <w:numPr>
          <w:ilvl w:val="0"/>
          <w:numId w:val="20"/>
        </w:numPr>
        <w:tabs>
          <w:tab w:val="left" w:pos="425"/>
        </w:tabs>
        <w:spacing w:after="0" w:line="240" w:lineRule="auto"/>
        <w:rPr>
          <w:rFonts w:ascii="Athiti" w:eastAsia="Athiti" w:hAnsi="Athiti" w:cs="Athiti"/>
          <w:lang w:val="cs-CZ"/>
        </w:rPr>
      </w:pPr>
      <w:r w:rsidRPr="004A470F">
        <w:rPr>
          <w:rFonts w:ascii="Athiti" w:eastAsia="Athiti" w:hAnsi="Athiti" w:cs="Athiti"/>
          <w:lang w:val="cs-CZ"/>
        </w:rPr>
        <w:t>uplatňování zvýšené due diligence vůči klientům se zvýšenou mírou inherentních rizik;</w:t>
      </w:r>
    </w:p>
    <w:p w:rsidR="00766C3E" w:rsidRPr="004A470F" w:rsidRDefault="00766C3E" w:rsidP="00766C3E">
      <w:pPr>
        <w:pStyle w:val="normal"/>
        <w:numPr>
          <w:ilvl w:val="0"/>
          <w:numId w:val="20"/>
        </w:numPr>
        <w:tabs>
          <w:tab w:val="left" w:pos="425"/>
        </w:tabs>
        <w:spacing w:after="0" w:line="240" w:lineRule="auto"/>
        <w:rPr>
          <w:rFonts w:ascii="Athiti" w:eastAsia="Athiti" w:hAnsi="Athiti" w:cs="Athiti"/>
          <w:lang w:val="cs-CZ"/>
        </w:rPr>
      </w:pPr>
      <w:r w:rsidRPr="004A470F">
        <w:rPr>
          <w:rFonts w:ascii="Athiti" w:eastAsia="Athiti" w:hAnsi="Athiti" w:cs="Athiti"/>
          <w:lang w:val="cs-CZ"/>
        </w:rPr>
        <w:t>pravidelné a událostmi řízené kontroly due diligence KYC se vztahovaly na všechny klienty. Četnost kontrol přímo závisí na úrovni inherentního rizika klienta;</w:t>
      </w:r>
    </w:p>
    <w:p w:rsidR="00766C3E" w:rsidRPr="004A470F" w:rsidRDefault="00766C3E" w:rsidP="00766C3E">
      <w:pPr>
        <w:pStyle w:val="normal"/>
        <w:numPr>
          <w:ilvl w:val="0"/>
          <w:numId w:val="20"/>
        </w:numPr>
        <w:tabs>
          <w:tab w:val="left" w:pos="425"/>
        </w:tabs>
        <w:spacing w:after="0" w:line="240" w:lineRule="auto"/>
        <w:rPr>
          <w:rFonts w:ascii="Athiti" w:eastAsia="Athiti" w:hAnsi="Athiti" w:cs="Athiti"/>
          <w:lang w:val="cs-CZ"/>
        </w:rPr>
      </w:pPr>
      <w:r w:rsidRPr="004A470F">
        <w:rPr>
          <w:rFonts w:ascii="Athiti" w:eastAsia="Athiti" w:hAnsi="Athiti" w:cs="Athiti"/>
          <w:lang w:val="cs-CZ"/>
        </w:rPr>
        <w:t>Aplikace softwaru pro automatizované monitorování transakcí pro monitorování a hodnocení transakcí klienta;</w:t>
      </w:r>
    </w:p>
    <w:p w:rsidR="00766C3E" w:rsidRPr="004A470F" w:rsidRDefault="00766C3E" w:rsidP="00766C3E">
      <w:pPr>
        <w:pStyle w:val="normal"/>
        <w:numPr>
          <w:ilvl w:val="0"/>
          <w:numId w:val="20"/>
        </w:numPr>
        <w:tabs>
          <w:tab w:val="left" w:pos="425"/>
        </w:tabs>
        <w:spacing w:after="0" w:line="240" w:lineRule="auto"/>
        <w:rPr>
          <w:rFonts w:ascii="Athiti" w:eastAsia="Athiti" w:hAnsi="Athiti" w:cs="Athiti"/>
          <w:lang w:val="cs-CZ"/>
        </w:rPr>
      </w:pPr>
      <w:r w:rsidRPr="004A470F">
        <w:rPr>
          <w:rFonts w:ascii="Athiti" w:eastAsia="Athiti" w:hAnsi="Athiti" w:cs="Athiti"/>
          <w:lang w:val="cs-CZ"/>
        </w:rPr>
        <w:t xml:space="preserve">aplikace automatizovaného softwaru pro prověřování sankcí ( </w:t>
      </w:r>
      <w:r w:rsidRPr="004A470F">
        <w:rPr>
          <w:rFonts w:ascii="Athiti" w:eastAsia="Athiti" w:hAnsi="Athiti" w:cs="Athiti"/>
          <w:sz w:val="21"/>
          <w:szCs w:val="21"/>
          <w:lang w:val="cs-CZ"/>
        </w:rPr>
        <w:t xml:space="preserve">externí prověřovací systém </w:t>
      </w:r>
      <w:r w:rsidRPr="004A470F">
        <w:rPr>
          <w:rFonts w:ascii="Athiti" w:eastAsia="Athiti" w:hAnsi="Athiti" w:cs="Athiti"/>
          <w:lang w:val="cs-CZ"/>
        </w:rPr>
        <w:t>) ke sledování a prevenci transakcí se sankcionovanými protistranami.</w:t>
      </w:r>
    </w:p>
    <w:p w:rsidR="00766C3E" w:rsidRPr="004A470F" w:rsidRDefault="00766C3E" w:rsidP="00766C3E">
      <w:pPr>
        <w:pStyle w:val="Heading2"/>
        <w:spacing w:before="280" w:after="280"/>
        <w:ind w:left="0" w:hanging="2"/>
        <w:rPr>
          <w:rFonts w:ascii="Athiti" w:eastAsia="Athiti" w:hAnsi="Athiti" w:cs="Athiti" w:hint="default"/>
          <w:i w:val="0"/>
          <w:sz w:val="24"/>
          <w:szCs w:val="24"/>
          <w:lang w:val="cs-CZ"/>
        </w:rPr>
      </w:pPr>
      <w:bookmarkStart w:id="58" w:name="_Toc204266968"/>
      <w:r w:rsidRPr="004A470F">
        <w:rPr>
          <w:rFonts w:ascii="Athiti" w:eastAsia="Athiti" w:hAnsi="Athiti" w:cs="Athiti" w:hint="default"/>
          <w:i w:val="0"/>
          <w:sz w:val="24"/>
          <w:szCs w:val="24"/>
          <w:lang w:val="cs-CZ"/>
        </w:rPr>
        <w:t>4.3. Kvalitativní a kvantitativní hodnocení rizik</w:t>
      </w:r>
      <w:bookmarkEnd w:id="58"/>
    </w:p>
    <w:p w:rsidR="00766C3E" w:rsidRPr="004A470F" w:rsidRDefault="00766C3E" w:rsidP="00766C3E">
      <w:pPr>
        <w:pStyle w:val="Heading3"/>
        <w:ind w:left="0" w:hanging="2"/>
        <w:rPr>
          <w:rFonts w:ascii="Athiti" w:eastAsia="Athiti" w:hAnsi="Athiti" w:cs="Athiti"/>
          <w:b w:val="0"/>
          <w:sz w:val="22"/>
        </w:rPr>
      </w:pPr>
      <w:bookmarkStart w:id="59" w:name="_Toc204266969"/>
      <w:r w:rsidRPr="004A470F">
        <w:rPr>
          <w:rFonts w:ascii="Athiti" w:eastAsia="Athiti" w:hAnsi="Athiti" w:cs="Athiti"/>
          <w:b w:val="0"/>
          <w:sz w:val="22"/>
        </w:rPr>
        <w:t>4.3.1. Kvalitativní hodnocení rizik</w:t>
      </w:r>
      <w:bookmarkEnd w:id="59"/>
    </w:p>
    <w:p w:rsidR="00766C3E" w:rsidRPr="004A470F" w:rsidRDefault="00766C3E" w:rsidP="00766C3E">
      <w:pPr>
        <w:pStyle w:val="normal"/>
        <w:spacing w:after="0" w:line="240" w:lineRule="auto"/>
        <w:jc w:val="both"/>
        <w:rPr>
          <w:rFonts w:ascii="Athiti" w:eastAsia="Athiti" w:hAnsi="Athiti" w:cs="Athiti"/>
          <w:lang w:val="cs-CZ"/>
        </w:rPr>
      </w:pPr>
      <w:r w:rsidRPr="004A470F">
        <w:rPr>
          <w:rFonts w:ascii="Athiti" w:eastAsia="Athiti" w:hAnsi="Athiti" w:cs="Athiti"/>
          <w:lang w:val="cs-CZ"/>
        </w:rPr>
        <w:t>Kvalitativní hodnocení rizik představuje hodnocení kvalitativních ukazatelů rizik souvisejících s řízením rizik ML/TF. V rámci kvalitativního hodnocení rizik byly hodnoceny následující ukazatele:</w:t>
      </w:r>
    </w:p>
    <w:p w:rsidR="00766C3E" w:rsidRPr="004A470F" w:rsidRDefault="00766C3E" w:rsidP="00766C3E">
      <w:pPr>
        <w:pStyle w:val="normal"/>
        <w:numPr>
          <w:ilvl w:val="0"/>
          <w:numId w:val="18"/>
        </w:numPr>
        <w:spacing w:after="0" w:line="240" w:lineRule="auto"/>
        <w:jc w:val="both"/>
        <w:rPr>
          <w:rFonts w:ascii="Athiti" w:eastAsia="Athiti" w:hAnsi="Athiti" w:cs="Athiti"/>
          <w:lang w:val="cs-CZ"/>
        </w:rPr>
      </w:pPr>
      <w:r w:rsidRPr="004A470F">
        <w:rPr>
          <w:rFonts w:ascii="Athiti" w:eastAsia="Athiti" w:hAnsi="Athiti" w:cs="Athiti"/>
          <w:lang w:val="cs-CZ"/>
        </w:rPr>
        <w:t>Úroveň formalizace vnitřního systému řízení AML rizik včetně vnitřních procesů a regulace;</w:t>
      </w:r>
    </w:p>
    <w:p w:rsidR="00766C3E" w:rsidRPr="004A470F" w:rsidRDefault="00766C3E" w:rsidP="00766C3E">
      <w:pPr>
        <w:pStyle w:val="normal"/>
        <w:numPr>
          <w:ilvl w:val="0"/>
          <w:numId w:val="18"/>
        </w:numPr>
        <w:spacing w:after="0" w:line="240" w:lineRule="auto"/>
        <w:jc w:val="both"/>
        <w:rPr>
          <w:rFonts w:ascii="Athiti" w:eastAsia="Athiti" w:hAnsi="Athiti" w:cs="Athiti"/>
          <w:lang w:val="cs-CZ"/>
        </w:rPr>
      </w:pPr>
      <w:r w:rsidRPr="004A470F">
        <w:rPr>
          <w:rFonts w:ascii="Athiti" w:eastAsia="Athiti" w:hAnsi="Athiti" w:cs="Athiti"/>
          <w:lang w:val="cs-CZ"/>
        </w:rPr>
        <w:t>Úroveň automatizace vnitřních kontrol a kvalita implementovaných softwarových řešení;</w:t>
      </w:r>
    </w:p>
    <w:p w:rsidR="00766C3E" w:rsidRPr="004A470F" w:rsidRDefault="00766C3E" w:rsidP="00766C3E">
      <w:pPr>
        <w:pStyle w:val="normal"/>
        <w:numPr>
          <w:ilvl w:val="0"/>
          <w:numId w:val="18"/>
        </w:numPr>
        <w:spacing w:after="0" w:line="240" w:lineRule="auto"/>
        <w:jc w:val="both"/>
        <w:rPr>
          <w:rFonts w:ascii="Athiti" w:eastAsia="Athiti" w:hAnsi="Athiti" w:cs="Athiti"/>
          <w:lang w:val="cs-CZ"/>
        </w:rPr>
      </w:pPr>
      <w:r w:rsidRPr="004A470F">
        <w:rPr>
          <w:rFonts w:ascii="Athiti" w:eastAsia="Athiti" w:hAnsi="Athiti" w:cs="Athiti"/>
          <w:lang w:val="cs-CZ"/>
        </w:rPr>
        <w:t xml:space="preserve">Úroveň kultury dodržování pravidel AML a integrita zaměstnanců </w:t>
      </w:r>
      <w:r w:rsidR="004A470F" w:rsidRPr="004A470F">
        <w:rPr>
          <w:rFonts w:ascii="Athiti" w:eastAsia="Athiti" w:hAnsi="Athiti" w:cs="Athiti"/>
          <w:lang w:val="cs-CZ"/>
        </w:rPr>
        <w:t>ZMAN - KESEF</w:t>
      </w:r>
      <w:r w:rsidRPr="004A470F">
        <w:rPr>
          <w:rFonts w:ascii="Athiti" w:eastAsia="Athiti" w:hAnsi="Athiti" w:cs="Athiti"/>
          <w:lang w:val="cs-CZ"/>
        </w:rPr>
        <w:t xml:space="preserve"> s.r.o. ;</w:t>
      </w:r>
    </w:p>
    <w:p w:rsidR="00766C3E" w:rsidRPr="004A470F" w:rsidRDefault="00766C3E" w:rsidP="00766C3E">
      <w:pPr>
        <w:pStyle w:val="normal"/>
        <w:numPr>
          <w:ilvl w:val="0"/>
          <w:numId w:val="18"/>
        </w:numPr>
        <w:spacing w:after="0" w:line="240" w:lineRule="auto"/>
        <w:jc w:val="both"/>
        <w:rPr>
          <w:rFonts w:ascii="Athiti" w:eastAsia="Athiti" w:hAnsi="Athiti" w:cs="Athiti"/>
          <w:lang w:val="cs-CZ"/>
        </w:rPr>
      </w:pPr>
      <w:r w:rsidRPr="004A470F">
        <w:rPr>
          <w:rFonts w:ascii="Athiti" w:eastAsia="Athiti" w:hAnsi="Athiti" w:cs="Athiti"/>
          <w:lang w:val="cs-CZ"/>
        </w:rPr>
        <w:t xml:space="preserve">Efektivita spolupráce mezi Compliance a front office odděleními </w:t>
      </w:r>
      <w:r w:rsidR="004A470F" w:rsidRPr="004A470F">
        <w:rPr>
          <w:rFonts w:ascii="Athiti" w:eastAsia="Athiti" w:hAnsi="Athiti" w:cs="Athiti"/>
          <w:lang w:val="cs-CZ"/>
        </w:rPr>
        <w:t>ZMAN - KESEF</w:t>
      </w:r>
      <w:r w:rsidRPr="004A470F">
        <w:rPr>
          <w:rFonts w:ascii="Athiti" w:eastAsia="Athiti" w:hAnsi="Athiti" w:cs="Athiti"/>
          <w:lang w:val="cs-CZ"/>
        </w:rPr>
        <w:t xml:space="preserve"> s.r.o. ;</w:t>
      </w:r>
    </w:p>
    <w:p w:rsidR="00766C3E" w:rsidRPr="004A470F" w:rsidRDefault="00766C3E" w:rsidP="00766C3E">
      <w:pPr>
        <w:pStyle w:val="normal"/>
        <w:numPr>
          <w:ilvl w:val="0"/>
          <w:numId w:val="18"/>
        </w:numPr>
        <w:spacing w:after="0" w:line="240" w:lineRule="auto"/>
        <w:jc w:val="both"/>
        <w:rPr>
          <w:rFonts w:ascii="Athiti" w:eastAsia="Athiti" w:hAnsi="Athiti" w:cs="Athiti"/>
          <w:lang w:val="cs-CZ"/>
        </w:rPr>
      </w:pPr>
      <w:r w:rsidRPr="004A470F">
        <w:rPr>
          <w:rFonts w:ascii="Athiti" w:eastAsia="Athiti" w:hAnsi="Athiti" w:cs="Athiti"/>
          <w:lang w:val="cs-CZ"/>
        </w:rPr>
        <w:t>Kvalita integrace principu „tří linií obrany“ do každodenní obchodní činnosti;</w:t>
      </w:r>
    </w:p>
    <w:p w:rsidR="00766C3E" w:rsidRPr="004A470F" w:rsidRDefault="00766C3E" w:rsidP="00766C3E">
      <w:pPr>
        <w:pStyle w:val="normal"/>
        <w:numPr>
          <w:ilvl w:val="0"/>
          <w:numId w:val="18"/>
        </w:numPr>
        <w:spacing w:after="0" w:line="240" w:lineRule="auto"/>
        <w:jc w:val="both"/>
        <w:rPr>
          <w:rFonts w:ascii="Athiti" w:eastAsia="Athiti" w:hAnsi="Athiti" w:cs="Athiti"/>
          <w:lang w:val="cs-CZ"/>
        </w:rPr>
      </w:pPr>
      <w:r w:rsidRPr="004A470F">
        <w:rPr>
          <w:rFonts w:ascii="Athiti" w:eastAsia="Athiti" w:hAnsi="Athiti" w:cs="Athiti"/>
          <w:lang w:val="cs-CZ"/>
        </w:rPr>
        <w:t>Kvalita spolupráce s regulátorem.</w:t>
      </w:r>
    </w:p>
    <w:p w:rsidR="00766C3E" w:rsidRPr="004A470F" w:rsidRDefault="00766C3E" w:rsidP="00766C3E">
      <w:pPr>
        <w:pStyle w:val="normal"/>
        <w:spacing w:after="0" w:line="240" w:lineRule="auto"/>
        <w:jc w:val="both"/>
        <w:rPr>
          <w:rFonts w:ascii="Athiti" w:eastAsia="Athiti" w:hAnsi="Athiti" w:cs="Athiti"/>
          <w:lang w:val="cs-CZ"/>
        </w:rPr>
      </w:pPr>
    </w:p>
    <w:p w:rsidR="00766C3E" w:rsidRPr="004A470F" w:rsidRDefault="00766C3E" w:rsidP="00766C3E">
      <w:pPr>
        <w:pStyle w:val="normal"/>
        <w:spacing w:after="0" w:line="240" w:lineRule="auto"/>
        <w:jc w:val="both"/>
        <w:rPr>
          <w:rFonts w:ascii="Athiti" w:eastAsia="Athiti" w:hAnsi="Athiti" w:cs="Athiti"/>
          <w:lang w:val="cs-CZ"/>
        </w:rPr>
      </w:pPr>
      <w:r w:rsidRPr="004A470F">
        <w:rPr>
          <w:rFonts w:ascii="Athiti" w:eastAsia="Athiti" w:hAnsi="Athiti" w:cs="Athiti"/>
          <w:lang w:val="cs-CZ"/>
        </w:rPr>
        <w:t>Kvalitativní hodnocení rizik se provádí pomocí deskriptivních škál, jako je „nízká, střední a vysoká“. I když kvalitativní hodnocení může být méně přesné než kvantitativní, stále nabízí cenný směr při předběžné identifikaci rizik v celé organizaci.</w:t>
      </w:r>
    </w:p>
    <w:p w:rsidR="00766C3E" w:rsidRPr="004A470F" w:rsidRDefault="00766C3E" w:rsidP="00766C3E">
      <w:pPr>
        <w:pStyle w:val="normal"/>
        <w:spacing w:after="0" w:line="240" w:lineRule="auto"/>
        <w:jc w:val="both"/>
        <w:rPr>
          <w:rFonts w:ascii="Athiti" w:eastAsia="Athiti" w:hAnsi="Athiti" w:cs="Athiti"/>
          <w:lang w:val="cs-CZ"/>
        </w:rPr>
      </w:pP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6"/>
        <w:gridCol w:w="1164"/>
        <w:gridCol w:w="5028"/>
      </w:tblGrid>
      <w:tr w:rsidR="00766C3E" w:rsidRPr="004A470F" w:rsidTr="00DC1C05">
        <w:trPr>
          <w:cantSplit/>
          <w:tblHeader/>
        </w:trPr>
        <w:tc>
          <w:tcPr>
            <w:tcW w:w="3096"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Kvalitativní ukazatele rizika</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Úroveň rizika</w:t>
            </w:r>
          </w:p>
        </w:tc>
        <w:tc>
          <w:tcPr>
            <w:tcW w:w="5028"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Popisné hodnocení</w:t>
            </w:r>
          </w:p>
        </w:tc>
      </w:tr>
      <w:tr w:rsidR="00766C3E" w:rsidRPr="004A470F" w:rsidTr="00DC1C05">
        <w:trPr>
          <w:cantSplit/>
          <w:tblHeader/>
        </w:trPr>
        <w:tc>
          <w:tcPr>
            <w:tcW w:w="309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Formalizace vnitřního systému řízení AML rizik včetně vnitřních procesů a regulace</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 xml:space="preserve">Vnitřní systém řízení rizik AML včetně vnitřních procesů a regulace </w:t>
            </w:r>
            <w:r w:rsidR="004A470F" w:rsidRPr="004A470F">
              <w:rPr>
                <w:rFonts w:ascii="Athiti" w:eastAsia="Athiti" w:hAnsi="Athiti" w:cs="Athiti"/>
                <w:lang w:val="cs-CZ"/>
              </w:rPr>
              <w:t>ZMAN - KESEF</w:t>
            </w:r>
            <w:r w:rsidRPr="004A470F">
              <w:rPr>
                <w:rFonts w:ascii="Athiti" w:eastAsia="Athiti" w:hAnsi="Athiti" w:cs="Athiti"/>
                <w:lang w:val="cs-CZ"/>
              </w:rPr>
              <w:t xml:space="preserve"> s.r.o. je řádně formalizován v podobě písemného Systému vnitřních pravidel pro předcházení praní špinavých peněz a financování terorismu.</w:t>
            </w:r>
          </w:p>
        </w:tc>
      </w:tr>
      <w:tr w:rsidR="00766C3E" w:rsidRPr="004A470F" w:rsidTr="00DC1C05">
        <w:trPr>
          <w:cantSplit/>
          <w:tblHeader/>
        </w:trPr>
        <w:tc>
          <w:tcPr>
            <w:tcW w:w="309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Automatizace vnitřních kontrol a kvalita implementovaných softwarových řešení</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Vnitřní kontroly používané pro řízení a zmírňování rizik praní peněz a financování terorismu jsou řádně automatizovány pomocí vlastních softwarových řešení a externích screeningových systémů .</w:t>
            </w:r>
          </w:p>
        </w:tc>
      </w:tr>
      <w:tr w:rsidR="00766C3E" w:rsidRPr="004A470F" w:rsidTr="00DC1C05">
        <w:trPr>
          <w:cantSplit/>
          <w:tblHeader/>
        </w:trPr>
        <w:tc>
          <w:tcPr>
            <w:tcW w:w="309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lastRenderedPageBreak/>
              <w:t xml:space="preserve">Kultura dodržování pravidel AML a integrita zaměstnanců </w:t>
            </w:r>
            <w:r w:rsidR="004A470F" w:rsidRPr="004A470F">
              <w:rPr>
                <w:rFonts w:ascii="Athiti" w:eastAsia="Athiti" w:hAnsi="Athiti" w:cs="Athiti"/>
                <w:lang w:val="cs-CZ"/>
              </w:rPr>
              <w:t>ZMAN - KESEF</w:t>
            </w:r>
            <w:r w:rsidRPr="004A470F">
              <w:rPr>
                <w:rFonts w:ascii="Athiti" w:eastAsia="Athiti" w:hAnsi="Athiti" w:cs="Athiti"/>
                <w:lang w:val="cs-CZ"/>
              </w:rPr>
              <w:t xml:space="preserve"> s.r.o.</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4A470F" w:rsidP="00DC1C05">
            <w:pPr>
              <w:pStyle w:val="normal"/>
              <w:ind w:hanging="2"/>
              <w:jc w:val="both"/>
              <w:rPr>
                <w:rFonts w:ascii="Athiti" w:eastAsia="Athiti" w:hAnsi="Athiti" w:cs="Athiti"/>
                <w:lang w:val="cs-CZ"/>
              </w:rPr>
            </w:pPr>
            <w:r w:rsidRPr="004A470F">
              <w:rPr>
                <w:rFonts w:ascii="Athiti" w:eastAsia="Athiti" w:hAnsi="Athiti" w:cs="Athiti"/>
                <w:lang w:val="cs-CZ"/>
              </w:rPr>
              <w:t>ZMAN - KESEF</w:t>
            </w:r>
            <w:r w:rsidR="00766C3E" w:rsidRPr="004A470F">
              <w:rPr>
                <w:rFonts w:ascii="Athiti" w:eastAsia="Athiti" w:hAnsi="Athiti" w:cs="Athiti"/>
                <w:lang w:val="cs-CZ"/>
              </w:rPr>
              <w:t xml:space="preserve"> s.r.o. má vysokou úroveň kultury dodržování pravidel AML a integrity. Vedení </w:t>
            </w:r>
            <w:r w:rsidRPr="004A470F">
              <w:rPr>
                <w:rFonts w:ascii="Athiti" w:eastAsia="Athiti" w:hAnsi="Athiti" w:cs="Athiti"/>
                <w:lang w:val="cs-CZ"/>
              </w:rPr>
              <w:t>ZMAN - KESEF</w:t>
            </w:r>
            <w:r w:rsidR="00766C3E" w:rsidRPr="004A470F">
              <w:rPr>
                <w:rFonts w:ascii="Athiti" w:eastAsia="Athiti" w:hAnsi="Athiti" w:cs="Athiti"/>
                <w:lang w:val="cs-CZ"/>
              </w:rPr>
              <w:t xml:space="preserve"> s.r.o. se ujímá vedení k nastavení a uplatňování správné úrovně kultury dodržování pravidel AML a integrity mezi zaměstnanci.</w:t>
            </w:r>
          </w:p>
        </w:tc>
      </w:tr>
      <w:tr w:rsidR="00766C3E" w:rsidRPr="004A470F" w:rsidTr="00DC1C05">
        <w:trPr>
          <w:cantSplit/>
          <w:tblHeader/>
        </w:trPr>
        <w:tc>
          <w:tcPr>
            <w:tcW w:w="309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 xml:space="preserve">Efektivita spolupráce mezi Compliance funkcí a front office odděleními </w:t>
            </w:r>
            <w:r w:rsidR="004A470F" w:rsidRPr="004A470F">
              <w:rPr>
                <w:rFonts w:ascii="Athiti" w:eastAsia="Athiti" w:hAnsi="Athiti" w:cs="Athiti"/>
                <w:lang w:val="cs-CZ"/>
              </w:rPr>
              <w:t>ZMAN - KESEF</w:t>
            </w:r>
            <w:r w:rsidRPr="004A470F">
              <w:rPr>
                <w:rFonts w:ascii="Athiti" w:eastAsia="Athiti" w:hAnsi="Athiti" w:cs="Athiti"/>
                <w:lang w:val="cs-CZ"/>
              </w:rPr>
              <w:t xml:space="preserve"> s.r.o.</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 xml:space="preserve">Vzhledem k malé velikosti </w:t>
            </w:r>
            <w:r w:rsidR="004A470F" w:rsidRPr="004A470F">
              <w:rPr>
                <w:rFonts w:ascii="Athiti" w:eastAsia="Athiti" w:hAnsi="Athiti" w:cs="Athiti"/>
                <w:lang w:val="cs-CZ"/>
              </w:rPr>
              <w:t>ZMAN - KESEF</w:t>
            </w:r>
            <w:r w:rsidRPr="004A470F">
              <w:rPr>
                <w:rFonts w:ascii="Athiti" w:eastAsia="Athiti" w:hAnsi="Athiti" w:cs="Athiti"/>
                <w:lang w:val="cs-CZ"/>
              </w:rPr>
              <w:t xml:space="preserve"> s.r.o. je spolupráce mezi Compliance a odděleními front office vysoce efektivní a probíhá na denní bázi.</w:t>
            </w:r>
          </w:p>
        </w:tc>
      </w:tr>
      <w:tr w:rsidR="00766C3E" w:rsidRPr="004A470F" w:rsidTr="00DC1C05">
        <w:trPr>
          <w:cantSplit/>
          <w:tblHeader/>
        </w:trPr>
        <w:tc>
          <w:tcPr>
            <w:tcW w:w="309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Kvalita integrace principu „tří linií obrany“ do každodenní obchodní činnosti</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4A470F" w:rsidP="00DC1C05">
            <w:pPr>
              <w:pStyle w:val="normal"/>
              <w:ind w:hanging="2"/>
              <w:jc w:val="both"/>
              <w:rPr>
                <w:rFonts w:ascii="Athiti" w:eastAsia="Athiti" w:hAnsi="Athiti" w:cs="Athiti"/>
                <w:lang w:val="cs-CZ"/>
              </w:rPr>
            </w:pPr>
            <w:r w:rsidRPr="004A470F">
              <w:rPr>
                <w:rFonts w:ascii="Athiti" w:eastAsia="Athiti" w:hAnsi="Athiti" w:cs="Athiti"/>
                <w:lang w:val="cs-CZ"/>
              </w:rPr>
              <w:t>ZMAN - KESEF</w:t>
            </w:r>
            <w:r w:rsidR="00766C3E" w:rsidRPr="004A470F">
              <w:rPr>
                <w:rFonts w:ascii="Athiti" w:eastAsia="Athiti" w:hAnsi="Athiti" w:cs="Athiti"/>
                <w:lang w:val="cs-CZ"/>
              </w:rPr>
              <w:t xml:space="preserve"> s.r.o. řádně zavedl princip „tří obranných linií“ do každodenní obchodní činnosti. Obchodní oddělení jsou první linií obrany, Compliance je druhou a interní auditor je třetí.</w:t>
            </w:r>
          </w:p>
        </w:tc>
      </w:tr>
      <w:tr w:rsidR="00766C3E" w:rsidRPr="004A470F" w:rsidTr="00DC1C05">
        <w:trPr>
          <w:cantSplit/>
          <w:tblHeader/>
        </w:trPr>
        <w:tc>
          <w:tcPr>
            <w:tcW w:w="309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Kvalita spolupráce s regulátorem</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4A470F" w:rsidP="00DC1C05">
            <w:pPr>
              <w:pStyle w:val="normal"/>
              <w:ind w:hanging="2"/>
              <w:jc w:val="both"/>
              <w:rPr>
                <w:rFonts w:ascii="Athiti" w:eastAsia="Athiti" w:hAnsi="Athiti" w:cs="Athiti"/>
                <w:lang w:val="cs-CZ"/>
              </w:rPr>
            </w:pPr>
            <w:r w:rsidRPr="004A470F">
              <w:rPr>
                <w:rFonts w:ascii="Athiti" w:eastAsia="Athiti" w:hAnsi="Athiti" w:cs="Athiti"/>
                <w:lang w:val="cs-CZ"/>
              </w:rPr>
              <w:t>ZMAN - KESEF</w:t>
            </w:r>
            <w:r w:rsidR="00766C3E" w:rsidRPr="004A470F">
              <w:rPr>
                <w:rFonts w:ascii="Athiti" w:eastAsia="Athiti" w:hAnsi="Athiti" w:cs="Athiti"/>
                <w:lang w:val="cs-CZ"/>
              </w:rPr>
              <w:t xml:space="preserve"> s.r.o. spolupracuje s místním regulátorem proaktivním a efektivním způsobem. Všechny požadavky jsou zodpovězeny včas a ve správné kvalitě.</w:t>
            </w:r>
          </w:p>
        </w:tc>
      </w:tr>
    </w:tbl>
    <w:p w:rsidR="00766C3E" w:rsidRPr="004A470F" w:rsidRDefault="00766C3E" w:rsidP="00766C3E">
      <w:pPr>
        <w:pStyle w:val="Heading3"/>
        <w:ind w:left="0" w:hanging="2"/>
        <w:rPr>
          <w:rFonts w:ascii="Athiti" w:eastAsia="Athiti" w:hAnsi="Athiti" w:cs="Athiti"/>
          <w:b w:val="0"/>
          <w:sz w:val="22"/>
        </w:rPr>
      </w:pPr>
      <w:bookmarkStart w:id="60" w:name="_heading=h.5lc6zc5gcoie" w:colFirst="0" w:colLast="0"/>
      <w:bookmarkEnd w:id="60"/>
    </w:p>
    <w:p w:rsidR="00766C3E" w:rsidRPr="004A470F" w:rsidRDefault="00766C3E" w:rsidP="00766C3E">
      <w:pPr>
        <w:pStyle w:val="Heading3"/>
        <w:ind w:left="0" w:hanging="2"/>
        <w:rPr>
          <w:rFonts w:ascii="Athiti" w:eastAsia="Athiti" w:hAnsi="Athiti" w:cs="Athiti"/>
          <w:b w:val="0"/>
          <w:sz w:val="22"/>
        </w:rPr>
      </w:pPr>
      <w:bookmarkStart w:id="61" w:name="_Toc204266970"/>
      <w:r w:rsidRPr="004A470F">
        <w:rPr>
          <w:rFonts w:ascii="Athiti" w:eastAsia="Athiti" w:hAnsi="Athiti" w:cs="Athiti"/>
          <w:b w:val="0"/>
          <w:sz w:val="22"/>
        </w:rPr>
        <w:t>4.3.2. Kvantitativní hodnocení rizik</w:t>
      </w:r>
      <w:bookmarkEnd w:id="61"/>
    </w:p>
    <w:p w:rsidR="00766C3E" w:rsidRPr="004A470F" w:rsidRDefault="00766C3E" w:rsidP="00766C3E">
      <w:pPr>
        <w:pStyle w:val="normal"/>
        <w:spacing w:after="0" w:line="240" w:lineRule="auto"/>
        <w:jc w:val="both"/>
        <w:rPr>
          <w:rFonts w:ascii="Athiti" w:eastAsia="Athiti" w:hAnsi="Athiti" w:cs="Athiti"/>
          <w:lang w:val="cs-CZ"/>
        </w:rPr>
      </w:pPr>
      <w:r w:rsidRPr="004A470F">
        <w:rPr>
          <w:rFonts w:ascii="Athiti" w:eastAsia="Athiti" w:hAnsi="Athiti" w:cs="Athiti"/>
          <w:lang w:val="cs-CZ"/>
        </w:rPr>
        <w:t>Kvantitativní hodnocení rizika ML/TF se provádí na základě kvantitativních ukazatelů rizika ML/TF. Je nutné zmínit, že některé typy rizika ML/TF nemusí být kvantifikovatelné. V rámci kvantitativního hodnocení rizik byly hodnoceny následující ukazatele:</w:t>
      </w:r>
    </w:p>
    <w:p w:rsidR="00766C3E" w:rsidRPr="004A470F" w:rsidRDefault="00766C3E" w:rsidP="00766C3E">
      <w:pPr>
        <w:pStyle w:val="normal"/>
        <w:numPr>
          <w:ilvl w:val="0"/>
          <w:numId w:val="21"/>
        </w:numPr>
        <w:tabs>
          <w:tab w:val="left" w:pos="425"/>
        </w:tabs>
        <w:spacing w:after="0" w:line="240" w:lineRule="auto"/>
        <w:jc w:val="both"/>
        <w:rPr>
          <w:rFonts w:ascii="Athiti" w:eastAsia="Athiti" w:hAnsi="Athiti" w:cs="Athiti"/>
          <w:lang w:val="cs-CZ"/>
        </w:rPr>
      </w:pPr>
      <w:r w:rsidRPr="004A470F">
        <w:rPr>
          <w:rFonts w:ascii="Athiti" w:eastAsia="Athiti" w:hAnsi="Athiti" w:cs="Athiti"/>
          <w:lang w:val="cs-CZ"/>
        </w:rPr>
        <w:t>kvantitativní přiměřenost lidských zdrojů v rámci</w:t>
      </w:r>
    </w:p>
    <w:p w:rsidR="00766C3E" w:rsidRPr="004A470F" w:rsidRDefault="00766C3E" w:rsidP="00766C3E">
      <w:pPr>
        <w:pStyle w:val="normal"/>
        <w:numPr>
          <w:ilvl w:val="1"/>
          <w:numId w:val="21"/>
        </w:numPr>
        <w:tabs>
          <w:tab w:val="left" w:pos="425"/>
        </w:tabs>
        <w:spacing w:after="0" w:line="240" w:lineRule="auto"/>
        <w:jc w:val="both"/>
        <w:rPr>
          <w:rFonts w:ascii="Athiti" w:eastAsia="Athiti" w:hAnsi="Athiti" w:cs="Athiti"/>
          <w:lang w:val="cs-CZ"/>
        </w:rPr>
      </w:pPr>
      <w:r w:rsidRPr="004A470F">
        <w:rPr>
          <w:rFonts w:ascii="Athiti" w:eastAsia="Athiti" w:hAnsi="Athiti" w:cs="Athiti"/>
          <w:lang w:val="cs-CZ"/>
        </w:rPr>
        <w:t>funkce shody;</w:t>
      </w:r>
    </w:p>
    <w:p w:rsidR="00766C3E" w:rsidRPr="004A470F" w:rsidRDefault="00766C3E" w:rsidP="00766C3E">
      <w:pPr>
        <w:pStyle w:val="normal"/>
        <w:numPr>
          <w:ilvl w:val="1"/>
          <w:numId w:val="21"/>
        </w:numPr>
        <w:tabs>
          <w:tab w:val="left" w:pos="425"/>
        </w:tabs>
        <w:spacing w:after="0" w:line="240" w:lineRule="auto"/>
        <w:jc w:val="both"/>
        <w:rPr>
          <w:rFonts w:ascii="Athiti" w:eastAsia="Athiti" w:hAnsi="Athiti" w:cs="Athiti"/>
          <w:lang w:val="cs-CZ"/>
        </w:rPr>
      </w:pPr>
      <w:r w:rsidRPr="004A470F">
        <w:rPr>
          <w:rFonts w:ascii="Athiti" w:eastAsia="Athiti" w:hAnsi="Athiti" w:cs="Athiti"/>
          <w:lang w:val="cs-CZ"/>
        </w:rPr>
        <w:t>obchodní oddělení;</w:t>
      </w:r>
    </w:p>
    <w:p w:rsidR="00766C3E" w:rsidRPr="004A470F" w:rsidRDefault="00766C3E" w:rsidP="00766C3E">
      <w:pPr>
        <w:pStyle w:val="normal"/>
        <w:numPr>
          <w:ilvl w:val="1"/>
          <w:numId w:val="21"/>
        </w:numPr>
        <w:tabs>
          <w:tab w:val="left" w:pos="425"/>
        </w:tabs>
        <w:spacing w:after="0" w:line="240" w:lineRule="auto"/>
        <w:jc w:val="both"/>
        <w:rPr>
          <w:rFonts w:ascii="Athiti" w:eastAsia="Athiti" w:hAnsi="Athiti" w:cs="Athiti"/>
          <w:lang w:val="cs-CZ"/>
        </w:rPr>
      </w:pPr>
      <w:r w:rsidRPr="004A470F">
        <w:rPr>
          <w:rFonts w:ascii="Athiti" w:eastAsia="Athiti" w:hAnsi="Athiti" w:cs="Athiti"/>
          <w:lang w:val="cs-CZ"/>
        </w:rPr>
        <w:t>třetí obranná linie .</w:t>
      </w:r>
    </w:p>
    <w:p w:rsidR="00766C3E" w:rsidRPr="004A470F" w:rsidRDefault="00766C3E" w:rsidP="00766C3E">
      <w:pPr>
        <w:pStyle w:val="normal"/>
        <w:numPr>
          <w:ilvl w:val="0"/>
          <w:numId w:val="11"/>
        </w:numPr>
        <w:tabs>
          <w:tab w:val="left" w:pos="425"/>
        </w:tabs>
        <w:spacing w:after="0" w:line="240" w:lineRule="auto"/>
        <w:jc w:val="both"/>
        <w:rPr>
          <w:rFonts w:ascii="Athiti" w:eastAsia="Athiti" w:hAnsi="Athiti" w:cs="Athiti"/>
          <w:lang w:val="cs-CZ"/>
        </w:rPr>
      </w:pPr>
      <w:r w:rsidRPr="004A470F">
        <w:rPr>
          <w:rFonts w:ascii="Athiti" w:eastAsia="Athiti" w:hAnsi="Athiti" w:cs="Athiti"/>
          <w:lang w:val="cs-CZ"/>
        </w:rPr>
        <w:t>kvantitativní hodnocení interních systémů používaných pro řízení rizik ML/TF</w:t>
      </w:r>
    </w:p>
    <w:p w:rsidR="00766C3E" w:rsidRPr="004A470F" w:rsidRDefault="00766C3E" w:rsidP="00766C3E">
      <w:pPr>
        <w:pStyle w:val="normal"/>
        <w:numPr>
          <w:ilvl w:val="0"/>
          <w:numId w:val="17"/>
        </w:numPr>
        <w:tabs>
          <w:tab w:val="left" w:pos="425"/>
        </w:tabs>
        <w:spacing w:after="0" w:line="240" w:lineRule="auto"/>
        <w:jc w:val="both"/>
        <w:rPr>
          <w:rFonts w:ascii="Athiti" w:eastAsia="Athiti" w:hAnsi="Athiti" w:cs="Athiti"/>
          <w:lang w:val="cs-CZ"/>
        </w:rPr>
      </w:pPr>
      <w:r w:rsidRPr="004A470F">
        <w:rPr>
          <w:rFonts w:ascii="Athiti" w:eastAsia="Athiti" w:hAnsi="Athiti" w:cs="Athiti"/>
          <w:lang w:val="cs-CZ"/>
        </w:rPr>
        <w:t>kvantitativní hodnocení portfolia klientů.</w:t>
      </w:r>
    </w:p>
    <w:p w:rsidR="00766C3E" w:rsidRPr="004A470F" w:rsidRDefault="00766C3E" w:rsidP="00766C3E">
      <w:pPr>
        <w:pStyle w:val="normal"/>
        <w:spacing w:after="0" w:line="240" w:lineRule="auto"/>
        <w:jc w:val="both"/>
        <w:rPr>
          <w:rFonts w:ascii="Athiti" w:eastAsia="Athiti" w:hAnsi="Athiti" w:cs="Athiti"/>
          <w:lang w:val="cs-CZ"/>
        </w:rPr>
      </w:pPr>
    </w:p>
    <w:p w:rsidR="00766C3E" w:rsidRPr="004A470F" w:rsidRDefault="00766C3E" w:rsidP="00766C3E">
      <w:pPr>
        <w:pStyle w:val="normal"/>
        <w:spacing w:after="0" w:line="240" w:lineRule="auto"/>
        <w:jc w:val="both"/>
        <w:rPr>
          <w:rFonts w:ascii="Athiti" w:eastAsia="Athiti" w:hAnsi="Athiti" w:cs="Athiti"/>
          <w:lang w:val="cs-CZ"/>
        </w:rPr>
      </w:pPr>
      <w:r w:rsidRPr="004A470F">
        <w:rPr>
          <w:rFonts w:ascii="Athiti" w:eastAsia="Athiti" w:hAnsi="Athiti" w:cs="Athiti"/>
          <w:lang w:val="cs-CZ"/>
        </w:rPr>
        <w:t>Na rozdíl od kvalitativního hodnocení představuje kvantitativní hodnocení více číselné než deskriptivní hodnoty. Celková úroveň rizika je však popsána v pojmech „nízká, střední a vysoká“.</w:t>
      </w:r>
    </w:p>
    <w:p w:rsidR="00766C3E" w:rsidRPr="004A470F" w:rsidRDefault="00766C3E" w:rsidP="00766C3E">
      <w:pPr>
        <w:pStyle w:val="normal"/>
        <w:spacing w:after="0" w:line="240" w:lineRule="auto"/>
        <w:jc w:val="both"/>
        <w:rPr>
          <w:rFonts w:ascii="Athiti" w:eastAsia="Athiti" w:hAnsi="Athiti" w:cs="Athiti"/>
          <w:lang w:val="cs-CZ"/>
        </w:rPr>
      </w:pP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6"/>
        <w:gridCol w:w="1164"/>
        <w:gridCol w:w="5028"/>
      </w:tblGrid>
      <w:tr w:rsidR="00766C3E" w:rsidRPr="004A470F" w:rsidTr="00DC1C05">
        <w:trPr>
          <w:cantSplit/>
          <w:tblHeader/>
        </w:trPr>
        <w:tc>
          <w:tcPr>
            <w:tcW w:w="3096"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Kvantitativní ukazatele rizika</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Úroveň rizika</w:t>
            </w:r>
          </w:p>
        </w:tc>
        <w:tc>
          <w:tcPr>
            <w:tcW w:w="5028"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Popisné hodnocení</w:t>
            </w:r>
          </w:p>
        </w:tc>
      </w:tr>
      <w:tr w:rsidR="00766C3E" w:rsidRPr="004A470F" w:rsidTr="00DC1C05">
        <w:trPr>
          <w:cantSplit/>
          <w:tblHeader/>
        </w:trPr>
        <w:tc>
          <w:tcPr>
            <w:tcW w:w="3096"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Kvantitativní přiměřenost lidských zdrojů</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4A470F" w:rsidP="00DC1C05">
            <w:pPr>
              <w:pStyle w:val="normal"/>
              <w:ind w:hanging="2"/>
              <w:jc w:val="both"/>
              <w:rPr>
                <w:rFonts w:ascii="Athiti" w:eastAsia="Athiti" w:hAnsi="Athiti" w:cs="Athiti"/>
                <w:lang w:val="cs-CZ"/>
              </w:rPr>
            </w:pPr>
            <w:r w:rsidRPr="004A470F">
              <w:rPr>
                <w:rFonts w:ascii="Athiti" w:eastAsia="Athiti" w:hAnsi="Athiti" w:cs="Athiti"/>
                <w:lang w:val="cs-CZ"/>
              </w:rPr>
              <w:t>ZMAN - KESEF</w:t>
            </w:r>
            <w:r w:rsidR="00766C3E" w:rsidRPr="004A470F">
              <w:rPr>
                <w:rFonts w:ascii="Athiti" w:eastAsia="Athiti" w:hAnsi="Athiti" w:cs="Athiti"/>
                <w:lang w:val="cs-CZ"/>
              </w:rPr>
              <w:t xml:space="preserve"> s.r.o. má funkci kvalifikovaného AML úředníka</w:t>
            </w:r>
          </w:p>
        </w:tc>
      </w:tr>
      <w:tr w:rsidR="00766C3E" w:rsidRPr="004A470F" w:rsidTr="00DC1C05">
        <w:trPr>
          <w:cantSplit/>
          <w:tblHeader/>
        </w:trPr>
        <w:tc>
          <w:tcPr>
            <w:tcW w:w="3096" w:type="dxa"/>
          </w:tcPr>
          <w:p w:rsidR="00766C3E" w:rsidRPr="004A470F" w:rsidRDefault="00766C3E" w:rsidP="00DC1C05">
            <w:pPr>
              <w:pStyle w:val="normal"/>
              <w:ind w:hanging="2"/>
              <w:jc w:val="right"/>
              <w:rPr>
                <w:rFonts w:ascii="Athiti" w:eastAsia="Athiti" w:hAnsi="Athiti" w:cs="Athiti"/>
                <w:lang w:val="cs-CZ"/>
              </w:rPr>
            </w:pPr>
            <w:r w:rsidRPr="004A470F">
              <w:rPr>
                <w:rFonts w:ascii="Athiti" w:eastAsia="Athiti" w:hAnsi="Athiti" w:cs="Athiti"/>
                <w:lang w:val="cs-CZ"/>
              </w:rPr>
              <w:t>funkce shody</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 xml:space="preserve">se oddělení Compliance </w:t>
            </w:r>
            <w:r w:rsidR="004A470F" w:rsidRPr="004A470F">
              <w:rPr>
                <w:rFonts w:ascii="Athiti" w:eastAsia="Athiti" w:hAnsi="Athiti" w:cs="Athiti"/>
                <w:lang w:val="cs-CZ"/>
              </w:rPr>
              <w:t>ZMAN - KESEF</w:t>
            </w:r>
            <w:r w:rsidRPr="004A470F">
              <w:rPr>
                <w:rFonts w:ascii="Athiti" w:eastAsia="Athiti" w:hAnsi="Athiti" w:cs="Athiti"/>
                <w:lang w:val="cs-CZ"/>
              </w:rPr>
              <w:t xml:space="preserve"> s.r.o. skládá z 1 zaměstnance: AML Officer . Vzhledem k malému rozsahu podnikání </w:t>
            </w:r>
            <w:r w:rsidR="004A470F" w:rsidRPr="004A470F">
              <w:rPr>
                <w:rFonts w:ascii="Athiti" w:eastAsia="Athiti" w:hAnsi="Athiti" w:cs="Athiti"/>
                <w:lang w:val="cs-CZ"/>
              </w:rPr>
              <w:t>ZMAN - KESEF</w:t>
            </w:r>
            <w:r w:rsidRPr="004A470F">
              <w:rPr>
                <w:rFonts w:ascii="Athiti" w:eastAsia="Athiti" w:hAnsi="Athiti" w:cs="Athiti"/>
                <w:lang w:val="cs-CZ"/>
              </w:rPr>
              <w:t xml:space="preserve"> s.r.o. a absenci portfolia klientů je současný počet zaměstnanců v oddělení Compliance považován za dostatečný.</w:t>
            </w:r>
          </w:p>
        </w:tc>
      </w:tr>
      <w:tr w:rsidR="00766C3E" w:rsidRPr="004A470F" w:rsidTr="00DC1C05">
        <w:trPr>
          <w:cantSplit/>
          <w:tblHeader/>
        </w:trPr>
        <w:tc>
          <w:tcPr>
            <w:tcW w:w="3096" w:type="dxa"/>
          </w:tcPr>
          <w:p w:rsidR="00766C3E" w:rsidRPr="004A470F" w:rsidRDefault="00766C3E" w:rsidP="00DC1C05">
            <w:pPr>
              <w:pStyle w:val="normal"/>
              <w:ind w:hanging="2"/>
              <w:jc w:val="right"/>
              <w:rPr>
                <w:rFonts w:ascii="Athiti" w:eastAsia="Athiti" w:hAnsi="Athiti" w:cs="Athiti"/>
                <w:lang w:val="cs-CZ"/>
              </w:rPr>
            </w:pPr>
            <w:r w:rsidRPr="004A470F">
              <w:rPr>
                <w:rFonts w:ascii="Athiti" w:eastAsia="Athiti" w:hAnsi="Athiti" w:cs="Athiti"/>
                <w:lang w:val="cs-CZ"/>
              </w:rPr>
              <w:lastRenderedPageBreak/>
              <w:t>Obchodní oddělení</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Střední</w:t>
            </w:r>
          </w:p>
        </w:tc>
        <w:tc>
          <w:tcPr>
            <w:tcW w:w="5028"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Oddělení front office jsou považována za první obrannou linii v řízení rizik praní a financování terorismu. Mají své vlastní specifické povinnosti v oblasti AML/CFT, avšak v odděleních front office nejsou žádní zaměstnanci specializovaní na AML/CFT.</w:t>
            </w:r>
          </w:p>
        </w:tc>
      </w:tr>
      <w:tr w:rsidR="00766C3E" w:rsidRPr="004A470F" w:rsidTr="00DC1C05">
        <w:trPr>
          <w:cantSplit/>
          <w:tblHeader/>
        </w:trPr>
        <w:tc>
          <w:tcPr>
            <w:tcW w:w="3096" w:type="dxa"/>
          </w:tcPr>
          <w:p w:rsidR="00766C3E" w:rsidRPr="004A470F" w:rsidRDefault="00766C3E" w:rsidP="00DC1C05">
            <w:pPr>
              <w:pStyle w:val="normal"/>
              <w:ind w:hanging="2"/>
              <w:jc w:val="right"/>
              <w:rPr>
                <w:rFonts w:ascii="Athiti" w:eastAsia="Athiti" w:hAnsi="Athiti" w:cs="Athiti"/>
                <w:lang w:val="cs-CZ"/>
              </w:rPr>
            </w:pPr>
            <w:r w:rsidRPr="004A470F">
              <w:rPr>
                <w:rFonts w:ascii="Athiti" w:eastAsia="Athiti" w:hAnsi="Athiti" w:cs="Athiti"/>
                <w:lang w:val="cs-CZ"/>
              </w:rPr>
              <w:t>Třetí linie obrany</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 xml:space="preserve">Třetí linii obrany tvoří 1 interní auditor. Vzhledem k malému rozsahu podnikání </w:t>
            </w:r>
            <w:r w:rsidR="004A470F" w:rsidRPr="004A470F">
              <w:rPr>
                <w:rFonts w:ascii="Athiti" w:eastAsia="Athiti" w:hAnsi="Athiti" w:cs="Athiti"/>
                <w:lang w:val="cs-CZ"/>
              </w:rPr>
              <w:t>ZMAN - KESEF</w:t>
            </w:r>
            <w:r w:rsidRPr="004A470F">
              <w:rPr>
                <w:rFonts w:ascii="Athiti" w:eastAsia="Athiti" w:hAnsi="Athiti" w:cs="Athiti"/>
                <w:lang w:val="cs-CZ"/>
              </w:rPr>
              <w:t xml:space="preserve"> s.r.o. a omezenému portfoliu klientů je současný počet zaměstnanců ve třetí linii obrany považován za dostatečný.</w:t>
            </w:r>
          </w:p>
        </w:tc>
      </w:tr>
      <w:tr w:rsidR="00766C3E" w:rsidRPr="004A470F" w:rsidTr="00DC1C05">
        <w:trPr>
          <w:cantSplit/>
          <w:tblHeader/>
        </w:trPr>
        <w:tc>
          <w:tcPr>
            <w:tcW w:w="3096"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Kvantitativní hodnocení interních systémů používaných pro řízení rizik ML/TF</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766C3E" w:rsidP="00DC1C05">
            <w:pPr>
              <w:pStyle w:val="normal"/>
              <w:ind w:hanging="2"/>
              <w:jc w:val="both"/>
              <w:rPr>
                <w:rFonts w:ascii="Athiti" w:eastAsia="Athiti" w:hAnsi="Athiti" w:cs="Athiti"/>
                <w:lang w:val="cs-CZ"/>
              </w:rPr>
            </w:pPr>
          </w:p>
        </w:tc>
      </w:tr>
      <w:tr w:rsidR="00766C3E" w:rsidRPr="004A470F" w:rsidTr="00DC1C05">
        <w:trPr>
          <w:cantSplit/>
          <w:tblHeader/>
        </w:trPr>
        <w:tc>
          <w:tcPr>
            <w:tcW w:w="3096" w:type="dxa"/>
          </w:tcPr>
          <w:p w:rsidR="00766C3E" w:rsidRPr="004A470F" w:rsidRDefault="00766C3E" w:rsidP="00DC1C05">
            <w:pPr>
              <w:pStyle w:val="normal"/>
              <w:ind w:hanging="2"/>
              <w:jc w:val="right"/>
              <w:rPr>
                <w:rFonts w:ascii="Athiti" w:eastAsia="Athiti" w:hAnsi="Athiti" w:cs="Athiti"/>
                <w:lang w:val="cs-CZ"/>
              </w:rPr>
            </w:pPr>
          </w:p>
          <w:p w:rsidR="00766C3E" w:rsidRPr="004A470F" w:rsidRDefault="00766C3E" w:rsidP="00DC1C05">
            <w:pPr>
              <w:pStyle w:val="normal"/>
              <w:ind w:hanging="2"/>
              <w:jc w:val="right"/>
              <w:rPr>
                <w:rFonts w:ascii="Athiti" w:eastAsia="Athiti" w:hAnsi="Athiti" w:cs="Athiti"/>
                <w:lang w:val="cs-CZ"/>
              </w:rPr>
            </w:pPr>
            <w:r w:rsidRPr="004A470F">
              <w:rPr>
                <w:rFonts w:ascii="Athiti" w:eastAsia="Athiti" w:hAnsi="Athiti" w:cs="Athiti"/>
                <w:lang w:val="cs-CZ"/>
              </w:rPr>
              <w:t>Sledování transakcí</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Kvantitativní hodnocení systému monitorování transakcí se provádí na roční bázi.</w:t>
            </w:r>
          </w:p>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Scénáře monitorování transakcí jsou posuzovány na základě statistických údajů o počtu generovaných výstrah, četnosti použití pro každý scénář a počtu STR předložených na základě každého scénáře.</w:t>
            </w:r>
          </w:p>
        </w:tc>
      </w:tr>
      <w:tr w:rsidR="00766C3E" w:rsidRPr="004A470F" w:rsidTr="00DC1C05">
        <w:trPr>
          <w:cantSplit/>
          <w:tblHeader/>
        </w:trPr>
        <w:tc>
          <w:tcPr>
            <w:tcW w:w="3096" w:type="dxa"/>
          </w:tcPr>
          <w:p w:rsidR="00766C3E" w:rsidRPr="004A470F" w:rsidRDefault="00766C3E" w:rsidP="00DC1C05">
            <w:pPr>
              <w:pStyle w:val="normal"/>
              <w:ind w:hanging="2"/>
              <w:jc w:val="right"/>
              <w:rPr>
                <w:rFonts w:ascii="Athiti" w:eastAsia="Athiti" w:hAnsi="Athiti" w:cs="Athiti"/>
                <w:lang w:val="cs-CZ"/>
              </w:rPr>
            </w:pPr>
            <w:r w:rsidRPr="004A470F">
              <w:rPr>
                <w:rFonts w:ascii="Athiti" w:eastAsia="Athiti" w:hAnsi="Athiti" w:cs="Athiti"/>
                <w:lang w:val="cs-CZ"/>
              </w:rPr>
              <w:t>Prověřování sankcí</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Kvantitativní hodnocení systému prověřování sankcí se provádí na roční bázi. Vzorce prověřování sankcí jsou posuzovány na základě statistických údajů o počtu generovaných sankčních upozornění a počtu pravidelně se opakujících falešně pozitivních výsledků. Vzorce monitorování akcí se považují za přiměřené.</w:t>
            </w:r>
          </w:p>
        </w:tc>
      </w:tr>
      <w:tr w:rsidR="00766C3E" w:rsidRPr="004A470F" w:rsidTr="00DC1C05">
        <w:trPr>
          <w:cantSplit/>
          <w:tblHeader/>
        </w:trPr>
        <w:tc>
          <w:tcPr>
            <w:tcW w:w="3096"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Kvantitativní hodnocení portfolia klientů</w:t>
            </w:r>
          </w:p>
        </w:tc>
        <w:tc>
          <w:tcPr>
            <w:tcW w:w="1164"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Nízký</w:t>
            </w:r>
          </w:p>
        </w:tc>
        <w:tc>
          <w:tcPr>
            <w:tcW w:w="5028" w:type="dxa"/>
          </w:tcPr>
          <w:p w:rsidR="00766C3E" w:rsidRPr="004A470F" w:rsidRDefault="00766C3E" w:rsidP="00DC1C05">
            <w:pPr>
              <w:pStyle w:val="normal"/>
              <w:ind w:hanging="2"/>
              <w:jc w:val="both"/>
              <w:rPr>
                <w:rFonts w:ascii="Athiti" w:eastAsia="Athiti" w:hAnsi="Athiti" w:cs="Athiti"/>
                <w:lang w:val="cs-CZ"/>
              </w:rPr>
            </w:pPr>
            <w:r w:rsidRPr="004A470F">
              <w:rPr>
                <w:rFonts w:ascii="Athiti" w:eastAsia="Athiti" w:hAnsi="Athiti" w:cs="Athiti"/>
                <w:lang w:val="cs-CZ"/>
              </w:rPr>
              <w:t xml:space="preserve">V současné době </w:t>
            </w:r>
            <w:r w:rsidR="004A470F" w:rsidRPr="004A470F">
              <w:rPr>
                <w:rFonts w:ascii="Athiti" w:eastAsia="Athiti" w:hAnsi="Athiti" w:cs="Athiti"/>
                <w:lang w:val="cs-CZ"/>
              </w:rPr>
              <w:t>ZMAN - KESEF</w:t>
            </w:r>
            <w:r w:rsidRPr="004A470F">
              <w:rPr>
                <w:rFonts w:ascii="Athiti" w:eastAsia="Athiti" w:hAnsi="Athiti" w:cs="Athiti"/>
                <w:lang w:val="cs-CZ"/>
              </w:rPr>
              <w:t xml:space="preserve"> s.r.o. nemá aktivní klienty.</w:t>
            </w:r>
          </w:p>
        </w:tc>
      </w:tr>
    </w:tbl>
    <w:p w:rsidR="00766C3E" w:rsidRPr="004A470F" w:rsidRDefault="00766C3E" w:rsidP="00766C3E">
      <w:pPr>
        <w:pStyle w:val="normal"/>
        <w:spacing w:after="0" w:line="240" w:lineRule="auto"/>
        <w:rPr>
          <w:rFonts w:ascii="Athiti" w:eastAsia="Athiti" w:hAnsi="Athiti" w:cs="Athiti"/>
          <w:lang w:val="cs-CZ"/>
        </w:rPr>
      </w:pPr>
    </w:p>
    <w:p w:rsidR="00766C3E" w:rsidRPr="004A470F" w:rsidRDefault="00766C3E" w:rsidP="00766C3E">
      <w:pPr>
        <w:pStyle w:val="Heading1"/>
        <w:ind w:left="1" w:hanging="3"/>
        <w:rPr>
          <w:rFonts w:ascii="Athiti" w:eastAsia="Athiti" w:hAnsi="Athiti" w:cs="Athiti"/>
          <w:b/>
        </w:rPr>
      </w:pPr>
      <w:bookmarkStart w:id="62" w:name="_Toc204266971"/>
      <w:r w:rsidRPr="004A470F">
        <w:rPr>
          <w:rFonts w:ascii="Athiti" w:eastAsia="Athiti" w:hAnsi="Athiti" w:cs="Athiti"/>
          <w:b/>
        </w:rPr>
        <w:t>6. Závěry a zdůvodnění</w:t>
      </w:r>
      <w:bookmarkEnd w:id="62"/>
    </w:p>
    <w:p w:rsidR="00766C3E" w:rsidRPr="004A470F" w:rsidRDefault="00766C3E" w:rsidP="00766C3E">
      <w:pPr>
        <w:pStyle w:val="Heading2"/>
        <w:spacing w:before="280" w:after="280"/>
        <w:ind w:left="0" w:hanging="2"/>
        <w:rPr>
          <w:rFonts w:ascii="Athiti" w:eastAsia="Athiti" w:hAnsi="Athiti" w:cs="Athiti" w:hint="default"/>
          <w:lang w:val="cs-CZ"/>
        </w:rPr>
      </w:pPr>
      <w:bookmarkStart w:id="63" w:name="_Toc204266972"/>
      <w:r w:rsidRPr="004A470F">
        <w:rPr>
          <w:rFonts w:ascii="Athiti" w:eastAsia="Athiti" w:hAnsi="Athiti" w:cs="Athiti" w:hint="default"/>
          <w:i w:val="0"/>
          <w:sz w:val="24"/>
          <w:szCs w:val="24"/>
          <w:lang w:val="cs-CZ"/>
        </w:rPr>
        <w:t>6.1. Obecný rámec</w:t>
      </w:r>
      <w:bookmarkEnd w:id="63"/>
    </w:p>
    <w:p w:rsidR="00766C3E" w:rsidRPr="004A470F" w:rsidRDefault="00766C3E" w:rsidP="00766C3E">
      <w:pPr>
        <w:pStyle w:val="normal"/>
        <w:spacing w:after="0"/>
        <w:jc w:val="both"/>
        <w:rPr>
          <w:rFonts w:ascii="Athiti" w:eastAsia="Athiti" w:hAnsi="Athiti" w:cs="Athiti"/>
          <w:lang w:val="cs-CZ"/>
        </w:rPr>
      </w:pPr>
      <w:r w:rsidRPr="004A470F">
        <w:rPr>
          <w:rFonts w:ascii="Athiti" w:eastAsia="Athiti" w:hAnsi="Athiti" w:cs="Athiti"/>
          <w:lang w:val="cs-CZ"/>
        </w:rPr>
        <w:t xml:space="preserve">Aby byla zajištěna konzistence a srovnatelnost výsledků hodnocení rizik, bylo toto hodnocení rizik provedeno pomocí standardizovaného metodického přístupu. Tento přístup zahrnuje hodnocení jak inherentních, tak zbytkových rizik a zajišťuje, že hodnocení je v souladu s širším rámcem řízení rizik </w:t>
      </w:r>
      <w:r w:rsidR="004A470F" w:rsidRPr="004A470F">
        <w:rPr>
          <w:rFonts w:ascii="Athiti" w:eastAsia="Athiti" w:hAnsi="Athiti" w:cs="Athiti"/>
          <w:lang w:val="cs-CZ"/>
        </w:rPr>
        <w:t>ZMAN - KESEF</w:t>
      </w:r>
      <w:r w:rsidRPr="004A470F">
        <w:rPr>
          <w:rFonts w:ascii="Athiti" w:eastAsia="Athiti" w:hAnsi="Athiti" w:cs="Athiti"/>
          <w:lang w:val="cs-CZ"/>
        </w:rPr>
        <w:t xml:space="preserve"> s.r.o.. Přijetím této strukturované metodologie může </w:t>
      </w:r>
      <w:r w:rsidR="004A470F" w:rsidRPr="004A470F">
        <w:rPr>
          <w:rFonts w:ascii="Athiti" w:eastAsia="Athiti" w:hAnsi="Athiti" w:cs="Athiti"/>
          <w:lang w:val="cs-CZ"/>
        </w:rPr>
        <w:t>ZMAN - KESEF</w:t>
      </w:r>
      <w:r w:rsidRPr="004A470F">
        <w:rPr>
          <w:rFonts w:ascii="Athiti" w:eastAsia="Athiti" w:hAnsi="Athiti" w:cs="Athiti"/>
          <w:lang w:val="cs-CZ"/>
        </w:rPr>
        <w:t xml:space="preserve"> s.r.o. spolehlivě identifikovat, měřit a porovnávat úrovně rizik napříč různými subjekty a činnostmi. Tento proces nejen podporuje informované rozhodování, ale také posiluje závazek organizace k důkladné a soudržné praxi řízení rizik.</w:t>
      </w:r>
    </w:p>
    <w:p w:rsidR="00766C3E" w:rsidRPr="004A470F" w:rsidRDefault="00766C3E" w:rsidP="00766C3E">
      <w:pPr>
        <w:pStyle w:val="normal"/>
        <w:spacing w:after="0"/>
        <w:jc w:val="both"/>
        <w:rPr>
          <w:rFonts w:ascii="Athiti" w:eastAsia="Athiti" w:hAnsi="Athiti" w:cs="Athiti"/>
          <w:lang w:val="cs-CZ"/>
        </w:rPr>
      </w:pPr>
      <w:r w:rsidRPr="004A470F">
        <w:rPr>
          <w:rFonts w:ascii="Athiti" w:eastAsia="Athiti" w:hAnsi="Athiti" w:cs="Athiti"/>
          <w:lang w:val="cs-CZ"/>
        </w:rPr>
        <w:t xml:space="preserve"> </w:t>
      </w:r>
    </w:p>
    <w:p w:rsidR="00766C3E" w:rsidRPr="004A470F" w:rsidRDefault="00766C3E" w:rsidP="00766C3E">
      <w:pPr>
        <w:pStyle w:val="normal"/>
        <w:spacing w:after="0"/>
        <w:jc w:val="both"/>
        <w:rPr>
          <w:rFonts w:ascii="Athiti" w:eastAsia="Athiti" w:hAnsi="Athiti" w:cs="Athiti"/>
          <w:lang w:val="cs-CZ"/>
        </w:rPr>
      </w:pPr>
      <w:r w:rsidRPr="004A470F">
        <w:rPr>
          <w:rFonts w:ascii="Athiti" w:eastAsia="Athiti" w:hAnsi="Athiti" w:cs="Athiti"/>
          <w:lang w:val="cs-CZ"/>
        </w:rPr>
        <w:t xml:space="preserve">Toto hodnocení rizik nezahrnuje rizikové ukazatele pro hotovostní transakce nebo transakce s platebními kartami, protože </w:t>
      </w:r>
      <w:r w:rsidR="004A470F" w:rsidRPr="004A470F">
        <w:rPr>
          <w:rFonts w:ascii="Athiti" w:eastAsia="Athiti" w:hAnsi="Athiti" w:cs="Athiti"/>
          <w:lang w:val="cs-CZ"/>
        </w:rPr>
        <w:t>ZMAN - KESEF</w:t>
      </w:r>
      <w:r w:rsidRPr="004A470F">
        <w:rPr>
          <w:rFonts w:ascii="Athiti" w:eastAsia="Athiti" w:hAnsi="Athiti" w:cs="Athiti"/>
          <w:lang w:val="cs-CZ"/>
        </w:rPr>
        <w:t xml:space="preserve"> s.r.o. neposkytuje žádné služby související s hotovostí.</w:t>
      </w:r>
    </w:p>
    <w:p w:rsidR="00766C3E" w:rsidRPr="004A470F" w:rsidRDefault="00766C3E" w:rsidP="00766C3E">
      <w:pPr>
        <w:pStyle w:val="normal"/>
        <w:spacing w:after="0"/>
        <w:jc w:val="both"/>
        <w:rPr>
          <w:rFonts w:ascii="Athiti" w:eastAsia="Athiti" w:hAnsi="Athiti" w:cs="Athiti"/>
          <w:lang w:val="cs-CZ"/>
        </w:rPr>
      </w:pPr>
    </w:p>
    <w:p w:rsidR="00766C3E" w:rsidRPr="004A470F" w:rsidRDefault="00766C3E" w:rsidP="00766C3E">
      <w:pPr>
        <w:pStyle w:val="normal"/>
        <w:spacing w:after="0"/>
        <w:jc w:val="both"/>
        <w:rPr>
          <w:rFonts w:ascii="Athiti" w:eastAsia="Athiti" w:hAnsi="Athiti" w:cs="Athiti"/>
          <w:lang w:val="cs-CZ"/>
        </w:rPr>
      </w:pPr>
      <w:r w:rsidRPr="004A470F">
        <w:rPr>
          <w:rFonts w:ascii="Athiti" w:eastAsia="Athiti" w:hAnsi="Athiti" w:cs="Athiti"/>
          <w:lang w:val="cs-CZ"/>
        </w:rPr>
        <w:lastRenderedPageBreak/>
        <w:t xml:space="preserve">Zbytkové riziko ML bylo stanoveno na základě kvalitativního a kvantitativního posouzení inherentního rizika a opatření ke zmírnění rizik uplatňovaných </w:t>
      </w:r>
      <w:r w:rsidR="004A470F" w:rsidRPr="004A470F">
        <w:rPr>
          <w:rFonts w:ascii="Athiti" w:eastAsia="Athiti" w:hAnsi="Athiti" w:cs="Athiti"/>
          <w:lang w:val="cs-CZ"/>
        </w:rPr>
        <w:t>ZMAN - KESEF</w:t>
      </w:r>
      <w:r w:rsidRPr="004A470F">
        <w:rPr>
          <w:rFonts w:ascii="Athiti" w:eastAsia="Athiti" w:hAnsi="Athiti" w:cs="Athiti"/>
          <w:lang w:val="cs-CZ"/>
        </w:rPr>
        <w:t xml:space="preserve"> s.r.o.</w:t>
      </w:r>
    </w:p>
    <w:p w:rsidR="00766C3E" w:rsidRPr="004A470F" w:rsidRDefault="00766C3E" w:rsidP="00766C3E">
      <w:pPr>
        <w:pStyle w:val="normal"/>
        <w:spacing w:after="0"/>
        <w:jc w:val="both"/>
        <w:rPr>
          <w:rFonts w:ascii="Athiti" w:eastAsia="Athiti" w:hAnsi="Athiti" w:cs="Athiti"/>
          <w:lang w:val="cs-CZ"/>
        </w:rPr>
      </w:pPr>
    </w:p>
    <w:p w:rsidR="00766C3E" w:rsidRPr="004A470F" w:rsidRDefault="00766C3E" w:rsidP="00766C3E">
      <w:pPr>
        <w:pStyle w:val="normal"/>
        <w:spacing w:after="0"/>
        <w:jc w:val="both"/>
        <w:rPr>
          <w:rFonts w:ascii="Athiti" w:eastAsia="Athiti" w:hAnsi="Athiti" w:cs="Athiti"/>
          <w:lang w:val="cs-CZ"/>
        </w:rPr>
      </w:pPr>
      <w:r w:rsidRPr="004A470F">
        <w:rPr>
          <w:rFonts w:ascii="Athiti" w:eastAsia="Athiti" w:hAnsi="Athiti" w:cs="Athiti"/>
          <w:lang w:val="cs-CZ"/>
        </w:rPr>
        <w:t>Konkrétně kvalitativní a kvantitativní analýza zahrnovala následující fáze:</w:t>
      </w:r>
    </w:p>
    <w:p w:rsidR="00766C3E" w:rsidRPr="004A470F" w:rsidRDefault="00766C3E" w:rsidP="00766C3E">
      <w:pPr>
        <w:pStyle w:val="normal"/>
        <w:numPr>
          <w:ilvl w:val="0"/>
          <w:numId w:val="19"/>
        </w:numPr>
        <w:tabs>
          <w:tab w:val="left" w:pos="425"/>
        </w:tabs>
        <w:spacing w:after="0"/>
        <w:jc w:val="both"/>
        <w:rPr>
          <w:rFonts w:ascii="Athiti" w:eastAsia="Athiti" w:hAnsi="Athiti" w:cs="Athiti"/>
          <w:lang w:val="cs-CZ"/>
        </w:rPr>
      </w:pPr>
      <w:r w:rsidRPr="004A470F">
        <w:rPr>
          <w:rFonts w:ascii="Athiti" w:eastAsia="Athiti" w:hAnsi="Athiti" w:cs="Athiti"/>
          <w:lang w:val="cs-CZ"/>
        </w:rPr>
        <w:t>Sběr relevantních dat;</w:t>
      </w:r>
    </w:p>
    <w:p w:rsidR="00766C3E" w:rsidRPr="004A470F" w:rsidRDefault="00766C3E" w:rsidP="00766C3E">
      <w:pPr>
        <w:pStyle w:val="normal"/>
        <w:numPr>
          <w:ilvl w:val="0"/>
          <w:numId w:val="19"/>
        </w:numPr>
        <w:tabs>
          <w:tab w:val="left" w:pos="425"/>
        </w:tabs>
        <w:spacing w:after="0"/>
        <w:jc w:val="both"/>
        <w:rPr>
          <w:rFonts w:ascii="Athiti" w:eastAsia="Athiti" w:hAnsi="Athiti" w:cs="Athiti"/>
          <w:lang w:val="cs-CZ"/>
        </w:rPr>
      </w:pPr>
      <w:r w:rsidRPr="004A470F">
        <w:rPr>
          <w:rFonts w:ascii="Athiti" w:eastAsia="Athiti" w:hAnsi="Athiti" w:cs="Athiti"/>
          <w:lang w:val="cs-CZ"/>
        </w:rPr>
        <w:t>Zpracování a vyhodnocení dat;</w:t>
      </w:r>
    </w:p>
    <w:p w:rsidR="00766C3E" w:rsidRPr="004A470F" w:rsidRDefault="00766C3E" w:rsidP="00766C3E">
      <w:pPr>
        <w:pStyle w:val="normal"/>
        <w:numPr>
          <w:ilvl w:val="0"/>
          <w:numId w:val="19"/>
        </w:numPr>
        <w:tabs>
          <w:tab w:val="left" w:pos="425"/>
        </w:tabs>
        <w:spacing w:after="0"/>
        <w:jc w:val="both"/>
        <w:rPr>
          <w:rFonts w:ascii="Athiti" w:eastAsia="Athiti" w:hAnsi="Athiti" w:cs="Athiti"/>
          <w:lang w:val="cs-CZ"/>
        </w:rPr>
      </w:pPr>
      <w:bookmarkStart w:id="64" w:name="_heading=h.147n2zr" w:colFirst="0" w:colLast="0"/>
      <w:bookmarkEnd w:id="64"/>
      <w:r w:rsidRPr="004A470F">
        <w:rPr>
          <w:rFonts w:ascii="Athiti" w:eastAsia="Athiti" w:hAnsi="Athiti" w:cs="Athiti"/>
          <w:lang w:val="cs-CZ"/>
        </w:rPr>
        <w:t>Analýza výsledku hodnocení.</w:t>
      </w:r>
    </w:p>
    <w:p w:rsidR="00766C3E" w:rsidRPr="004A470F" w:rsidRDefault="00766C3E" w:rsidP="00766C3E">
      <w:pPr>
        <w:pStyle w:val="Heading2"/>
        <w:spacing w:before="280" w:after="280"/>
        <w:ind w:left="0" w:hanging="2"/>
        <w:rPr>
          <w:rFonts w:ascii="Athiti" w:eastAsia="Athiti" w:hAnsi="Athiti" w:cs="Athiti" w:hint="default"/>
          <w:i w:val="0"/>
          <w:sz w:val="24"/>
          <w:szCs w:val="24"/>
          <w:lang w:val="cs-CZ"/>
        </w:rPr>
      </w:pPr>
      <w:bookmarkStart w:id="65" w:name="_Toc204266973"/>
      <w:r w:rsidRPr="004A470F">
        <w:rPr>
          <w:rFonts w:ascii="Athiti" w:eastAsia="Athiti" w:hAnsi="Athiti" w:cs="Athiti" w:hint="default"/>
          <w:i w:val="0"/>
          <w:sz w:val="24"/>
          <w:szCs w:val="24"/>
          <w:lang w:val="cs-CZ"/>
        </w:rPr>
        <w:t>6.2. Rozdělení výpočtu vysoce rizikových faktorů</w:t>
      </w:r>
      <w:bookmarkEnd w:id="65"/>
    </w:p>
    <w:p w:rsidR="00766C3E" w:rsidRPr="004A470F" w:rsidRDefault="00766C3E" w:rsidP="00766C3E">
      <w:pPr>
        <w:pStyle w:val="normal"/>
        <w:jc w:val="both"/>
        <w:rPr>
          <w:rFonts w:ascii="Athiti" w:eastAsia="Athiti" w:hAnsi="Athiti" w:cs="Athiti"/>
          <w:lang w:val="cs-CZ"/>
        </w:rPr>
      </w:pPr>
      <w:r w:rsidRPr="004A470F">
        <w:rPr>
          <w:rFonts w:ascii="Athiti" w:eastAsia="Athiti" w:hAnsi="Athiti" w:cs="Athiti"/>
          <w:lang w:val="cs-CZ"/>
        </w:rPr>
        <w:t xml:space="preserve">Jakmile </w:t>
      </w:r>
      <w:r w:rsidR="004A470F" w:rsidRPr="004A470F">
        <w:rPr>
          <w:rFonts w:ascii="Athiti" w:eastAsia="Athiti" w:hAnsi="Athiti" w:cs="Athiti"/>
          <w:lang w:val="cs-CZ"/>
        </w:rPr>
        <w:t>ZMAN - KESEF</w:t>
      </w:r>
      <w:r w:rsidRPr="004A470F">
        <w:rPr>
          <w:rFonts w:ascii="Athiti" w:eastAsia="Athiti" w:hAnsi="Athiti" w:cs="Athiti"/>
          <w:lang w:val="cs-CZ"/>
        </w:rPr>
        <w:t xml:space="preserve"> s.r.o. získá aktivní portfolio klientů, bude provedeno numerické hodnocení rizik ML/FT na základě následujících výpočtů:</w:t>
      </w:r>
    </w:p>
    <w:tbl>
      <w:tblPr>
        <w:tblW w:w="9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25"/>
        <w:gridCol w:w="3405"/>
        <w:gridCol w:w="2655"/>
      </w:tblGrid>
      <w:tr w:rsidR="00766C3E" w:rsidRPr="004A470F" w:rsidTr="00DC1C05">
        <w:trPr>
          <w:cantSplit/>
          <w:tblHeader/>
        </w:trPr>
        <w:tc>
          <w:tcPr>
            <w:tcW w:w="3525"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Riziková oblast a</w:t>
            </w:r>
          </w:p>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Celková riziková váha</w:t>
            </w:r>
          </w:p>
        </w:tc>
        <w:tc>
          <w:tcPr>
            <w:tcW w:w="3405"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Výpočtový model</w:t>
            </w:r>
          </w:p>
        </w:tc>
        <w:tc>
          <w:tcPr>
            <w:tcW w:w="2655" w:type="dxa"/>
          </w:tcPr>
          <w:p w:rsidR="00766C3E" w:rsidRPr="004A470F" w:rsidRDefault="00766C3E" w:rsidP="00DC1C05">
            <w:pPr>
              <w:pStyle w:val="normal"/>
              <w:ind w:hanging="2"/>
              <w:jc w:val="center"/>
              <w:rPr>
                <w:rFonts w:ascii="Athiti" w:eastAsia="Athiti" w:hAnsi="Athiti" w:cs="Athiti"/>
                <w:lang w:val="cs-CZ"/>
              </w:rPr>
            </w:pPr>
            <w:r w:rsidRPr="004A470F">
              <w:rPr>
                <w:rFonts w:ascii="Athiti" w:eastAsia="Athiti" w:hAnsi="Athiti" w:cs="Athiti"/>
                <w:lang w:val="cs-CZ"/>
              </w:rPr>
              <w:t>klienti</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Země původu účetní jednotky, její přímé mateřské společnosti nebo její pobočky/dceřiné společnosti</w:t>
            </w: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(15 %)</w:t>
            </w: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s vysoce rizikovou zemí původu (klient, jeho přímá mateřská společnost nebo jeho pobočka / dceřiná společnost)</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 / Y * Z %= Z %</w:t>
            </w:r>
          </w:p>
          <w:p w:rsidR="00766C3E" w:rsidRPr="004A470F" w:rsidRDefault="00766C3E" w:rsidP="00DC1C05">
            <w:pPr>
              <w:pStyle w:val="normal"/>
              <w:ind w:hanging="2"/>
              <w:rPr>
                <w:rFonts w:ascii="Athiti" w:eastAsia="Athiti" w:hAnsi="Athiti" w:cs="Athiti"/>
                <w:lang w:val="cs-CZ"/>
              </w:rPr>
            </w:pP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Země původu zástupce subjektu nebo UBO</w:t>
            </w: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(10 %)</w:t>
            </w: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vysoce riziková země původu zástupce klienta nebo UBO</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Vlastnictví entity a struktura společnosti</w:t>
            </w: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(10 %)</w:t>
            </w: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kteří jsou svěřenskými fondy</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s nepřirozeně komplikovanou nebo netransparentní vlastnickou strukturou</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kteří měli podezření, že skutečný vlastník klienta je zastřen v důsledku obchodu mezi skutečným vlastníkem a osobou vystupující jako společník, člen statutárního orgánu nebo pověřený vlastník</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s UBO, zástupce nebo člen statutárního orgánu je politicky exponovaná osoba</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Hodnocení rizik profilu klienta</w:t>
            </w: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(20 %)</w:t>
            </w: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(její Pobočka nebo Dceřiná společnost), kteří byli vyšetřováni policií, FIU nebo podobným orgánem a dostali pokutu za porušení nařízení AML/CFT nebo nedostatky systému AML/CFT</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proti nimž nebo jejich pobočce nebo dceřiné společnosti bylo zahájeno vyšetřování regulačními orgány, orgány činnými v trestním řízení nebo finanční transakce a výsledky ke zjištěním trestných činů, nedodržování finančních předpisů a finančních podvodů;</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(nebo jejich přímá mateřská společnost) byl vyšetřován policií, FIU nebo podobným orgánem a dostal pokutu za porušení nařízení AML/CFT nebo nedostatky systému AML/CFT</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proti nimž (nebo jejich přímá mateřská společnost) bylo zahájeno vyšetřování regulačními orgány, orgány činnými v trestním řízení nebo finanční transakce a výsledky k odhalení trestné činnosti, finančního nedodržování předpisů a finančních podvodů;</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jejichž zástupce, skutečný vlastník nebo protistrana je osobou/subjektem, na který se vztahují sankce EU</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číslo klienta, jehož zástupce, skutečný vlastník nebo protistrana je osobou/subjektem sankcionovaným OFAC</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s nejasným původem finančních aktiv</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podezřelých, že nejedná na svůj účet, ale ve prospěch jiných třetích osob</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kteří byli předmětem hlášení o podezřelé transakci za posledních 12 měsíců</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o kterých se za posledních 5 let vyskytly negativní zprávy v souvislosti s klientem, jeho UBO, jeho pobočkou, přímou/nepřímou dceřinou společností nebo přímou mateřskou společností. Negativní zprávy se budou týkat legalizace výnosů z trestné činnosti nebo financování terorismu</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 xml:space="preserve">Čitatel: počet klientů, kteří odmítli spolupracovat s </w:t>
            </w:r>
            <w:r w:rsidR="004A470F" w:rsidRPr="004A470F">
              <w:rPr>
                <w:rFonts w:ascii="Athiti" w:eastAsia="Athiti" w:hAnsi="Athiti" w:cs="Athiti"/>
                <w:lang w:val="cs-CZ"/>
              </w:rPr>
              <w:t>ZMAN - KESEF</w:t>
            </w:r>
            <w:r w:rsidRPr="004A470F">
              <w:rPr>
                <w:rFonts w:ascii="Athiti" w:eastAsia="Athiti" w:hAnsi="Athiti" w:cs="Athiti"/>
                <w:lang w:val="cs-CZ"/>
              </w:rPr>
              <w:t xml:space="preserve"> s.r.o. při provádění due diligence podle pravidel</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p w:rsidR="00766C3E" w:rsidRPr="004A470F" w:rsidRDefault="00766C3E" w:rsidP="00DC1C05">
            <w:pPr>
              <w:pStyle w:val="normal"/>
              <w:ind w:hanging="2"/>
              <w:rPr>
                <w:rFonts w:ascii="Athiti" w:eastAsia="Athiti" w:hAnsi="Athiti" w:cs="Athiti"/>
                <w:lang w:val="cs-CZ"/>
              </w:rPr>
            </w:pP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Hodnocení rizik činnosti účetní jednotky</w:t>
            </w: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(20 %)</w:t>
            </w: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jejichž zástupce nedokáže srozumitelně vysvětlit povahu činnosti společnosti</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p w:rsidR="00766C3E" w:rsidRPr="004A470F" w:rsidRDefault="00766C3E" w:rsidP="00DC1C05">
            <w:pPr>
              <w:pStyle w:val="normal"/>
              <w:ind w:hanging="2"/>
              <w:rPr>
                <w:rFonts w:ascii="Athiti" w:eastAsia="Athiti" w:hAnsi="Athiti" w:cs="Athiti"/>
                <w:lang w:val="cs-CZ"/>
              </w:rPr>
            </w:pP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kteří nevykonávají žádnou ekonomickou činnost</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lastRenderedPageBreak/>
              <w:t>Očekávané cíle plateb</w:t>
            </w: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(10 %)</w:t>
            </w: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jejichž očekávané platby by měly pocházet z/do Offshore zemí</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Čitatel: počet klientů, jejichž očekávané platby by měly pocházet z vysoce rizikových zemí nebo do nich směřovat</w:t>
            </w:r>
          </w:p>
          <w:p w:rsidR="00766C3E" w:rsidRPr="004A470F" w:rsidRDefault="00766C3E" w:rsidP="00DC1C05">
            <w:pPr>
              <w:pStyle w:val="normal"/>
              <w:ind w:hanging="2"/>
              <w:rPr>
                <w:rFonts w:ascii="Athiti" w:eastAsia="Athiti" w:hAnsi="Athiti" w:cs="Athiti"/>
                <w:lang w:val="cs-CZ"/>
              </w:rPr>
            </w:pP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Jmenovatel: celkový počet klientů</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tc>
      </w:tr>
      <w:tr w:rsidR="00766C3E" w:rsidRPr="004A470F" w:rsidTr="00DC1C05">
        <w:trPr>
          <w:cantSplit/>
          <w:tblHeader/>
        </w:trPr>
        <w:tc>
          <w:tcPr>
            <w:tcW w:w="352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Hodnocení rizika produktu a kanálu</w:t>
            </w:r>
          </w:p>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(15 %)</w:t>
            </w:r>
          </w:p>
        </w:tc>
        <w:tc>
          <w:tcPr>
            <w:tcW w:w="340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Tato riziková skupina nepředstavuje vysoce rizikové faktory</w:t>
            </w:r>
          </w:p>
        </w:tc>
        <w:tc>
          <w:tcPr>
            <w:tcW w:w="2655" w:type="dxa"/>
          </w:tcPr>
          <w:p w:rsidR="00766C3E" w:rsidRPr="004A470F" w:rsidRDefault="00766C3E" w:rsidP="00DC1C05">
            <w:pPr>
              <w:pStyle w:val="normal"/>
              <w:ind w:hanging="2"/>
              <w:rPr>
                <w:rFonts w:ascii="Athiti" w:eastAsia="Athiti" w:hAnsi="Athiti" w:cs="Athiti"/>
                <w:lang w:val="cs-CZ"/>
              </w:rPr>
            </w:pPr>
            <w:r w:rsidRPr="004A470F">
              <w:rPr>
                <w:rFonts w:ascii="Athiti" w:eastAsia="Athiti" w:hAnsi="Athiti" w:cs="Athiti"/>
                <w:lang w:val="cs-CZ"/>
              </w:rPr>
              <w:t>X/Y*Z%=Z%</w:t>
            </w:r>
          </w:p>
          <w:p w:rsidR="00766C3E" w:rsidRPr="004A470F" w:rsidRDefault="00766C3E" w:rsidP="00DC1C05">
            <w:pPr>
              <w:pStyle w:val="normal"/>
              <w:ind w:hanging="2"/>
              <w:rPr>
                <w:rFonts w:ascii="Athiti" w:eastAsia="Athiti" w:hAnsi="Athiti" w:cs="Athiti"/>
                <w:lang w:val="cs-CZ"/>
              </w:rPr>
            </w:pPr>
          </w:p>
        </w:tc>
      </w:tr>
    </w:tbl>
    <w:p w:rsidR="00766C3E" w:rsidRPr="004A470F" w:rsidRDefault="00766C3E" w:rsidP="00766C3E">
      <w:pPr>
        <w:pStyle w:val="normal"/>
        <w:spacing w:after="0"/>
        <w:jc w:val="both"/>
        <w:rPr>
          <w:rFonts w:ascii="Athiti" w:eastAsia="Athiti" w:hAnsi="Athiti" w:cs="Athiti"/>
          <w:lang w:val="cs-CZ"/>
        </w:rPr>
      </w:pPr>
    </w:p>
    <w:p w:rsidR="00766C3E" w:rsidRPr="004A470F" w:rsidRDefault="00766C3E" w:rsidP="00766C3E">
      <w:pPr>
        <w:pStyle w:val="normal"/>
        <w:spacing w:after="0"/>
        <w:rPr>
          <w:rFonts w:ascii="Athiti" w:eastAsia="Athiti" w:hAnsi="Athiti" w:cs="Athiti"/>
          <w:lang w:val="cs-CZ"/>
        </w:rPr>
      </w:pPr>
    </w:p>
    <w:p w:rsidR="00766C3E" w:rsidRPr="004A470F" w:rsidRDefault="00766C3E" w:rsidP="00766C3E">
      <w:pPr>
        <w:pStyle w:val="normal"/>
        <w:spacing w:after="0"/>
        <w:jc w:val="both"/>
        <w:rPr>
          <w:rFonts w:ascii="Athiti" w:eastAsia="Athiti" w:hAnsi="Athiti" w:cs="Athiti"/>
          <w:lang w:val="cs-CZ"/>
        </w:rPr>
      </w:pPr>
      <w:r w:rsidRPr="004A470F">
        <w:rPr>
          <w:rFonts w:ascii="Athiti" w:eastAsia="Athiti" w:hAnsi="Athiti" w:cs="Athiti"/>
          <w:lang w:val="cs-CZ"/>
        </w:rPr>
        <w:t xml:space="preserve">Na základě výše uvedených výpočtů bude </w:t>
      </w:r>
      <w:r w:rsidR="004A470F" w:rsidRPr="004A470F">
        <w:rPr>
          <w:rFonts w:ascii="Athiti" w:eastAsia="Athiti" w:hAnsi="Athiti" w:cs="Athiti"/>
          <w:lang w:val="cs-CZ"/>
        </w:rPr>
        <w:t>ZMAN - KESEF</w:t>
      </w:r>
      <w:r w:rsidRPr="004A470F">
        <w:rPr>
          <w:rFonts w:ascii="Athiti" w:eastAsia="Athiti" w:hAnsi="Athiti" w:cs="Athiti"/>
          <w:lang w:val="cs-CZ"/>
        </w:rPr>
        <w:t xml:space="preserve"> s.r.o. schopna vyvodit závěry týkající se celkové úrovně rizik praní peněz a financování terorismu v rámci svých operací. Toto hodnocení rizik podléhá pravidelnému přezkumu, prováděnému alespoň jednou ročně, stejně jako ad-hoc přezkumům, kdykoli jsou uvedeny na trh nové produkty nebo služby nebo když dojde k významným změnám v legislativě související s AML/CFT. Tyto pravidelné a responzivní kontroly zajišťují, že přístup </w:t>
      </w:r>
      <w:r w:rsidR="004A470F" w:rsidRPr="004A470F">
        <w:rPr>
          <w:rFonts w:ascii="Athiti" w:eastAsia="Athiti" w:hAnsi="Athiti" w:cs="Athiti"/>
          <w:lang w:val="cs-CZ"/>
        </w:rPr>
        <w:t>ZMAN - KESEF</w:t>
      </w:r>
      <w:r w:rsidRPr="004A470F">
        <w:rPr>
          <w:rFonts w:ascii="Athiti" w:eastAsia="Athiti" w:hAnsi="Athiti" w:cs="Athiti"/>
          <w:lang w:val="cs-CZ"/>
        </w:rPr>
        <w:t xml:space="preserve"> s.r.o. k řízení rizik zůstane aktuální, komplexní a v souladu s regulačními požadavky.</w:t>
      </w:r>
    </w:p>
    <w:p w:rsidR="00C92C64" w:rsidRPr="004A470F" w:rsidRDefault="00C92C64" w:rsidP="00766C3E">
      <w:pPr>
        <w:ind w:left="0" w:hanging="2"/>
      </w:pPr>
    </w:p>
    <w:sectPr w:rsidR="00C92C64" w:rsidRPr="004A470F" w:rsidSect="00440216">
      <w:headerReference w:type="default" r:id="rId7"/>
      <w:footerReference w:type="default" r:id="rId8"/>
      <w:footerReference w:type="first" r:id="rId9"/>
      <w:pgSz w:w="11906" w:h="16838"/>
      <w:pgMar w:top="1417" w:right="1417" w:bottom="1417" w:left="1417" w:header="708" w:footer="708"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5D4" w:rsidRDefault="008F75D4" w:rsidP="00666BB6">
      <w:pPr>
        <w:spacing w:after="0" w:line="240" w:lineRule="auto"/>
        <w:ind w:left="0" w:hanging="2"/>
      </w:pPr>
      <w:r>
        <w:separator/>
      </w:r>
    </w:p>
  </w:endnote>
  <w:endnote w:type="continuationSeparator" w:id="1">
    <w:p w:rsidR="008F75D4" w:rsidRDefault="008F75D4" w:rsidP="00666BB6">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thiti">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216" w:rsidRDefault="00876F0E">
    <w:pPr>
      <w:pStyle w:val="normal"/>
      <w:tabs>
        <w:tab w:val="center" w:pos="4153"/>
        <w:tab w:val="right" w:pos="8306"/>
        <w:tab w:val="center" w:pos="4153"/>
        <w:tab w:val="right" w:pos="8306"/>
      </w:tabs>
      <w:jc w:val="right"/>
      <w:rPr>
        <w:sz w:val="18"/>
        <w:szCs w:val="18"/>
      </w:rPr>
    </w:pPr>
    <w:r>
      <w:rPr>
        <w:sz w:val="18"/>
        <w:szCs w:val="18"/>
      </w:rPr>
      <w:fldChar w:fldCharType="begin"/>
    </w:r>
    <w:r w:rsidR="00766C3E">
      <w:rPr>
        <w:sz w:val="18"/>
        <w:szCs w:val="18"/>
      </w:rPr>
      <w:instrText>PAGE</w:instrText>
    </w:r>
    <w:r>
      <w:rPr>
        <w:sz w:val="18"/>
        <w:szCs w:val="18"/>
      </w:rPr>
      <w:fldChar w:fldCharType="separate"/>
    </w:r>
    <w:r w:rsidR="006E0C45">
      <w:rPr>
        <w:noProof/>
        <w:sz w:val="18"/>
        <w:szCs w:val="18"/>
      </w:rPr>
      <w:t>20</w:t>
    </w:r>
    <w:r>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216" w:rsidRDefault="008F75D4">
    <w:pPr>
      <w:pStyle w:val="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5D4" w:rsidRDefault="008F75D4" w:rsidP="00666BB6">
      <w:pPr>
        <w:spacing w:after="0" w:line="240" w:lineRule="auto"/>
        <w:ind w:left="0" w:hanging="2"/>
      </w:pPr>
      <w:r>
        <w:separator/>
      </w:r>
    </w:p>
  </w:footnote>
  <w:footnote w:type="continuationSeparator" w:id="1">
    <w:p w:rsidR="008F75D4" w:rsidRDefault="008F75D4" w:rsidP="00666BB6">
      <w:pPr>
        <w:spacing w:after="0"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216" w:rsidRDefault="008F75D4">
    <w:pPr>
      <w:pStyle w:val="normal"/>
      <w:pBdr>
        <w:top w:val="nil"/>
        <w:left w:val="nil"/>
        <w:bottom w:val="nil"/>
        <w:right w:val="nil"/>
        <w:between w:val="nil"/>
      </w:pBdr>
      <w:tabs>
        <w:tab w:val="center" w:pos="4153"/>
        <w:tab w:val="right" w:pos="8306"/>
        <w:tab w:val="center" w:pos="4153"/>
        <w:tab w:val="right" w:pos="8306"/>
      </w:tabs>
      <w:spacing w:after="0" w:line="240" w:lineRule="auto"/>
      <w:jc w:val="center"/>
      <w:rPr>
        <w:color w:val="000000"/>
        <w:sz w:val="18"/>
        <w:szCs w:val="18"/>
      </w:rPr>
    </w:pPr>
  </w:p>
  <w:p w:rsidR="00440216" w:rsidRDefault="008F75D4">
    <w:pPr>
      <w:pStyle w:val="normal"/>
      <w:pBdr>
        <w:top w:val="nil"/>
        <w:left w:val="nil"/>
        <w:bottom w:val="nil"/>
        <w:right w:val="nil"/>
        <w:between w:val="nil"/>
      </w:pBdr>
      <w:tabs>
        <w:tab w:val="center" w:pos="4153"/>
        <w:tab w:val="right" w:pos="8306"/>
        <w:tab w:val="center" w:pos="4153"/>
        <w:tab w:val="right" w:pos="8306"/>
      </w:tabs>
      <w:spacing w:after="0" w:line="240" w:lineRule="auto"/>
      <w:jc w:val="center"/>
      <w:rPr>
        <w:color w:val="00000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5783"/>
    <w:multiLevelType w:val="multilevel"/>
    <w:tmpl w:val="FAB81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697663B"/>
    <w:multiLevelType w:val="multilevel"/>
    <w:tmpl w:val="563E07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nsid w:val="1C1470E2"/>
    <w:multiLevelType w:val="multilevel"/>
    <w:tmpl w:val="DCB6D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F413251"/>
    <w:multiLevelType w:val="multilevel"/>
    <w:tmpl w:val="28FCB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61522DB"/>
    <w:multiLevelType w:val="multilevel"/>
    <w:tmpl w:val="C110F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65D048C"/>
    <w:multiLevelType w:val="multilevel"/>
    <w:tmpl w:val="433EE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A105AD1"/>
    <w:multiLevelType w:val="multilevel"/>
    <w:tmpl w:val="A38CC01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nsid w:val="2D332A78"/>
    <w:multiLevelType w:val="multilevel"/>
    <w:tmpl w:val="CFEAC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44509B2"/>
    <w:multiLevelType w:val="multilevel"/>
    <w:tmpl w:val="3E3A8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F990CC3"/>
    <w:multiLevelType w:val="multilevel"/>
    <w:tmpl w:val="6B96F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1B7413C"/>
    <w:multiLevelType w:val="multilevel"/>
    <w:tmpl w:val="DD767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F151761"/>
    <w:multiLevelType w:val="multilevel"/>
    <w:tmpl w:val="10CA6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29C0251"/>
    <w:multiLevelType w:val="multilevel"/>
    <w:tmpl w:val="1CD47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30C3DD7"/>
    <w:multiLevelType w:val="multilevel"/>
    <w:tmpl w:val="318E8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74536DF"/>
    <w:multiLevelType w:val="multilevel"/>
    <w:tmpl w:val="B0706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7AF2B60"/>
    <w:multiLevelType w:val="multilevel"/>
    <w:tmpl w:val="5BC62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BAD5403"/>
    <w:multiLevelType w:val="multilevel"/>
    <w:tmpl w:val="ED6A78F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nsid w:val="5C21394F"/>
    <w:multiLevelType w:val="multilevel"/>
    <w:tmpl w:val="757ED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5F0042C6"/>
    <w:multiLevelType w:val="multilevel"/>
    <w:tmpl w:val="F51AA7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nsid w:val="632425E0"/>
    <w:multiLevelType w:val="multilevel"/>
    <w:tmpl w:val="9BBAD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3772510"/>
    <w:multiLevelType w:val="multilevel"/>
    <w:tmpl w:val="04BA9F0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nsid w:val="6D966DF4"/>
    <w:multiLevelType w:val="multilevel"/>
    <w:tmpl w:val="173E1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nsid w:val="78B16640"/>
    <w:multiLevelType w:val="multilevel"/>
    <w:tmpl w:val="D7A44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8"/>
  </w:num>
  <w:num w:numId="3">
    <w:abstractNumId w:val="7"/>
  </w:num>
  <w:num w:numId="4">
    <w:abstractNumId w:val="10"/>
  </w:num>
  <w:num w:numId="5">
    <w:abstractNumId w:val="4"/>
  </w:num>
  <w:num w:numId="6">
    <w:abstractNumId w:val="14"/>
  </w:num>
  <w:num w:numId="7">
    <w:abstractNumId w:val="19"/>
  </w:num>
  <w:num w:numId="8">
    <w:abstractNumId w:val="21"/>
  </w:num>
  <w:num w:numId="9">
    <w:abstractNumId w:val="22"/>
  </w:num>
  <w:num w:numId="10">
    <w:abstractNumId w:val="3"/>
  </w:num>
  <w:num w:numId="11">
    <w:abstractNumId w:val="15"/>
  </w:num>
  <w:num w:numId="12">
    <w:abstractNumId w:val="2"/>
  </w:num>
  <w:num w:numId="13">
    <w:abstractNumId w:val="20"/>
  </w:num>
  <w:num w:numId="14">
    <w:abstractNumId w:val="18"/>
  </w:num>
  <w:num w:numId="15">
    <w:abstractNumId w:val="1"/>
  </w:num>
  <w:num w:numId="16">
    <w:abstractNumId w:val="6"/>
  </w:num>
  <w:num w:numId="17">
    <w:abstractNumId w:val="11"/>
  </w:num>
  <w:num w:numId="18">
    <w:abstractNumId w:val="0"/>
  </w:num>
  <w:num w:numId="19">
    <w:abstractNumId w:val="9"/>
  </w:num>
  <w:num w:numId="20">
    <w:abstractNumId w:val="13"/>
  </w:num>
  <w:num w:numId="21">
    <w:abstractNumId w:val="12"/>
  </w:num>
  <w:num w:numId="22">
    <w:abstractNumId w:val="5"/>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6C3E"/>
    <w:rsid w:val="004A470F"/>
    <w:rsid w:val="00666BB6"/>
    <w:rsid w:val="006E0C45"/>
    <w:rsid w:val="00746B14"/>
    <w:rsid w:val="00766C3E"/>
    <w:rsid w:val="00876F0E"/>
    <w:rsid w:val="008F75D4"/>
    <w:rsid w:val="00C92C64"/>
    <w:rsid w:val="00D129CE"/>
    <w:rsid w:val="00D53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next w:val="normal"/>
    <w:autoRedefine/>
    <w:hidden/>
    <w:qFormat/>
    <w:rsid w:val="00766C3E"/>
    <w:pPr>
      <w:suppressAutoHyphens/>
      <w:spacing w:after="160" w:line="259" w:lineRule="auto"/>
      <w:ind w:leftChars="-1" w:left="-1" w:hangingChars="1" w:hanging="1"/>
      <w:textDirection w:val="btLr"/>
      <w:textAlignment w:val="top"/>
      <w:outlineLvl w:val="0"/>
    </w:pPr>
    <w:rPr>
      <w:rFonts w:ascii="Calibri" w:eastAsia="Calibri" w:hAnsi="Calibri" w:cs="Calibri"/>
      <w:position w:val="-1"/>
      <w:lang w:val="cs-CZ"/>
    </w:rPr>
  </w:style>
  <w:style w:type="paragraph" w:styleId="Nadpis1">
    <w:name w:val="heading 1"/>
    <w:basedOn w:val="normal"/>
    <w:next w:val="normal"/>
    <w:link w:val="Nadpis1Char"/>
    <w:rsid w:val="00766C3E"/>
    <w:pPr>
      <w:keepNext/>
      <w:keepLines/>
      <w:spacing w:before="240" w:after="0"/>
      <w:outlineLvl w:val="0"/>
    </w:pPr>
    <w:rPr>
      <w:color w:val="2D73B3"/>
      <w:sz w:val="32"/>
      <w:szCs w:val="32"/>
    </w:rPr>
  </w:style>
  <w:style w:type="paragraph" w:styleId="Nadpis2">
    <w:name w:val="heading 2"/>
    <w:basedOn w:val="normal"/>
    <w:next w:val="normal"/>
    <w:link w:val="Nadpis2Char"/>
    <w:rsid w:val="00766C3E"/>
    <w:pPr>
      <w:pBdr>
        <w:top w:val="nil"/>
        <w:left w:val="nil"/>
        <w:bottom w:val="nil"/>
        <w:right w:val="nil"/>
        <w:between w:val="nil"/>
      </w:pBdr>
      <w:spacing w:after="0" w:line="240" w:lineRule="auto"/>
      <w:outlineLvl w:val="1"/>
    </w:pPr>
    <w:rPr>
      <w:rFonts w:ascii="SimSun" w:eastAsia="SimSun" w:hAnsi="SimSun" w:cs="SimSun"/>
      <w:b/>
      <w:i/>
      <w:color w:val="000000"/>
      <w:sz w:val="36"/>
      <w:szCs w:val="36"/>
    </w:rPr>
  </w:style>
  <w:style w:type="paragraph" w:styleId="Nadpis3">
    <w:name w:val="heading 3"/>
    <w:basedOn w:val="normal"/>
    <w:next w:val="normal"/>
    <w:link w:val="Nadpis3Char"/>
    <w:rsid w:val="00766C3E"/>
    <w:pPr>
      <w:keepNext/>
      <w:keepLines/>
      <w:spacing w:after="0" w:line="240" w:lineRule="auto"/>
      <w:outlineLvl w:val="2"/>
    </w:pPr>
    <w:rPr>
      <w:rFonts w:ascii="Arial" w:eastAsia="Arial" w:hAnsi="Arial" w:cs="Arial"/>
      <w:b/>
      <w:sz w:val="26"/>
      <w:szCs w:val="26"/>
    </w:rPr>
  </w:style>
  <w:style w:type="paragraph" w:styleId="Nadpis4">
    <w:name w:val="heading 4"/>
    <w:basedOn w:val="normal"/>
    <w:next w:val="normal"/>
    <w:link w:val="Nadpis4Char"/>
    <w:rsid w:val="00766C3E"/>
    <w:pPr>
      <w:keepNext/>
      <w:keepLines/>
      <w:spacing w:before="240" w:after="40"/>
      <w:outlineLvl w:val="3"/>
    </w:pPr>
    <w:rPr>
      <w:b/>
      <w:sz w:val="24"/>
      <w:szCs w:val="24"/>
    </w:rPr>
  </w:style>
  <w:style w:type="paragraph" w:styleId="Nadpis5">
    <w:name w:val="heading 5"/>
    <w:basedOn w:val="normal"/>
    <w:next w:val="normal"/>
    <w:link w:val="Nadpis5Char"/>
    <w:rsid w:val="00766C3E"/>
    <w:pPr>
      <w:keepNext/>
      <w:keepLines/>
      <w:spacing w:before="220" w:after="40"/>
      <w:outlineLvl w:val="4"/>
    </w:pPr>
    <w:rPr>
      <w:b/>
    </w:rPr>
  </w:style>
  <w:style w:type="paragraph" w:styleId="Nadpis6">
    <w:name w:val="heading 6"/>
    <w:basedOn w:val="normal"/>
    <w:next w:val="normal"/>
    <w:link w:val="Nadpis6Char"/>
    <w:rsid w:val="00766C3E"/>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66C3E"/>
    <w:rPr>
      <w:rFonts w:ascii="Calibri" w:eastAsia="Calibri" w:hAnsi="Calibri" w:cs="Calibri"/>
      <w:color w:val="2D73B3"/>
      <w:sz w:val="32"/>
      <w:szCs w:val="32"/>
    </w:rPr>
  </w:style>
  <w:style w:type="character" w:customStyle="1" w:styleId="Nadpis2Char">
    <w:name w:val="Nadpis 2 Char"/>
    <w:basedOn w:val="Standardnpsmoodstavce"/>
    <w:link w:val="Nadpis2"/>
    <w:rsid w:val="00766C3E"/>
    <w:rPr>
      <w:rFonts w:ascii="SimSun" w:eastAsia="SimSun" w:hAnsi="SimSun" w:cs="SimSun"/>
      <w:b/>
      <w:i/>
      <w:color w:val="000000"/>
      <w:sz w:val="36"/>
      <w:szCs w:val="36"/>
    </w:rPr>
  </w:style>
  <w:style w:type="character" w:customStyle="1" w:styleId="Nadpis3Char">
    <w:name w:val="Nadpis 3 Char"/>
    <w:basedOn w:val="Standardnpsmoodstavce"/>
    <w:link w:val="Nadpis3"/>
    <w:rsid w:val="00766C3E"/>
    <w:rPr>
      <w:rFonts w:ascii="Arial" w:eastAsia="Arial" w:hAnsi="Arial" w:cs="Arial"/>
      <w:b/>
      <w:sz w:val="26"/>
      <w:szCs w:val="26"/>
    </w:rPr>
  </w:style>
  <w:style w:type="character" w:customStyle="1" w:styleId="Nadpis4Char">
    <w:name w:val="Nadpis 4 Char"/>
    <w:basedOn w:val="Standardnpsmoodstavce"/>
    <w:link w:val="Nadpis4"/>
    <w:rsid w:val="00766C3E"/>
    <w:rPr>
      <w:rFonts w:ascii="Calibri" w:eastAsia="Calibri" w:hAnsi="Calibri" w:cs="Calibri"/>
      <w:b/>
      <w:sz w:val="24"/>
      <w:szCs w:val="24"/>
    </w:rPr>
  </w:style>
  <w:style w:type="character" w:customStyle="1" w:styleId="Nadpis5Char">
    <w:name w:val="Nadpis 5 Char"/>
    <w:basedOn w:val="Standardnpsmoodstavce"/>
    <w:link w:val="Nadpis5"/>
    <w:rsid w:val="00766C3E"/>
    <w:rPr>
      <w:rFonts w:ascii="Calibri" w:eastAsia="Calibri" w:hAnsi="Calibri" w:cs="Calibri"/>
      <w:b/>
    </w:rPr>
  </w:style>
  <w:style w:type="character" w:customStyle="1" w:styleId="Nadpis6Char">
    <w:name w:val="Nadpis 6 Char"/>
    <w:basedOn w:val="Standardnpsmoodstavce"/>
    <w:link w:val="Nadpis6"/>
    <w:rsid w:val="00766C3E"/>
    <w:rPr>
      <w:rFonts w:ascii="Calibri" w:eastAsia="Calibri" w:hAnsi="Calibri" w:cs="Calibri"/>
      <w:b/>
      <w:sz w:val="20"/>
      <w:szCs w:val="20"/>
    </w:rPr>
  </w:style>
  <w:style w:type="paragraph" w:customStyle="1" w:styleId="normal">
    <w:name w:val="normal"/>
    <w:rsid w:val="00766C3E"/>
    <w:pPr>
      <w:spacing w:after="160" w:line="259" w:lineRule="auto"/>
    </w:pPr>
    <w:rPr>
      <w:rFonts w:ascii="Calibri" w:eastAsia="Calibri" w:hAnsi="Calibri" w:cs="Calibri"/>
    </w:rPr>
  </w:style>
  <w:style w:type="table" w:customStyle="1" w:styleId="TableNormal">
    <w:name w:val="Table Normal"/>
    <w:rsid w:val="00766C3E"/>
    <w:pPr>
      <w:spacing w:after="160" w:line="259" w:lineRule="auto"/>
    </w:pPr>
    <w:rPr>
      <w:rFonts w:ascii="Calibri" w:eastAsia="Calibri" w:hAnsi="Calibri" w:cs="Calibri"/>
    </w:rPr>
    <w:tblPr>
      <w:tblCellMar>
        <w:top w:w="0" w:type="dxa"/>
        <w:left w:w="0" w:type="dxa"/>
        <w:bottom w:w="0" w:type="dxa"/>
        <w:right w:w="0" w:type="dxa"/>
      </w:tblCellMar>
    </w:tblPr>
  </w:style>
  <w:style w:type="paragraph" w:styleId="Nzev">
    <w:name w:val="Title"/>
    <w:basedOn w:val="normal"/>
    <w:next w:val="normal"/>
    <w:link w:val="NzevChar"/>
    <w:rsid w:val="00766C3E"/>
    <w:pPr>
      <w:keepNext/>
      <w:keepLines/>
      <w:spacing w:before="480" w:after="120"/>
    </w:pPr>
    <w:rPr>
      <w:b/>
      <w:sz w:val="72"/>
      <w:szCs w:val="72"/>
    </w:rPr>
  </w:style>
  <w:style w:type="character" w:customStyle="1" w:styleId="NzevChar">
    <w:name w:val="Název Char"/>
    <w:basedOn w:val="Standardnpsmoodstavce"/>
    <w:link w:val="Nzev"/>
    <w:rsid w:val="00766C3E"/>
    <w:rPr>
      <w:rFonts w:ascii="Calibri" w:eastAsia="Calibri" w:hAnsi="Calibri" w:cs="Calibri"/>
      <w:b/>
      <w:sz w:val="72"/>
      <w:szCs w:val="72"/>
    </w:rPr>
  </w:style>
  <w:style w:type="paragraph" w:customStyle="1" w:styleId="Heading1">
    <w:name w:val="Heading 1"/>
    <w:basedOn w:val="Normln"/>
    <w:next w:val="Normln"/>
    <w:autoRedefine/>
    <w:hidden/>
    <w:qFormat/>
    <w:rsid w:val="00766C3E"/>
    <w:pPr>
      <w:keepNext/>
      <w:keepLines/>
      <w:spacing w:before="240" w:after="0"/>
    </w:pPr>
    <w:rPr>
      <w:rFonts w:ascii="Calibri Light" w:hAnsi="Calibri Light"/>
      <w:color w:val="2D73B3"/>
      <w:sz w:val="32"/>
      <w:szCs w:val="32"/>
    </w:rPr>
  </w:style>
  <w:style w:type="paragraph" w:customStyle="1" w:styleId="Heading2">
    <w:name w:val="Heading 2"/>
    <w:next w:val="Normln"/>
    <w:autoRedefine/>
    <w:hidden/>
    <w:qFormat/>
    <w:rsid w:val="00766C3E"/>
    <w:pPr>
      <w:suppressAutoHyphens/>
      <w:spacing w:before="100" w:beforeAutospacing="1" w:after="100" w:afterAutospacing="1" w:line="1" w:lineRule="atLeast"/>
      <w:ind w:leftChars="-1" w:left="-1" w:hangingChars="1" w:hanging="1"/>
      <w:textDirection w:val="btLr"/>
      <w:textAlignment w:val="top"/>
      <w:outlineLvl w:val="0"/>
    </w:pPr>
    <w:rPr>
      <w:rFonts w:ascii="SimSun" w:eastAsia="SimSun" w:hAnsi="SimSun" w:cs="SimSun" w:hint="eastAsia"/>
      <w:b/>
      <w:i/>
      <w:position w:val="-1"/>
      <w:sz w:val="36"/>
      <w:szCs w:val="36"/>
      <w:lang w:eastAsia="zh-CN"/>
    </w:rPr>
  </w:style>
  <w:style w:type="paragraph" w:customStyle="1" w:styleId="Heading3">
    <w:name w:val="Heading 3"/>
    <w:basedOn w:val="Normln"/>
    <w:next w:val="Normln"/>
    <w:autoRedefine/>
    <w:hidden/>
    <w:qFormat/>
    <w:rsid w:val="00766C3E"/>
    <w:pPr>
      <w:keepNext/>
      <w:keepLines/>
      <w:spacing w:line="240" w:lineRule="auto"/>
      <w:outlineLvl w:val="2"/>
    </w:pPr>
    <w:rPr>
      <w:rFonts w:ascii="Arial" w:hAnsi="Arial"/>
      <w:b/>
      <w:sz w:val="26"/>
    </w:rPr>
  </w:style>
  <w:style w:type="character" w:styleId="Hypertextovodkaz">
    <w:name w:val="Hyperlink"/>
    <w:autoRedefine/>
    <w:hidden/>
    <w:uiPriority w:val="99"/>
    <w:qFormat/>
    <w:rsid w:val="00766C3E"/>
    <w:rPr>
      <w:color w:val="0563C1"/>
      <w:w w:val="100"/>
      <w:position w:val="-1"/>
      <w:u w:val="single"/>
      <w:effect w:val="none"/>
      <w:vertAlign w:val="baseline"/>
      <w:cs w:val="0"/>
      <w:em w:val="none"/>
    </w:rPr>
  </w:style>
  <w:style w:type="character" w:customStyle="1" w:styleId="font01">
    <w:name w:val="font01"/>
    <w:autoRedefine/>
    <w:hidden/>
    <w:qFormat/>
    <w:rsid w:val="00766C3E"/>
    <w:rPr>
      <w:rFonts w:ascii="Calibri" w:hAnsi="Calibri" w:cs="Calibri" w:hint="default"/>
      <w:i w:val="0"/>
      <w:color w:val="000000"/>
      <w:w w:val="100"/>
      <w:position w:val="-1"/>
      <w:sz w:val="20"/>
      <w:szCs w:val="20"/>
      <w:u w:val="none"/>
      <w:effect w:val="none"/>
      <w:vertAlign w:val="baseline"/>
      <w:cs w:val="0"/>
      <w:em w:val="none"/>
    </w:rPr>
  </w:style>
  <w:style w:type="character" w:customStyle="1" w:styleId="CommentSubjectChar">
    <w:name w:val="Comment Subject Char"/>
    <w:autoRedefine/>
    <w:hidden/>
    <w:qFormat/>
    <w:rsid w:val="00766C3E"/>
    <w:rPr>
      <w:rFonts w:ascii="Calibri" w:eastAsia="Calibri" w:hAnsi="Calibri"/>
      <w:b/>
      <w:bCs/>
      <w:w w:val="100"/>
      <w:position w:val="-1"/>
      <w:sz w:val="20"/>
      <w:szCs w:val="20"/>
      <w:effect w:val="none"/>
      <w:vertAlign w:val="baseline"/>
      <w:cs w:val="0"/>
      <w:em w:val="none"/>
      <w:lang w:eastAsia="en-US"/>
    </w:rPr>
  </w:style>
  <w:style w:type="character" w:customStyle="1" w:styleId="FootnoteReference">
    <w:name w:val="Footnote Reference"/>
    <w:autoRedefine/>
    <w:hidden/>
    <w:qFormat/>
    <w:rsid w:val="00766C3E"/>
    <w:rPr>
      <w:w w:val="100"/>
      <w:position w:val="-1"/>
      <w:effect w:val="none"/>
      <w:vertAlign w:val="superscript"/>
      <w:cs w:val="0"/>
      <w:em w:val="none"/>
    </w:rPr>
  </w:style>
  <w:style w:type="character" w:customStyle="1" w:styleId="Heading1Char">
    <w:name w:val="Heading 1 Char"/>
    <w:autoRedefine/>
    <w:hidden/>
    <w:qFormat/>
    <w:rsid w:val="00766C3E"/>
    <w:rPr>
      <w:rFonts w:ascii="Calibri Light" w:hAnsi="Calibri Light"/>
      <w:color w:val="2D73B3"/>
      <w:w w:val="100"/>
      <w:position w:val="-1"/>
      <w:sz w:val="32"/>
      <w:szCs w:val="32"/>
      <w:effect w:val="none"/>
      <w:vertAlign w:val="baseline"/>
      <w:cs w:val="0"/>
      <w:em w:val="none"/>
    </w:rPr>
  </w:style>
  <w:style w:type="character" w:customStyle="1" w:styleId="font31">
    <w:name w:val="font31"/>
    <w:autoRedefine/>
    <w:hidden/>
    <w:qFormat/>
    <w:rsid w:val="00766C3E"/>
    <w:rPr>
      <w:rFonts w:ascii="Calibri" w:hAnsi="Calibri" w:cs="Calibri" w:hint="default"/>
      <w:i w:val="0"/>
      <w:color w:val="FF0000"/>
      <w:w w:val="100"/>
      <w:position w:val="-1"/>
      <w:sz w:val="20"/>
      <w:szCs w:val="20"/>
      <w:u w:val="none"/>
      <w:effect w:val="none"/>
      <w:vertAlign w:val="baseline"/>
      <w:cs w:val="0"/>
      <w:em w:val="none"/>
    </w:rPr>
  </w:style>
  <w:style w:type="character" w:customStyle="1" w:styleId="CommentTextChar">
    <w:name w:val="Comment Text Char"/>
    <w:autoRedefine/>
    <w:hidden/>
    <w:qFormat/>
    <w:rsid w:val="00766C3E"/>
    <w:rPr>
      <w:w w:val="100"/>
      <w:position w:val="-1"/>
      <w:sz w:val="20"/>
      <w:szCs w:val="20"/>
      <w:effect w:val="none"/>
      <w:vertAlign w:val="baseline"/>
      <w:cs w:val="0"/>
      <w:em w:val="none"/>
    </w:rPr>
  </w:style>
  <w:style w:type="character" w:customStyle="1" w:styleId="CommentReference">
    <w:name w:val="Comment Reference"/>
    <w:autoRedefine/>
    <w:hidden/>
    <w:qFormat/>
    <w:rsid w:val="00766C3E"/>
    <w:rPr>
      <w:w w:val="100"/>
      <w:position w:val="-1"/>
      <w:sz w:val="16"/>
      <w:effect w:val="none"/>
      <w:vertAlign w:val="baseline"/>
      <w:cs w:val="0"/>
      <w:em w:val="none"/>
    </w:rPr>
  </w:style>
  <w:style w:type="character" w:customStyle="1" w:styleId="Heading2Char">
    <w:name w:val="Heading 2 Char"/>
    <w:autoRedefine/>
    <w:hidden/>
    <w:qFormat/>
    <w:rsid w:val="00766C3E"/>
    <w:rPr>
      <w:rFonts w:ascii="Arial" w:hAnsi="Arial"/>
      <w:b/>
      <w:i/>
      <w:w w:val="100"/>
      <w:position w:val="-1"/>
      <w:sz w:val="28"/>
      <w:effect w:val="none"/>
      <w:vertAlign w:val="baseline"/>
      <w:cs w:val="0"/>
      <w:em w:val="none"/>
    </w:rPr>
  </w:style>
  <w:style w:type="character" w:customStyle="1" w:styleId="PageNumber">
    <w:name w:val="Page Number"/>
    <w:basedOn w:val="Standardnpsmoodstavce"/>
    <w:autoRedefine/>
    <w:hidden/>
    <w:qFormat/>
    <w:rsid w:val="00766C3E"/>
    <w:rPr>
      <w:w w:val="100"/>
      <w:position w:val="-1"/>
      <w:effect w:val="none"/>
      <w:vertAlign w:val="baseline"/>
      <w:cs w:val="0"/>
      <w:em w:val="none"/>
    </w:rPr>
  </w:style>
  <w:style w:type="character" w:customStyle="1" w:styleId="BalloonTextChar">
    <w:name w:val="Balloon Text Char"/>
    <w:autoRedefine/>
    <w:hidden/>
    <w:qFormat/>
    <w:rsid w:val="00766C3E"/>
    <w:rPr>
      <w:rFonts w:ascii="Segoe UI" w:hAnsi="Segoe UI" w:cs="Segoe UI"/>
      <w:w w:val="100"/>
      <w:position w:val="-1"/>
      <w:sz w:val="18"/>
      <w:szCs w:val="18"/>
      <w:effect w:val="none"/>
      <w:vertAlign w:val="baseline"/>
      <w:cs w:val="0"/>
      <w:em w:val="none"/>
    </w:rPr>
  </w:style>
  <w:style w:type="character" w:customStyle="1" w:styleId="Heading3Char">
    <w:name w:val="Heading 3 Char"/>
    <w:autoRedefine/>
    <w:hidden/>
    <w:qFormat/>
    <w:rsid w:val="00766C3E"/>
    <w:rPr>
      <w:rFonts w:ascii="Arial" w:hAnsi="Arial"/>
      <w:b/>
      <w:w w:val="100"/>
      <w:position w:val="-1"/>
      <w:sz w:val="26"/>
      <w:effect w:val="none"/>
      <w:vertAlign w:val="baseline"/>
      <w:cs w:val="0"/>
      <w:em w:val="none"/>
    </w:rPr>
  </w:style>
  <w:style w:type="paragraph" w:customStyle="1" w:styleId="zDMSRef">
    <w:name w:val="z_DMS Ref"/>
    <w:basedOn w:val="Footer"/>
    <w:next w:val="Normln"/>
    <w:autoRedefine/>
    <w:hidden/>
    <w:qFormat/>
    <w:rsid w:val="00766C3E"/>
    <w:pPr>
      <w:tabs>
        <w:tab w:val="center" w:pos="4536"/>
        <w:tab w:val="right" w:pos="9072"/>
      </w:tabs>
    </w:pPr>
    <w:rPr>
      <w:sz w:val="12"/>
    </w:rPr>
  </w:style>
  <w:style w:type="paragraph" w:customStyle="1" w:styleId="zFooter">
    <w:name w:val="z_Footer"/>
    <w:basedOn w:val="Normln"/>
    <w:autoRedefine/>
    <w:hidden/>
    <w:qFormat/>
    <w:rsid w:val="00766C3E"/>
    <w:pPr>
      <w:tabs>
        <w:tab w:val="center" w:pos="4536"/>
        <w:tab w:val="right" w:pos="9072"/>
      </w:tabs>
    </w:pPr>
    <w:rPr>
      <w:sz w:val="18"/>
      <w:szCs w:val="16"/>
    </w:rPr>
  </w:style>
  <w:style w:type="paragraph" w:customStyle="1" w:styleId="TOC9">
    <w:name w:val="TOC 9"/>
    <w:basedOn w:val="Normln"/>
    <w:next w:val="Normln"/>
    <w:autoRedefine/>
    <w:hidden/>
    <w:qFormat/>
    <w:rsid w:val="00766C3E"/>
    <w:pPr>
      <w:ind w:leftChars="1600" w:left="3360"/>
    </w:pPr>
  </w:style>
  <w:style w:type="paragraph" w:customStyle="1" w:styleId="TOC7">
    <w:name w:val="TOC 7"/>
    <w:basedOn w:val="Normln"/>
    <w:next w:val="Normln"/>
    <w:autoRedefine/>
    <w:hidden/>
    <w:qFormat/>
    <w:rsid w:val="00766C3E"/>
    <w:pPr>
      <w:ind w:leftChars="1200" w:left="2520"/>
    </w:pPr>
  </w:style>
  <w:style w:type="paragraph" w:customStyle="1" w:styleId="CommentSubject">
    <w:name w:val="Comment Subject"/>
    <w:basedOn w:val="CommentText"/>
    <w:next w:val="CommentText"/>
    <w:autoRedefine/>
    <w:hidden/>
    <w:qFormat/>
    <w:rsid w:val="00766C3E"/>
    <w:pPr>
      <w:spacing w:line="259" w:lineRule="auto"/>
    </w:pPr>
    <w:rPr>
      <w:b/>
      <w:bCs/>
    </w:rPr>
  </w:style>
  <w:style w:type="paragraph" w:customStyle="1" w:styleId="Footer">
    <w:name w:val="Footer"/>
    <w:basedOn w:val="Normln"/>
    <w:autoRedefine/>
    <w:hidden/>
    <w:qFormat/>
    <w:rsid w:val="00766C3E"/>
    <w:pPr>
      <w:tabs>
        <w:tab w:val="center" w:pos="4153"/>
        <w:tab w:val="right" w:pos="8306"/>
      </w:tabs>
    </w:pPr>
    <w:rPr>
      <w:sz w:val="18"/>
      <w:szCs w:val="18"/>
    </w:rPr>
  </w:style>
  <w:style w:type="paragraph" w:styleId="Revize">
    <w:name w:val="Revision"/>
    <w:autoRedefine/>
    <w:hidden/>
    <w:qFormat/>
    <w:rsid w:val="00766C3E"/>
    <w:pPr>
      <w:suppressAutoHyphens/>
      <w:spacing w:after="160" w:line="1" w:lineRule="atLeast"/>
      <w:ind w:leftChars="-1" w:left="-1" w:hangingChars="1" w:hanging="1"/>
      <w:textDirection w:val="btLr"/>
      <w:textAlignment w:val="top"/>
      <w:outlineLvl w:val="0"/>
    </w:pPr>
    <w:rPr>
      <w:rFonts w:ascii="Calibri" w:eastAsia="Calibri" w:hAnsi="Calibri" w:cs="Calibri"/>
      <w:position w:val="-1"/>
    </w:rPr>
  </w:style>
  <w:style w:type="paragraph" w:customStyle="1" w:styleId="CommentText">
    <w:name w:val="Comment Text"/>
    <w:basedOn w:val="Normln"/>
    <w:autoRedefine/>
    <w:hidden/>
    <w:qFormat/>
    <w:rsid w:val="00766C3E"/>
    <w:pPr>
      <w:spacing w:line="240" w:lineRule="auto"/>
    </w:pPr>
    <w:rPr>
      <w:sz w:val="20"/>
      <w:szCs w:val="20"/>
    </w:rPr>
  </w:style>
  <w:style w:type="paragraph" w:customStyle="1" w:styleId="Default">
    <w:name w:val="Default"/>
    <w:autoRedefine/>
    <w:hidden/>
    <w:qFormat/>
    <w:rsid w:val="00766C3E"/>
    <w:pPr>
      <w:widowControl w:val="0"/>
      <w:suppressAutoHyphens/>
      <w:autoSpaceDE w:val="0"/>
      <w:autoSpaceDN w:val="0"/>
      <w:adjustRightInd w:val="0"/>
      <w:spacing w:after="160" w:line="1" w:lineRule="atLeast"/>
      <w:ind w:leftChars="-1" w:left="-1" w:hangingChars="1" w:hanging="1"/>
      <w:textDirection w:val="btLr"/>
      <w:textAlignment w:val="top"/>
      <w:outlineLvl w:val="0"/>
    </w:pPr>
    <w:rPr>
      <w:rFonts w:ascii="Arial" w:eastAsia="Calibri" w:hAnsi="Arial" w:cs="Calibri" w:hint="eastAsia"/>
      <w:color w:val="000000"/>
      <w:position w:val="-1"/>
      <w:sz w:val="24"/>
      <w:lang w:eastAsia="sk-SK"/>
    </w:rPr>
  </w:style>
  <w:style w:type="paragraph" w:customStyle="1" w:styleId="TOC8">
    <w:name w:val="TOC 8"/>
    <w:basedOn w:val="Normln"/>
    <w:next w:val="Normln"/>
    <w:autoRedefine/>
    <w:hidden/>
    <w:qFormat/>
    <w:rsid w:val="00766C3E"/>
    <w:pPr>
      <w:ind w:leftChars="1400" w:left="2940"/>
    </w:pPr>
  </w:style>
  <w:style w:type="paragraph" w:styleId="Zkladntext">
    <w:name w:val="Body Text"/>
    <w:basedOn w:val="Normln"/>
    <w:link w:val="ZkladntextChar"/>
    <w:autoRedefine/>
    <w:hidden/>
    <w:qFormat/>
    <w:rsid w:val="00766C3E"/>
    <w:pPr>
      <w:spacing w:after="180" w:line="280" w:lineRule="atLeast"/>
    </w:pPr>
  </w:style>
  <w:style w:type="character" w:customStyle="1" w:styleId="ZkladntextChar">
    <w:name w:val="Základní text Char"/>
    <w:basedOn w:val="Standardnpsmoodstavce"/>
    <w:link w:val="Zkladntext"/>
    <w:rsid w:val="00766C3E"/>
    <w:rPr>
      <w:rFonts w:ascii="Calibri" w:eastAsia="Calibri" w:hAnsi="Calibri" w:cs="Calibri"/>
      <w:position w:val="-1"/>
    </w:rPr>
  </w:style>
  <w:style w:type="paragraph" w:styleId="Textbubliny">
    <w:name w:val="Balloon Text"/>
    <w:basedOn w:val="Normln"/>
    <w:link w:val="TextbublinyChar"/>
    <w:autoRedefine/>
    <w:hidden/>
    <w:qFormat/>
    <w:rsid w:val="00766C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66C3E"/>
    <w:rPr>
      <w:rFonts w:ascii="Segoe UI" w:eastAsia="Calibri" w:hAnsi="Segoe UI" w:cs="Segoe UI"/>
      <w:position w:val="-1"/>
      <w:sz w:val="18"/>
      <w:szCs w:val="18"/>
    </w:rPr>
  </w:style>
  <w:style w:type="paragraph" w:customStyle="1" w:styleId="ICBCnazevsmernice">
    <w:name w:val="ICBC nazev smernice"/>
    <w:basedOn w:val="Zkladntext"/>
    <w:autoRedefine/>
    <w:hidden/>
    <w:qFormat/>
    <w:rsid w:val="00766C3E"/>
    <w:pPr>
      <w:jc w:val="center"/>
    </w:pPr>
    <w:rPr>
      <w:b/>
      <w:sz w:val="60"/>
    </w:rPr>
  </w:style>
  <w:style w:type="paragraph" w:customStyle="1" w:styleId="TOC2">
    <w:name w:val="TOC 2"/>
    <w:basedOn w:val="Normln"/>
    <w:next w:val="Normln"/>
    <w:autoRedefine/>
    <w:hidden/>
    <w:qFormat/>
    <w:rsid w:val="00766C3E"/>
    <w:pPr>
      <w:ind w:leftChars="200" w:left="420"/>
    </w:pPr>
  </w:style>
  <w:style w:type="paragraph" w:customStyle="1" w:styleId="TOC5">
    <w:name w:val="TOC 5"/>
    <w:basedOn w:val="Normln"/>
    <w:next w:val="Normln"/>
    <w:autoRedefine/>
    <w:hidden/>
    <w:qFormat/>
    <w:rsid w:val="00766C3E"/>
    <w:pPr>
      <w:ind w:leftChars="800" w:left="1680"/>
    </w:pPr>
  </w:style>
  <w:style w:type="paragraph" w:customStyle="1" w:styleId="TOC1">
    <w:name w:val="TOC 1"/>
    <w:basedOn w:val="Normln"/>
    <w:next w:val="Normln"/>
    <w:autoRedefine/>
    <w:hidden/>
    <w:qFormat/>
    <w:rsid w:val="00766C3E"/>
  </w:style>
  <w:style w:type="paragraph" w:styleId="Normlnweb">
    <w:name w:val="Normal (Web)"/>
    <w:autoRedefine/>
    <w:hidden/>
    <w:qFormat/>
    <w:rsid w:val="00766C3E"/>
    <w:pPr>
      <w:suppressAutoHyphens/>
      <w:spacing w:before="100" w:beforeAutospacing="1" w:after="100" w:afterAutospacing="1" w:line="1" w:lineRule="atLeast"/>
      <w:ind w:leftChars="-1" w:left="-1" w:hangingChars="1" w:hanging="1"/>
      <w:textDirection w:val="btLr"/>
      <w:textAlignment w:val="top"/>
      <w:outlineLvl w:val="0"/>
    </w:pPr>
    <w:rPr>
      <w:rFonts w:ascii="Calibri" w:eastAsia="Calibri" w:hAnsi="Calibri" w:cs="Calibri"/>
      <w:position w:val="-1"/>
      <w:sz w:val="24"/>
      <w:szCs w:val="24"/>
      <w:lang w:eastAsia="zh-CN"/>
    </w:rPr>
  </w:style>
  <w:style w:type="paragraph" w:customStyle="1" w:styleId="FootnoteText">
    <w:name w:val="Footnote Text"/>
    <w:basedOn w:val="Normln"/>
    <w:autoRedefine/>
    <w:hidden/>
    <w:qFormat/>
    <w:rsid w:val="00766C3E"/>
    <w:rPr>
      <w:sz w:val="18"/>
      <w:szCs w:val="18"/>
    </w:rPr>
  </w:style>
  <w:style w:type="paragraph" w:customStyle="1" w:styleId="TOC3">
    <w:name w:val="TOC 3"/>
    <w:basedOn w:val="Normln"/>
    <w:next w:val="Normln"/>
    <w:autoRedefine/>
    <w:hidden/>
    <w:qFormat/>
    <w:rsid w:val="00766C3E"/>
    <w:pPr>
      <w:ind w:leftChars="400" w:left="840"/>
    </w:pPr>
  </w:style>
  <w:style w:type="paragraph" w:customStyle="1" w:styleId="Header">
    <w:name w:val="Header"/>
    <w:basedOn w:val="Normln"/>
    <w:autoRedefine/>
    <w:hidden/>
    <w:qFormat/>
    <w:rsid w:val="00766C3E"/>
    <w:pPr>
      <w:tabs>
        <w:tab w:val="center" w:pos="4153"/>
        <w:tab w:val="right" w:pos="8306"/>
      </w:tabs>
    </w:pPr>
    <w:rPr>
      <w:sz w:val="18"/>
      <w:szCs w:val="18"/>
    </w:rPr>
  </w:style>
  <w:style w:type="paragraph" w:customStyle="1" w:styleId="Outline2">
    <w:name w:val="Outline 2"/>
    <w:autoRedefine/>
    <w:hidden/>
    <w:qFormat/>
    <w:rsid w:val="00766C3E"/>
    <w:pPr>
      <w:tabs>
        <w:tab w:val="left" w:pos="709"/>
      </w:tabs>
      <w:suppressAutoHyphens/>
      <w:spacing w:after="160" w:line="1" w:lineRule="atLeast"/>
      <w:ind w:leftChars="-1" w:left="-1" w:hangingChars="1" w:hanging="1"/>
      <w:textDirection w:val="btLr"/>
      <w:textAlignment w:val="top"/>
      <w:outlineLvl w:val="0"/>
    </w:pPr>
    <w:rPr>
      <w:rFonts w:ascii="Calibri" w:eastAsia="Calibri" w:hAnsi="Calibri" w:cs="Calibri"/>
      <w:position w:val="-1"/>
      <w:lang w:eastAsia="sk-SK"/>
    </w:rPr>
  </w:style>
  <w:style w:type="paragraph" w:customStyle="1" w:styleId="ListParagraph1">
    <w:name w:val="List Paragraph1"/>
    <w:basedOn w:val="Normln"/>
    <w:autoRedefine/>
    <w:hidden/>
    <w:qFormat/>
    <w:rsid w:val="00766C3E"/>
    <w:pPr>
      <w:ind w:left="720"/>
      <w:contextualSpacing/>
    </w:pPr>
  </w:style>
  <w:style w:type="paragraph" w:customStyle="1" w:styleId="TOC6">
    <w:name w:val="TOC 6"/>
    <w:basedOn w:val="Normln"/>
    <w:next w:val="Normln"/>
    <w:autoRedefine/>
    <w:hidden/>
    <w:qFormat/>
    <w:rsid w:val="00766C3E"/>
    <w:pPr>
      <w:ind w:leftChars="1000" w:left="2100"/>
    </w:pPr>
  </w:style>
  <w:style w:type="paragraph" w:customStyle="1" w:styleId="TOC4">
    <w:name w:val="TOC 4"/>
    <w:basedOn w:val="Normln"/>
    <w:next w:val="Normln"/>
    <w:autoRedefine/>
    <w:hidden/>
    <w:qFormat/>
    <w:rsid w:val="00766C3E"/>
    <w:pPr>
      <w:ind w:leftChars="600" w:left="1260"/>
    </w:pPr>
  </w:style>
  <w:style w:type="table" w:styleId="Mkatabulky">
    <w:name w:val="Table Grid"/>
    <w:basedOn w:val="TableNormal"/>
    <w:autoRedefine/>
    <w:hidden/>
    <w:qFormat/>
    <w:rsid w:val="00766C3E"/>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ntabelle3Akzent11">
    <w:name w:val="Listentabelle 3 – Akzent 11"/>
    <w:basedOn w:val="TableNormal"/>
    <w:autoRedefine/>
    <w:hidden/>
    <w:qFormat/>
    <w:rsid w:val="00766C3E"/>
    <w:pPr>
      <w:suppressAutoHyphens/>
      <w:spacing w:after="0" w:line="240" w:lineRule="auto"/>
      <w:ind w:leftChars="-1" w:left="-1" w:hangingChars="1" w:hanging="1"/>
      <w:textDirection w:val="btLr"/>
      <w:textAlignment w:val="top"/>
      <w:outlineLvl w:val="0"/>
    </w:pPr>
    <w:rPr>
      <w:position w:val="-1"/>
      <w:sz w:val="21"/>
      <w:szCs w:val="21"/>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style>
  <w:style w:type="table" w:customStyle="1" w:styleId="Tabellenraster1">
    <w:name w:val="Tabellenraster1"/>
    <w:basedOn w:val="TableNormal"/>
    <w:autoRedefine/>
    <w:hidden/>
    <w:qFormat/>
    <w:rsid w:val="00766C3E"/>
    <w:pPr>
      <w:suppressAutoHyphens/>
      <w:spacing w:after="0" w:line="240" w:lineRule="auto"/>
      <w:ind w:leftChars="-1" w:left="-1" w:hangingChars="1" w:hanging="1"/>
      <w:textDirection w:val="btLr"/>
      <w:textAlignment w:val="top"/>
      <w:outlineLvl w:val="0"/>
    </w:pPr>
    <w:rPr>
      <w:position w:val="-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titul">
    <w:name w:val="Subtitle"/>
    <w:basedOn w:val="Normln"/>
    <w:next w:val="Normln"/>
    <w:link w:val="PodtitulChar"/>
    <w:rsid w:val="00766C3E"/>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rsid w:val="00766C3E"/>
    <w:rPr>
      <w:rFonts w:ascii="Georgia" w:eastAsia="Georgia" w:hAnsi="Georgia" w:cs="Georgia"/>
      <w:i/>
      <w:color w:val="666666"/>
      <w:position w:val="-1"/>
      <w:sz w:val="48"/>
      <w:szCs w:val="48"/>
    </w:rPr>
  </w:style>
  <w:style w:type="paragraph" w:styleId="Obsah1">
    <w:name w:val="toc 1"/>
    <w:basedOn w:val="Normln"/>
    <w:next w:val="Normln"/>
    <w:autoRedefine/>
    <w:uiPriority w:val="39"/>
    <w:unhideWhenUsed/>
    <w:rsid w:val="004A470F"/>
    <w:pPr>
      <w:spacing w:after="100"/>
      <w:ind w:left="0"/>
    </w:pPr>
  </w:style>
  <w:style w:type="paragraph" w:styleId="Obsah2">
    <w:name w:val="toc 2"/>
    <w:basedOn w:val="Normln"/>
    <w:next w:val="Normln"/>
    <w:autoRedefine/>
    <w:uiPriority w:val="39"/>
    <w:unhideWhenUsed/>
    <w:rsid w:val="004A470F"/>
    <w:pPr>
      <w:spacing w:after="100"/>
      <w:ind w:left="220"/>
    </w:pPr>
  </w:style>
  <w:style w:type="paragraph" w:styleId="Obsah3">
    <w:name w:val="toc 3"/>
    <w:basedOn w:val="Normln"/>
    <w:next w:val="Normln"/>
    <w:autoRedefine/>
    <w:uiPriority w:val="39"/>
    <w:unhideWhenUsed/>
    <w:rsid w:val="004A470F"/>
    <w:pPr>
      <w:spacing w:after="100"/>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27</Pages>
  <Words>9199</Words>
  <Characters>52438</Characters>
  <Application>Microsoft Office Word</Application>
  <DocSecurity>0</DocSecurity>
  <Lines>436</Lines>
  <Paragraphs>123</Paragraphs>
  <ScaleCrop>false</ScaleCrop>
  <Company/>
  <LinksUpToDate>false</LinksUpToDate>
  <CharactersWithSpaces>61514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5</cp:revision>
  <dcterms:created xsi:type="dcterms:W3CDTF">2025-07-24T23:25:00Z</dcterms:created>
  <dcterms:modified xsi:type="dcterms:W3CDTF">2025-07-30T00:08:00Z</dcterms:modified>
</cp:coreProperties>
</file>