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20F" w:rsidRPr="00F914AB" w:rsidRDefault="00EC620F" w:rsidP="00EC620F">
      <w:pPr>
        <w:pStyle w:val="Nzev"/>
        <w:keepNext w:val="0"/>
        <w:keepLines w:val="0"/>
        <w:widowControl w:val="0"/>
        <w:spacing w:before="0" w:after="0"/>
        <w:jc w:val="right"/>
        <w:rPr>
          <w:rFonts w:ascii="Athiti" w:eastAsia="Athiti" w:hAnsi="Athiti" w:cs="Athiti"/>
          <w:b w:val="0"/>
          <w:sz w:val="18"/>
          <w:szCs w:val="18"/>
          <w:highlight w:val="yellow"/>
          <w:lang w:val="cs-CZ"/>
        </w:rPr>
      </w:pPr>
      <w:bookmarkStart w:id="0" w:name="_heading=h.l79du0hx25jr" w:colFirst="0" w:colLast="0"/>
      <w:bookmarkEnd w:id="0"/>
    </w:p>
    <w:p w:rsidR="00EC620F" w:rsidRPr="00F914AB" w:rsidRDefault="00EC620F" w:rsidP="00EC620F">
      <w:pPr>
        <w:pStyle w:val="Nzev"/>
        <w:keepNext w:val="0"/>
        <w:keepLines w:val="0"/>
        <w:widowControl w:val="0"/>
        <w:spacing w:before="0" w:after="0"/>
        <w:jc w:val="right"/>
        <w:rPr>
          <w:rFonts w:ascii="Athiti" w:eastAsia="Athiti" w:hAnsi="Athiti" w:cs="Athiti"/>
          <w:b w:val="0"/>
          <w:sz w:val="18"/>
          <w:szCs w:val="18"/>
          <w:highlight w:val="yellow"/>
          <w:lang w:val="cs-CZ"/>
        </w:rPr>
      </w:pPr>
      <w:bookmarkStart w:id="1" w:name="_heading=h.6hmko09gw3jw" w:colFirst="0" w:colLast="0"/>
      <w:bookmarkEnd w:id="1"/>
    </w:p>
    <w:p w:rsidR="00EC620F" w:rsidRPr="00F914AB" w:rsidRDefault="00EC620F" w:rsidP="00EC620F">
      <w:pPr>
        <w:pStyle w:val="Nzev"/>
        <w:keepNext w:val="0"/>
        <w:keepLines w:val="0"/>
        <w:widowControl w:val="0"/>
        <w:spacing w:before="0" w:after="0"/>
        <w:jc w:val="right"/>
        <w:rPr>
          <w:rFonts w:ascii="Athiti" w:eastAsia="Athiti" w:hAnsi="Athiti" w:cs="Athiti"/>
          <w:b w:val="0"/>
          <w:sz w:val="18"/>
          <w:szCs w:val="18"/>
          <w:highlight w:val="yellow"/>
          <w:lang w:val="cs-CZ"/>
        </w:rPr>
      </w:pPr>
      <w:bookmarkStart w:id="2" w:name="_heading=h.m1lsepsbrrkh" w:colFirst="0" w:colLast="0"/>
      <w:bookmarkEnd w:id="2"/>
    </w:p>
    <w:p w:rsidR="00EC620F" w:rsidRPr="00F914AB" w:rsidRDefault="00EC620F" w:rsidP="00EC620F">
      <w:pPr>
        <w:pStyle w:val="Nzev"/>
        <w:keepNext w:val="0"/>
        <w:keepLines w:val="0"/>
        <w:widowControl w:val="0"/>
        <w:spacing w:before="0" w:after="0"/>
        <w:jc w:val="right"/>
        <w:rPr>
          <w:rFonts w:ascii="Athiti" w:eastAsia="Athiti" w:hAnsi="Athiti" w:cs="Athiti"/>
          <w:b w:val="0"/>
          <w:sz w:val="18"/>
          <w:szCs w:val="18"/>
          <w:highlight w:val="yellow"/>
          <w:lang w:val="cs-CZ"/>
        </w:rPr>
      </w:pPr>
      <w:bookmarkStart w:id="3" w:name="_heading=h.knqfi46ieyo5" w:colFirst="0" w:colLast="0"/>
      <w:bookmarkEnd w:id="3"/>
    </w:p>
    <w:p w:rsidR="00EC620F" w:rsidRPr="00F914AB" w:rsidRDefault="00EC620F" w:rsidP="00EC620F">
      <w:pPr>
        <w:pStyle w:val="Nzev"/>
        <w:keepNext w:val="0"/>
        <w:keepLines w:val="0"/>
        <w:widowControl w:val="0"/>
        <w:spacing w:before="0" w:after="0"/>
        <w:jc w:val="right"/>
        <w:rPr>
          <w:rFonts w:ascii="Athiti" w:eastAsia="Athiti" w:hAnsi="Athiti" w:cs="Athiti"/>
          <w:b w:val="0"/>
          <w:sz w:val="18"/>
          <w:szCs w:val="18"/>
          <w:highlight w:val="yellow"/>
          <w:lang w:val="cs-CZ"/>
        </w:rPr>
      </w:pPr>
      <w:bookmarkStart w:id="4" w:name="_heading=h.1er7i21vgr5p" w:colFirst="0" w:colLast="0"/>
      <w:bookmarkEnd w:id="4"/>
    </w:p>
    <w:p w:rsidR="00EC620F" w:rsidRPr="00F914AB" w:rsidRDefault="00EC620F" w:rsidP="00EC620F">
      <w:pPr>
        <w:pStyle w:val="normal"/>
        <w:rPr>
          <w:rFonts w:ascii="Athiti" w:eastAsia="Athiti" w:hAnsi="Athiti" w:cs="Athiti"/>
          <w:b/>
          <w:color w:val="44546A"/>
          <w:sz w:val="48"/>
          <w:szCs w:val="48"/>
          <w:lang w:val="cs-CZ"/>
        </w:rPr>
      </w:pPr>
      <w:bookmarkStart w:id="5" w:name="_heading=h.pksdeoga8ghp" w:colFirst="0" w:colLast="0"/>
      <w:bookmarkStart w:id="6" w:name="_heading=h.8dvo4inpgm8o" w:colFirst="0" w:colLast="0"/>
      <w:bookmarkEnd w:id="5"/>
      <w:bookmarkEnd w:id="6"/>
    </w:p>
    <w:p w:rsidR="00EC620F" w:rsidRPr="00F914AB" w:rsidRDefault="00EC620F" w:rsidP="00EC620F">
      <w:pPr>
        <w:pStyle w:val="normal"/>
        <w:rPr>
          <w:rFonts w:ascii="Athiti" w:eastAsia="Athiti" w:hAnsi="Athiti" w:cs="Athiti"/>
          <w:b/>
          <w:color w:val="44546A"/>
          <w:sz w:val="48"/>
          <w:szCs w:val="48"/>
          <w:lang w:val="cs-CZ"/>
        </w:rPr>
      </w:pPr>
    </w:p>
    <w:p w:rsidR="00EC620F" w:rsidRPr="00F914AB" w:rsidRDefault="00EC620F" w:rsidP="00EC620F">
      <w:pPr>
        <w:pStyle w:val="normal"/>
        <w:jc w:val="center"/>
        <w:rPr>
          <w:rFonts w:ascii="Athiti" w:eastAsia="Athiti" w:hAnsi="Athiti" w:cs="Athiti"/>
          <w:b/>
          <w:sz w:val="48"/>
          <w:szCs w:val="48"/>
          <w:lang w:val="cs-CZ"/>
        </w:rPr>
      </w:pPr>
    </w:p>
    <w:p w:rsidR="00EC620F" w:rsidRPr="00F914AB" w:rsidRDefault="00EC620F" w:rsidP="00EC620F">
      <w:pPr>
        <w:pStyle w:val="normal"/>
        <w:jc w:val="center"/>
        <w:rPr>
          <w:rFonts w:ascii="Athiti" w:eastAsia="Athiti" w:hAnsi="Athiti" w:cs="Athiti"/>
          <w:b/>
          <w:color w:val="44546A"/>
          <w:sz w:val="48"/>
          <w:szCs w:val="48"/>
          <w:lang w:val="cs-CZ"/>
        </w:rPr>
      </w:pPr>
      <w:r w:rsidRPr="00F914AB">
        <w:rPr>
          <w:rFonts w:ascii="Athiti" w:eastAsia="Athiti" w:hAnsi="Athiti" w:cs="Athiti"/>
          <w:b/>
          <w:sz w:val="48"/>
          <w:szCs w:val="48"/>
          <w:lang w:val="cs-CZ"/>
        </w:rPr>
        <w:t>Metodika stanovení cen</w:t>
      </w:r>
    </w:p>
    <w:p w:rsidR="00EC620F" w:rsidRPr="00F914AB" w:rsidRDefault="00EC620F" w:rsidP="00EC620F">
      <w:pPr>
        <w:rPr>
          <w:rFonts w:eastAsia="Athiti"/>
          <w:lang w:val="cs-CZ"/>
        </w:rPr>
      </w:pPr>
      <w:bookmarkStart w:id="7" w:name="_heading=h.wxzpvxfe9a17" w:colFirst="0" w:colLast="0"/>
      <w:bookmarkEnd w:id="7"/>
    </w:p>
    <w:tbl>
      <w:tblPr>
        <w:tblpPr w:leftFromText="180" w:rightFromText="180" w:topFromText="180" w:bottomFromText="180" w:vertAnchor="text" w:horzAnchor="page" w:tblpX="5910" w:tblpY="2983"/>
        <w:tblW w:w="5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EC620F" w:rsidRPr="00F914AB" w:rsidTr="0065652B">
        <w:trPr>
          <w:cantSplit/>
          <w:trHeight w:val="354"/>
          <w:tblHeader/>
        </w:trPr>
        <w:tc>
          <w:tcPr>
            <w:tcW w:w="3149" w:type="dxa"/>
            <w:shd w:val="clear" w:color="auto" w:fill="EFEFEF"/>
          </w:tcPr>
          <w:p w:rsidR="00EC620F" w:rsidRPr="00F914AB" w:rsidRDefault="00EC620F" w:rsidP="0065652B">
            <w:pPr>
              <w:pStyle w:val="normal"/>
              <w:widowControl w:val="0"/>
              <w:tabs>
                <w:tab w:val="left" w:pos="9356"/>
              </w:tabs>
              <w:spacing w:before="64" w:after="0" w:line="240" w:lineRule="auto"/>
              <w:ind w:left="105"/>
              <w:rPr>
                <w:rFonts w:ascii="Athiti" w:eastAsia="Athiti" w:hAnsi="Athiti" w:cs="Athiti"/>
                <w:b/>
                <w:sz w:val="20"/>
                <w:szCs w:val="20"/>
                <w:lang w:val="cs-CZ"/>
              </w:rPr>
            </w:pPr>
            <w:r w:rsidRPr="00F914AB">
              <w:rPr>
                <w:rFonts w:ascii="Athiti" w:eastAsia="Athiti" w:hAnsi="Athiti" w:cs="Athiti"/>
                <w:b/>
                <w:sz w:val="20"/>
                <w:szCs w:val="20"/>
                <w:lang w:val="cs-CZ"/>
              </w:rPr>
              <w:t>Verze:</w:t>
            </w:r>
          </w:p>
        </w:tc>
        <w:tc>
          <w:tcPr>
            <w:tcW w:w="2746" w:type="dxa"/>
          </w:tcPr>
          <w:p w:rsidR="00EC620F" w:rsidRPr="00F914AB" w:rsidRDefault="00EC620F" w:rsidP="0065652B">
            <w:pPr>
              <w:pStyle w:val="normal"/>
              <w:widowControl w:val="0"/>
              <w:tabs>
                <w:tab w:val="left" w:pos="9356"/>
              </w:tabs>
              <w:spacing w:before="71" w:after="0" w:line="240" w:lineRule="auto"/>
              <w:ind w:right="94"/>
              <w:rPr>
                <w:rFonts w:ascii="Athiti" w:eastAsia="Athiti" w:hAnsi="Athiti" w:cs="Athiti"/>
                <w:sz w:val="20"/>
                <w:szCs w:val="20"/>
                <w:lang w:val="cs-CZ"/>
              </w:rPr>
            </w:pPr>
            <w:r w:rsidRPr="00F914AB">
              <w:rPr>
                <w:rFonts w:ascii="Athiti" w:eastAsia="Athiti" w:hAnsi="Athiti" w:cs="Athiti"/>
                <w:sz w:val="20"/>
                <w:szCs w:val="20"/>
                <w:lang w:val="cs-CZ"/>
              </w:rPr>
              <w:t>1.0</w:t>
            </w:r>
          </w:p>
        </w:tc>
      </w:tr>
      <w:tr w:rsidR="00EC620F" w:rsidRPr="00F914AB" w:rsidTr="0065652B">
        <w:trPr>
          <w:cantSplit/>
          <w:trHeight w:val="354"/>
          <w:tblHeader/>
        </w:trPr>
        <w:tc>
          <w:tcPr>
            <w:tcW w:w="3149" w:type="dxa"/>
            <w:shd w:val="clear" w:color="auto" w:fill="EFEFEF"/>
          </w:tcPr>
          <w:p w:rsidR="00EC620F" w:rsidRPr="00F914AB" w:rsidRDefault="00EC620F" w:rsidP="0065652B">
            <w:pPr>
              <w:pStyle w:val="normal"/>
              <w:widowControl w:val="0"/>
              <w:tabs>
                <w:tab w:val="left" w:pos="9356"/>
              </w:tabs>
              <w:spacing w:before="64" w:after="0" w:line="240" w:lineRule="auto"/>
              <w:ind w:left="105"/>
              <w:rPr>
                <w:rFonts w:ascii="Athiti" w:eastAsia="Athiti" w:hAnsi="Athiti" w:cs="Athiti"/>
                <w:b/>
                <w:sz w:val="20"/>
                <w:szCs w:val="20"/>
                <w:lang w:val="cs-CZ"/>
              </w:rPr>
            </w:pPr>
            <w:r w:rsidRPr="00F914AB">
              <w:rPr>
                <w:rFonts w:ascii="Athiti" w:eastAsia="Athiti" w:hAnsi="Athiti" w:cs="Athiti"/>
                <w:b/>
                <w:sz w:val="20"/>
                <w:szCs w:val="20"/>
                <w:lang w:val="cs-CZ"/>
              </w:rPr>
              <w:t>Schváleno dne:</w:t>
            </w:r>
          </w:p>
        </w:tc>
        <w:tc>
          <w:tcPr>
            <w:tcW w:w="2746" w:type="dxa"/>
          </w:tcPr>
          <w:p w:rsidR="00EC620F" w:rsidRPr="00F914AB" w:rsidRDefault="005213A5" w:rsidP="0065652B">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EC620F" w:rsidRPr="00F914AB" w:rsidTr="0065652B">
        <w:trPr>
          <w:cantSplit/>
          <w:trHeight w:val="354"/>
          <w:tblHeader/>
        </w:trPr>
        <w:tc>
          <w:tcPr>
            <w:tcW w:w="3149" w:type="dxa"/>
            <w:shd w:val="clear" w:color="auto" w:fill="EFEFEF"/>
          </w:tcPr>
          <w:p w:rsidR="00EC620F" w:rsidRPr="00F914AB" w:rsidRDefault="00EC620F" w:rsidP="0065652B">
            <w:pPr>
              <w:pStyle w:val="normal"/>
              <w:widowControl w:val="0"/>
              <w:tabs>
                <w:tab w:val="left" w:pos="9356"/>
              </w:tabs>
              <w:spacing w:before="64" w:after="0" w:line="240" w:lineRule="auto"/>
              <w:ind w:left="105"/>
              <w:rPr>
                <w:rFonts w:ascii="Athiti" w:eastAsia="Athiti" w:hAnsi="Athiti" w:cs="Athiti"/>
                <w:b/>
                <w:sz w:val="20"/>
                <w:szCs w:val="20"/>
                <w:lang w:val="cs-CZ"/>
              </w:rPr>
            </w:pPr>
            <w:r w:rsidRPr="00F914AB">
              <w:rPr>
                <w:rFonts w:ascii="Athiti" w:eastAsia="Athiti" w:hAnsi="Athiti" w:cs="Athiti"/>
                <w:b/>
                <w:sz w:val="20"/>
                <w:szCs w:val="20"/>
                <w:lang w:val="cs-CZ"/>
              </w:rPr>
              <w:t>Schváleno oddělením:</w:t>
            </w:r>
          </w:p>
        </w:tc>
        <w:tc>
          <w:tcPr>
            <w:tcW w:w="2746" w:type="dxa"/>
          </w:tcPr>
          <w:p w:rsidR="00EC620F" w:rsidRPr="00F914AB" w:rsidRDefault="00EC620F" w:rsidP="0065652B">
            <w:pPr>
              <w:pStyle w:val="normal"/>
              <w:widowControl w:val="0"/>
              <w:tabs>
                <w:tab w:val="left" w:pos="9356"/>
              </w:tabs>
              <w:spacing w:before="71" w:after="0" w:line="240" w:lineRule="auto"/>
              <w:ind w:right="94"/>
              <w:rPr>
                <w:rFonts w:ascii="Athiti" w:eastAsia="Athiti" w:hAnsi="Athiti" w:cs="Athiti"/>
                <w:sz w:val="20"/>
                <w:szCs w:val="20"/>
                <w:lang w:val="cs-CZ"/>
              </w:rPr>
            </w:pPr>
            <w:r w:rsidRPr="00F914AB">
              <w:rPr>
                <w:rFonts w:ascii="Athiti" w:eastAsia="Athiti" w:hAnsi="Athiti" w:cs="Athiti"/>
                <w:sz w:val="20"/>
                <w:szCs w:val="20"/>
                <w:lang w:val="cs-CZ"/>
              </w:rPr>
              <w:t>Compliance</w:t>
            </w:r>
          </w:p>
        </w:tc>
      </w:tr>
      <w:tr w:rsidR="00EC620F" w:rsidRPr="00F914AB" w:rsidTr="0065652B">
        <w:trPr>
          <w:cantSplit/>
          <w:trHeight w:val="354"/>
          <w:tblHeader/>
        </w:trPr>
        <w:tc>
          <w:tcPr>
            <w:tcW w:w="3149" w:type="dxa"/>
            <w:shd w:val="clear" w:color="auto" w:fill="EFEFEF"/>
          </w:tcPr>
          <w:p w:rsidR="00EC620F" w:rsidRPr="00F914AB" w:rsidRDefault="00EC620F" w:rsidP="0065652B">
            <w:pPr>
              <w:pStyle w:val="normal"/>
              <w:widowControl w:val="0"/>
              <w:tabs>
                <w:tab w:val="left" w:pos="9356"/>
              </w:tabs>
              <w:spacing w:before="64" w:after="0" w:line="240" w:lineRule="auto"/>
              <w:ind w:left="105"/>
              <w:rPr>
                <w:rFonts w:ascii="Athiti" w:eastAsia="Athiti" w:hAnsi="Athiti" w:cs="Athiti"/>
                <w:b/>
                <w:sz w:val="20"/>
                <w:szCs w:val="20"/>
                <w:lang w:val="cs-CZ"/>
              </w:rPr>
            </w:pPr>
            <w:r w:rsidRPr="00F914AB">
              <w:rPr>
                <w:rFonts w:ascii="Athiti" w:eastAsia="Athiti" w:hAnsi="Athiti" w:cs="Athiti"/>
                <w:b/>
                <w:sz w:val="20"/>
                <w:szCs w:val="20"/>
                <w:lang w:val="cs-CZ"/>
              </w:rPr>
              <w:t>Naposledy aktualizováno:</w:t>
            </w:r>
          </w:p>
        </w:tc>
        <w:tc>
          <w:tcPr>
            <w:tcW w:w="2746" w:type="dxa"/>
          </w:tcPr>
          <w:p w:rsidR="00EC620F" w:rsidRPr="00F914AB" w:rsidRDefault="005213A5" w:rsidP="0065652B">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EC620F" w:rsidRPr="00F914AB" w:rsidRDefault="00EC620F" w:rsidP="00EC620F">
      <w:pPr>
        <w:pStyle w:val="normal"/>
        <w:widowControl w:val="0"/>
        <w:tabs>
          <w:tab w:val="left" w:pos="9356"/>
        </w:tabs>
        <w:spacing w:before="6" w:after="0" w:line="240" w:lineRule="auto"/>
        <w:rPr>
          <w:rFonts w:ascii="Athiti" w:eastAsia="Athiti" w:hAnsi="Athiti" w:cs="Athiti"/>
          <w:sz w:val="18"/>
          <w:szCs w:val="18"/>
          <w:lang w:val="cs-CZ"/>
        </w:rPr>
      </w:pPr>
    </w:p>
    <w:p w:rsidR="00EC620F" w:rsidRPr="00F914AB" w:rsidRDefault="00EC620F" w:rsidP="00EC620F">
      <w:pPr>
        <w:pStyle w:val="normal"/>
        <w:keepNext/>
        <w:keepLines/>
        <w:spacing w:before="360" w:after="240"/>
        <w:jc w:val="left"/>
        <w:rPr>
          <w:rFonts w:ascii="Athiti" w:eastAsia="Athiti" w:hAnsi="Athiti" w:cs="Athiti"/>
          <w:sz w:val="18"/>
          <w:szCs w:val="18"/>
          <w:lang w:val="cs-CZ"/>
        </w:rPr>
      </w:pPr>
      <w:r w:rsidRPr="00F914AB">
        <w:rPr>
          <w:lang w:val="cs-CZ"/>
        </w:rPr>
        <w:br w:type="page"/>
      </w:r>
    </w:p>
    <w:p w:rsidR="00EC620F" w:rsidRPr="00F914AB" w:rsidRDefault="00EC620F" w:rsidP="00EC620F">
      <w:pPr>
        <w:pStyle w:val="normal"/>
        <w:keepNext/>
        <w:keepLines/>
        <w:spacing w:before="360" w:after="240"/>
        <w:jc w:val="left"/>
        <w:rPr>
          <w:rFonts w:ascii="Athiti" w:eastAsia="Athiti" w:hAnsi="Athiti" w:cs="Athiti"/>
          <w:b/>
          <w:sz w:val="36"/>
          <w:szCs w:val="36"/>
          <w:lang w:val="cs-CZ"/>
        </w:rPr>
      </w:pPr>
      <w:r w:rsidRPr="00F914AB">
        <w:rPr>
          <w:rFonts w:ascii="Athiti" w:eastAsia="Athiti" w:hAnsi="Athiti" w:cs="Athiti"/>
          <w:b/>
          <w:sz w:val="36"/>
          <w:szCs w:val="36"/>
          <w:lang w:val="cs-CZ"/>
        </w:rPr>
        <w:lastRenderedPageBreak/>
        <w:t>Obsah</w:t>
      </w:r>
    </w:p>
    <w:sdt>
      <w:sdtPr>
        <w:rPr>
          <w:lang w:val="cs-CZ"/>
        </w:rPr>
        <w:id w:val="261488783"/>
        <w:docPartObj>
          <w:docPartGallery w:val="Table of Contents"/>
          <w:docPartUnique/>
        </w:docPartObj>
      </w:sdtPr>
      <w:sdtContent>
        <w:p w:rsidR="00EC620F" w:rsidRPr="00F914AB" w:rsidRDefault="00615519" w:rsidP="00EC620F">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r w:rsidRPr="00F914AB">
            <w:rPr>
              <w:lang w:val="cs-CZ"/>
            </w:rPr>
            <w:fldChar w:fldCharType="begin"/>
          </w:r>
          <w:r w:rsidR="00EC620F" w:rsidRPr="00F914AB">
            <w:rPr>
              <w:lang w:val="cs-CZ"/>
            </w:rPr>
            <w:instrText xml:space="preserve"> TOC \h \u \z \t "Heading 1,1,Heading 2,2,Heading 3,3,"</w:instrText>
          </w:r>
          <w:r w:rsidRPr="00F914AB">
            <w:rPr>
              <w:lang w:val="cs-CZ"/>
            </w:rPr>
            <w:fldChar w:fldCharType="separate"/>
          </w:r>
          <w:hyperlink w:anchor="_heading=h.rh6xsfikiuzi">
            <w:r w:rsidR="00EC620F" w:rsidRPr="00F914AB">
              <w:rPr>
                <w:rFonts w:ascii="Athiti" w:eastAsia="Athiti" w:hAnsi="Athiti" w:cs="Athiti"/>
                <w:b/>
                <w:color w:val="000000"/>
                <w:sz w:val="22"/>
                <w:szCs w:val="22"/>
                <w:lang w:val="cs-CZ"/>
              </w:rPr>
              <w:t>Pojmy a definice</w:t>
            </w:r>
            <w:r w:rsidR="00EC620F" w:rsidRPr="00F914AB">
              <w:rPr>
                <w:rFonts w:ascii="Athiti" w:eastAsia="Athiti" w:hAnsi="Athiti" w:cs="Athiti"/>
                <w:b/>
                <w:color w:val="000000"/>
                <w:sz w:val="22"/>
                <w:szCs w:val="22"/>
                <w:lang w:val="cs-CZ"/>
              </w:rPr>
              <w:tab/>
              <w:t>3</w:t>
            </w:r>
          </w:hyperlink>
        </w:p>
        <w:p w:rsidR="00EC620F" w:rsidRPr="00F914AB" w:rsidRDefault="00615519" w:rsidP="00EC620F">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8inkbtnyolwv">
            <w:r w:rsidR="00EC620F" w:rsidRPr="00F914AB">
              <w:rPr>
                <w:rFonts w:ascii="Athiti" w:eastAsia="Athiti" w:hAnsi="Athiti" w:cs="Athiti"/>
                <w:b/>
                <w:color w:val="000000"/>
                <w:lang w:val="cs-CZ"/>
              </w:rPr>
              <w:t>1 Úvod</w:t>
            </w:r>
            <w:r w:rsidR="00EC620F" w:rsidRPr="00F914AB">
              <w:rPr>
                <w:rFonts w:ascii="Athiti" w:eastAsia="Athiti" w:hAnsi="Athiti" w:cs="Athiti"/>
                <w:b/>
                <w:color w:val="000000"/>
                <w:lang w:val="cs-CZ"/>
              </w:rPr>
              <w:tab/>
              <w:t>4</w:t>
            </w:r>
          </w:hyperlink>
        </w:p>
        <w:p w:rsidR="00EC620F" w:rsidRPr="00F914AB" w:rsidRDefault="00615519" w:rsidP="00EC620F">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ilf34uaia9u">
            <w:r w:rsidR="00EC620F" w:rsidRPr="00F914AB">
              <w:rPr>
                <w:rFonts w:ascii="Athiti" w:eastAsia="Athiti" w:hAnsi="Athiti" w:cs="Athiti"/>
                <w:b/>
                <w:color w:val="000000"/>
                <w:lang w:val="cs-CZ"/>
              </w:rPr>
              <w:t>2 Obecná prohlášení</w:t>
            </w:r>
            <w:r w:rsidR="00EC620F" w:rsidRPr="00F914AB">
              <w:rPr>
                <w:rFonts w:ascii="Athiti" w:eastAsia="Athiti" w:hAnsi="Athiti" w:cs="Athiti"/>
                <w:b/>
                <w:color w:val="000000"/>
                <w:lang w:val="cs-CZ"/>
              </w:rPr>
              <w:tab/>
              <w:t>5</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ejf51u45fdhx">
            <w:r w:rsidR="00EC620F" w:rsidRPr="00F914AB">
              <w:rPr>
                <w:rFonts w:ascii="Athiti" w:eastAsia="Athiti" w:hAnsi="Athiti" w:cs="Athiti"/>
                <w:color w:val="000000"/>
                <w:lang w:val="cs-CZ"/>
              </w:rPr>
              <w:t>2.1 Rozsah</w:t>
            </w:r>
            <w:r w:rsidR="00EC620F" w:rsidRPr="00F914AB">
              <w:rPr>
                <w:rFonts w:ascii="Athiti" w:eastAsia="Athiti" w:hAnsi="Athiti" w:cs="Athiti"/>
                <w:color w:val="000000"/>
                <w:lang w:val="cs-CZ"/>
              </w:rPr>
              <w:tab/>
              <w:t>5</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84phhhk7i23e">
            <w:r w:rsidR="00EC620F" w:rsidRPr="00F914AB">
              <w:rPr>
                <w:rFonts w:ascii="Athiti" w:eastAsia="Athiti" w:hAnsi="Athiti" w:cs="Athiti"/>
                <w:color w:val="000000"/>
                <w:lang w:val="cs-CZ"/>
              </w:rPr>
              <w:t>2.2 Cíle</w:t>
            </w:r>
            <w:r w:rsidR="00EC620F" w:rsidRPr="00F914AB">
              <w:rPr>
                <w:rFonts w:ascii="Athiti" w:eastAsia="Athiti" w:hAnsi="Athiti" w:cs="Athiti"/>
                <w:color w:val="000000"/>
                <w:lang w:val="cs-CZ"/>
              </w:rPr>
              <w:tab/>
              <w:t>5</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r7y3yn4cpyue">
            <w:r w:rsidR="00EC620F" w:rsidRPr="00F914AB">
              <w:rPr>
                <w:rFonts w:ascii="Athiti" w:eastAsia="Athiti" w:hAnsi="Athiti" w:cs="Athiti"/>
                <w:color w:val="000000"/>
                <w:lang w:val="cs-CZ"/>
              </w:rPr>
              <w:t>2.3 Přezkum politiky</w:t>
            </w:r>
            <w:r w:rsidR="00EC620F" w:rsidRPr="00F914AB">
              <w:rPr>
                <w:rFonts w:ascii="Athiti" w:eastAsia="Athiti" w:hAnsi="Athiti" w:cs="Athiti"/>
                <w:color w:val="000000"/>
                <w:lang w:val="cs-CZ"/>
              </w:rPr>
              <w:tab/>
              <w:t>5</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ff0632xjmu9b">
            <w:r w:rsidR="00EC620F" w:rsidRPr="00F914AB">
              <w:rPr>
                <w:rFonts w:ascii="Athiti" w:eastAsia="Athiti" w:hAnsi="Athiti" w:cs="Athiti"/>
                <w:color w:val="000000"/>
                <w:lang w:val="cs-CZ"/>
              </w:rPr>
              <w:t>2.4 Komunikace politiky</w:t>
            </w:r>
            <w:r w:rsidR="00EC620F" w:rsidRPr="00F914AB">
              <w:rPr>
                <w:rFonts w:ascii="Athiti" w:eastAsia="Athiti" w:hAnsi="Athiti" w:cs="Athiti"/>
                <w:color w:val="000000"/>
                <w:lang w:val="cs-CZ"/>
              </w:rPr>
              <w:tab/>
              <w:t>6</w:t>
            </w:r>
          </w:hyperlink>
        </w:p>
        <w:p w:rsidR="00EC620F" w:rsidRPr="00F914AB" w:rsidRDefault="00615519" w:rsidP="00EC620F">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54qmfylp79qz">
            <w:r w:rsidR="00EC620F" w:rsidRPr="00F914AB">
              <w:rPr>
                <w:rFonts w:ascii="Athiti" w:eastAsia="Athiti" w:hAnsi="Athiti" w:cs="Athiti"/>
                <w:b/>
                <w:color w:val="000000"/>
                <w:lang w:val="cs-CZ"/>
              </w:rPr>
              <w:t>3 Řízení ochrany soukromí</w:t>
            </w:r>
            <w:r w:rsidR="00EC620F" w:rsidRPr="00F914AB">
              <w:rPr>
                <w:rFonts w:ascii="Athiti" w:eastAsia="Athiti" w:hAnsi="Athiti" w:cs="Athiti"/>
                <w:b/>
                <w:color w:val="000000"/>
                <w:lang w:val="cs-CZ"/>
              </w:rPr>
              <w:tab/>
              <w:t>7</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9u04l81afef3">
            <w:r w:rsidR="00EC620F" w:rsidRPr="00F914AB">
              <w:rPr>
                <w:rFonts w:ascii="Athiti" w:eastAsia="Athiti" w:hAnsi="Athiti" w:cs="Athiti"/>
                <w:color w:val="000000"/>
                <w:lang w:val="cs-CZ"/>
              </w:rPr>
              <w:t>3.1 Principy ochrany soukromí</w:t>
            </w:r>
            <w:r w:rsidR="00EC620F" w:rsidRPr="00F914AB">
              <w:rPr>
                <w:rFonts w:ascii="Athiti" w:eastAsia="Athiti" w:hAnsi="Athiti" w:cs="Athiti"/>
                <w:color w:val="000000"/>
                <w:lang w:val="cs-CZ"/>
              </w:rPr>
              <w:tab/>
              <w:t>7</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sw0m5mft1nas">
            <w:r w:rsidR="00EC620F" w:rsidRPr="00F914AB">
              <w:rPr>
                <w:rFonts w:ascii="Athiti" w:eastAsia="Athiti" w:hAnsi="Athiti" w:cs="Athiti"/>
                <w:color w:val="000000"/>
                <w:lang w:val="cs-CZ"/>
              </w:rPr>
              <w:t>3.2 Povinnosti</w:t>
            </w:r>
            <w:r w:rsidR="00EC620F" w:rsidRPr="00F914AB">
              <w:rPr>
                <w:rFonts w:ascii="Athiti" w:eastAsia="Athiti" w:hAnsi="Athiti" w:cs="Athiti"/>
                <w:color w:val="000000"/>
                <w:lang w:val="cs-CZ"/>
              </w:rPr>
              <w:tab/>
              <w:t>8</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cc2hw1yhcgv5">
            <w:r w:rsidR="00EC620F" w:rsidRPr="00F914AB">
              <w:rPr>
                <w:rFonts w:ascii="Athiti" w:eastAsia="Athiti" w:hAnsi="Athiti" w:cs="Athiti"/>
                <w:color w:val="000000"/>
                <w:lang w:val="cs-CZ"/>
              </w:rPr>
              <w:t>3.3  Obecné nařízení o ochraně osobních údajů (GDPR)</w:t>
            </w:r>
            <w:r w:rsidR="00EC620F" w:rsidRPr="00F914AB">
              <w:rPr>
                <w:rFonts w:ascii="Athiti" w:eastAsia="Athiti" w:hAnsi="Athiti" w:cs="Athiti"/>
                <w:color w:val="000000"/>
                <w:lang w:val="cs-CZ"/>
              </w:rPr>
              <w:tab/>
              <w:t>9</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bl3rufk9zsl8">
            <w:r w:rsidR="00EC620F" w:rsidRPr="00F914AB">
              <w:rPr>
                <w:rFonts w:ascii="Athiti" w:eastAsia="Athiti" w:hAnsi="Athiti" w:cs="Athiti"/>
                <w:color w:val="000000"/>
                <w:lang w:val="cs-CZ"/>
              </w:rPr>
              <w:t>3.4 Definice</w:t>
            </w:r>
            <w:r w:rsidR="00EC620F" w:rsidRPr="00F914AB">
              <w:rPr>
                <w:rFonts w:ascii="Athiti" w:eastAsia="Athiti" w:hAnsi="Athiti" w:cs="Athiti"/>
                <w:color w:val="000000"/>
                <w:lang w:val="cs-CZ"/>
              </w:rPr>
              <w:tab/>
              <w:t>9</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gjc1zpn8t20p">
            <w:r w:rsidR="00EC620F" w:rsidRPr="00F914AB">
              <w:rPr>
                <w:rFonts w:ascii="Athiti" w:eastAsia="Athiti" w:hAnsi="Athiti" w:cs="Athiti"/>
                <w:color w:val="000000"/>
                <w:lang w:val="cs-CZ"/>
              </w:rPr>
              <w:t>3.5 Pravidla pro zpracování osobních údajů</w:t>
            </w:r>
            <w:r w:rsidR="00EC620F" w:rsidRPr="00F914AB">
              <w:rPr>
                <w:rFonts w:ascii="Athiti" w:eastAsia="Athiti" w:hAnsi="Athiti" w:cs="Athiti"/>
                <w:color w:val="000000"/>
                <w:lang w:val="cs-CZ"/>
              </w:rPr>
              <w:tab/>
              <w:t>10</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wr97ny48nq5l">
            <w:r w:rsidR="00EC620F" w:rsidRPr="00F914AB">
              <w:rPr>
                <w:rFonts w:ascii="Athiti" w:eastAsia="Athiti" w:hAnsi="Athiti" w:cs="Athiti"/>
                <w:color w:val="000000"/>
                <w:lang w:val="cs-CZ"/>
              </w:rPr>
              <w:t>3.6 Práva jednotlivce</w:t>
            </w:r>
            <w:r w:rsidR="00EC620F" w:rsidRPr="00F914AB">
              <w:rPr>
                <w:rFonts w:ascii="Athiti" w:eastAsia="Athiti" w:hAnsi="Athiti" w:cs="Athiti"/>
                <w:color w:val="000000"/>
                <w:lang w:val="cs-CZ"/>
              </w:rPr>
              <w:tab/>
              <w:t>11</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100kfximoi83">
            <w:r w:rsidR="00EC620F" w:rsidRPr="00F914AB">
              <w:rPr>
                <w:rFonts w:ascii="Athiti" w:eastAsia="Athiti" w:hAnsi="Athiti" w:cs="Athiti"/>
                <w:color w:val="000000"/>
                <w:lang w:val="cs-CZ"/>
              </w:rPr>
              <w:t>3.7 Souhlas</w:t>
            </w:r>
            <w:r w:rsidR="00EC620F" w:rsidRPr="00F914AB">
              <w:rPr>
                <w:rFonts w:ascii="Athiti" w:eastAsia="Athiti" w:hAnsi="Athiti" w:cs="Athiti"/>
                <w:color w:val="000000"/>
                <w:lang w:val="cs-CZ"/>
              </w:rPr>
              <w:tab/>
              <w:t>12</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sbsddkyfl3go">
            <w:r w:rsidR="00EC620F" w:rsidRPr="00F914AB">
              <w:rPr>
                <w:rFonts w:ascii="Athiti" w:eastAsia="Athiti" w:hAnsi="Athiti" w:cs="Athiti"/>
                <w:color w:val="000000"/>
                <w:lang w:val="cs-CZ"/>
              </w:rPr>
              <w:t>3.8 Ochrana soukromí ve výchozím nastavení</w:t>
            </w:r>
            <w:r w:rsidR="00EC620F" w:rsidRPr="00F914AB">
              <w:rPr>
                <w:rFonts w:ascii="Athiti" w:eastAsia="Athiti" w:hAnsi="Athiti" w:cs="Athiti"/>
                <w:color w:val="000000"/>
                <w:lang w:val="cs-CZ"/>
              </w:rPr>
              <w:tab/>
              <w:t>13</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rg368slu4wfk">
            <w:r w:rsidR="00EC620F" w:rsidRPr="00F914AB">
              <w:rPr>
                <w:rFonts w:ascii="Athiti" w:eastAsia="Athiti" w:hAnsi="Athiti" w:cs="Athiti"/>
                <w:color w:val="000000"/>
                <w:lang w:val="cs-CZ"/>
              </w:rPr>
              <w:t>3.9 Přenos osobních údajů</w:t>
            </w:r>
            <w:r w:rsidR="00EC620F" w:rsidRPr="00F914AB">
              <w:rPr>
                <w:rFonts w:ascii="Athiti" w:eastAsia="Athiti" w:hAnsi="Athiti" w:cs="Athiti"/>
                <w:color w:val="000000"/>
                <w:lang w:val="cs-CZ"/>
              </w:rPr>
              <w:tab/>
              <w:t>14</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l2jj34uc9hhh">
            <w:r w:rsidR="00EC620F" w:rsidRPr="00F914AB">
              <w:rPr>
                <w:rFonts w:ascii="Athiti" w:eastAsia="Athiti" w:hAnsi="Athiti" w:cs="Athiti"/>
                <w:color w:val="000000"/>
                <w:lang w:val="cs-CZ"/>
              </w:rPr>
              <w:t>3.10 Oznámení o porušení</w:t>
            </w:r>
            <w:r w:rsidR="00EC620F" w:rsidRPr="00F914AB">
              <w:rPr>
                <w:rFonts w:ascii="Athiti" w:eastAsia="Athiti" w:hAnsi="Athiti" w:cs="Athiti"/>
                <w:color w:val="000000"/>
                <w:lang w:val="cs-CZ"/>
              </w:rPr>
              <w:tab/>
              <w:t>14</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9xobtlncnqhi">
            <w:r w:rsidR="00EC620F" w:rsidRPr="00F914AB">
              <w:rPr>
                <w:rFonts w:ascii="Athiti" w:eastAsia="Athiti" w:hAnsi="Athiti" w:cs="Athiti"/>
                <w:color w:val="000000"/>
                <w:lang w:val="cs-CZ"/>
              </w:rPr>
              <w:t>3.11 Odpovědnost a dokumentace</w:t>
            </w:r>
            <w:r w:rsidR="00EC620F" w:rsidRPr="00F914AB">
              <w:rPr>
                <w:rFonts w:ascii="Athiti" w:eastAsia="Athiti" w:hAnsi="Athiti" w:cs="Athiti"/>
                <w:color w:val="000000"/>
                <w:lang w:val="cs-CZ"/>
              </w:rPr>
              <w:tab/>
              <w:t>15</w:t>
            </w:r>
          </w:hyperlink>
        </w:p>
        <w:p w:rsidR="00EC620F" w:rsidRPr="00F914AB" w:rsidRDefault="00615519" w:rsidP="00EC620F">
          <w:pPr>
            <w:pStyle w:val="normal"/>
            <w:widowControl w:val="0"/>
            <w:tabs>
              <w:tab w:val="right" w:pos="12000"/>
            </w:tabs>
            <w:spacing w:before="60" w:after="0" w:line="240" w:lineRule="auto"/>
            <w:jc w:val="left"/>
            <w:rPr>
              <w:rFonts w:ascii="Athiti" w:eastAsia="Athiti" w:hAnsi="Athiti" w:cs="Athiti"/>
              <w:b/>
              <w:color w:val="000000"/>
              <w:sz w:val="22"/>
              <w:szCs w:val="22"/>
              <w:lang w:val="cs-CZ"/>
            </w:rPr>
          </w:pPr>
          <w:hyperlink w:anchor="_heading=h.f9461zam79h6">
            <w:r w:rsidR="00EC620F" w:rsidRPr="00F914AB">
              <w:rPr>
                <w:rFonts w:ascii="Athiti" w:eastAsia="Athiti" w:hAnsi="Athiti" w:cs="Athiti"/>
                <w:b/>
                <w:color w:val="000000"/>
                <w:sz w:val="22"/>
                <w:szCs w:val="22"/>
                <w:lang w:val="cs-CZ"/>
              </w:rPr>
              <w:t>4 Závěrečná ustanovení</w:t>
            </w:r>
            <w:r w:rsidR="00EC620F" w:rsidRPr="00F914AB">
              <w:rPr>
                <w:rFonts w:ascii="Athiti" w:eastAsia="Athiti" w:hAnsi="Athiti" w:cs="Athiti"/>
                <w:b/>
                <w:color w:val="000000"/>
                <w:sz w:val="22"/>
                <w:szCs w:val="22"/>
                <w:lang w:val="cs-CZ"/>
              </w:rPr>
              <w:tab/>
              <w:t>17</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5i0zz6bk90kr">
            <w:r w:rsidR="00EC620F" w:rsidRPr="00F914AB">
              <w:rPr>
                <w:rFonts w:ascii="Athiti" w:eastAsia="Athiti" w:hAnsi="Athiti" w:cs="Athiti"/>
                <w:color w:val="000000"/>
                <w:sz w:val="22"/>
                <w:szCs w:val="22"/>
                <w:lang w:val="cs-CZ"/>
              </w:rPr>
              <w:t>4.1 Povinnost dodržování</w:t>
            </w:r>
            <w:r w:rsidR="00EC620F" w:rsidRPr="00F914AB">
              <w:rPr>
                <w:rFonts w:ascii="Athiti" w:eastAsia="Athiti" w:hAnsi="Athiti" w:cs="Athiti"/>
                <w:color w:val="000000"/>
                <w:sz w:val="22"/>
                <w:szCs w:val="22"/>
                <w:lang w:val="cs-CZ"/>
              </w:rPr>
              <w:tab/>
              <w:t>17</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s7qcu6bf19by">
            <w:r w:rsidR="00EC620F" w:rsidRPr="00F914AB">
              <w:rPr>
                <w:rFonts w:ascii="Athiti" w:eastAsia="Athiti" w:hAnsi="Athiti" w:cs="Athiti"/>
                <w:color w:val="000000"/>
                <w:sz w:val="22"/>
                <w:szCs w:val="22"/>
                <w:lang w:val="cs-CZ"/>
              </w:rPr>
              <w:t>4.2 Revize a aktualizace</w:t>
            </w:r>
            <w:r w:rsidR="00EC620F" w:rsidRPr="00F914AB">
              <w:rPr>
                <w:rFonts w:ascii="Athiti" w:eastAsia="Athiti" w:hAnsi="Athiti" w:cs="Athiti"/>
                <w:color w:val="000000"/>
                <w:sz w:val="22"/>
                <w:szCs w:val="22"/>
                <w:lang w:val="cs-CZ"/>
              </w:rPr>
              <w:tab/>
              <w:t>17</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6qy8byhiiqw9">
            <w:r w:rsidR="00EC620F" w:rsidRPr="00F914AB">
              <w:rPr>
                <w:rFonts w:ascii="Athiti" w:eastAsia="Athiti" w:hAnsi="Athiti" w:cs="Athiti"/>
                <w:color w:val="000000"/>
                <w:sz w:val="22"/>
                <w:szCs w:val="22"/>
                <w:lang w:val="cs-CZ"/>
              </w:rPr>
              <w:t>4.3 Sankce za nedodržení</w:t>
            </w:r>
            <w:r w:rsidR="00EC620F" w:rsidRPr="00F914AB">
              <w:rPr>
                <w:rFonts w:ascii="Athiti" w:eastAsia="Athiti" w:hAnsi="Athiti" w:cs="Athiti"/>
                <w:color w:val="000000"/>
                <w:sz w:val="22"/>
                <w:szCs w:val="22"/>
                <w:lang w:val="cs-CZ"/>
              </w:rPr>
              <w:tab/>
              <w:t>17</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p6i1ytqtcdvt">
            <w:r w:rsidR="00EC620F" w:rsidRPr="00F914AB">
              <w:rPr>
                <w:rFonts w:ascii="Athiti" w:eastAsia="Athiti" w:hAnsi="Athiti" w:cs="Athiti"/>
                <w:color w:val="000000"/>
                <w:sz w:val="22"/>
                <w:szCs w:val="22"/>
                <w:lang w:val="cs-CZ"/>
              </w:rPr>
              <w:t>4.4 Komunikační kanály</w:t>
            </w:r>
            <w:r w:rsidR="00EC620F" w:rsidRPr="00F914AB">
              <w:rPr>
                <w:rFonts w:ascii="Athiti" w:eastAsia="Athiti" w:hAnsi="Athiti" w:cs="Athiti"/>
                <w:color w:val="000000"/>
                <w:sz w:val="22"/>
                <w:szCs w:val="22"/>
                <w:lang w:val="cs-CZ"/>
              </w:rPr>
              <w:tab/>
              <w:t>17</w:t>
            </w:r>
          </w:hyperlink>
        </w:p>
        <w:p w:rsidR="00EC620F" w:rsidRPr="00F914AB" w:rsidRDefault="00615519" w:rsidP="00EC620F">
          <w:pPr>
            <w:pStyle w:val="normal"/>
            <w:widowControl w:val="0"/>
            <w:tabs>
              <w:tab w:val="right" w:pos="12000"/>
            </w:tabs>
            <w:spacing w:before="60" w:after="0" w:line="240" w:lineRule="auto"/>
            <w:ind w:left="360"/>
            <w:jc w:val="left"/>
            <w:rPr>
              <w:rFonts w:ascii="Athiti" w:eastAsia="Athiti" w:hAnsi="Athiti" w:cs="Athiti"/>
              <w:color w:val="000000"/>
              <w:sz w:val="22"/>
              <w:szCs w:val="22"/>
              <w:lang w:val="cs-CZ"/>
            </w:rPr>
          </w:pPr>
          <w:hyperlink w:anchor="_heading=h.h8inqwgkfdzj">
            <w:r w:rsidR="00EC620F" w:rsidRPr="00F914AB">
              <w:rPr>
                <w:rFonts w:ascii="Athiti" w:eastAsia="Athiti" w:hAnsi="Athiti" w:cs="Athiti"/>
                <w:color w:val="000000"/>
                <w:sz w:val="22"/>
                <w:szCs w:val="22"/>
                <w:lang w:val="cs-CZ"/>
              </w:rPr>
              <w:t>4.5 Účinnost</w:t>
            </w:r>
            <w:r w:rsidR="00EC620F" w:rsidRPr="00F914AB">
              <w:rPr>
                <w:rFonts w:ascii="Athiti" w:eastAsia="Athiti" w:hAnsi="Athiti" w:cs="Athiti"/>
                <w:color w:val="000000"/>
                <w:sz w:val="22"/>
                <w:szCs w:val="22"/>
                <w:lang w:val="cs-CZ"/>
              </w:rPr>
              <w:tab/>
              <w:t>17</w:t>
            </w:r>
          </w:hyperlink>
          <w:r w:rsidRPr="00F914AB">
            <w:rPr>
              <w:lang w:val="cs-CZ"/>
            </w:rPr>
            <w:fldChar w:fldCharType="end"/>
          </w:r>
        </w:p>
      </w:sdtContent>
    </w:sdt>
    <w:p w:rsidR="00EC620F" w:rsidRPr="00F914AB" w:rsidRDefault="00EC620F" w:rsidP="00EC620F">
      <w:pPr>
        <w:pStyle w:val="normal"/>
        <w:rPr>
          <w:rFonts w:ascii="Athiti" w:eastAsia="Athiti" w:hAnsi="Athiti" w:cs="Athiti"/>
          <w:color w:val="44546A"/>
          <w:sz w:val="32"/>
          <w:szCs w:val="32"/>
          <w:lang w:val="cs-CZ"/>
        </w:rPr>
      </w:pPr>
      <w:r w:rsidRPr="00F914AB">
        <w:rPr>
          <w:lang w:val="cs-CZ"/>
        </w:rPr>
        <w:br w:type="page"/>
      </w:r>
    </w:p>
    <w:p w:rsidR="00EC620F" w:rsidRPr="00F914AB" w:rsidRDefault="00EC620F" w:rsidP="00EC620F">
      <w:pPr>
        <w:pStyle w:val="Nadpis1"/>
        <w:keepNext w:val="0"/>
        <w:keepLines w:val="0"/>
        <w:widowControl w:val="0"/>
        <w:spacing w:before="0" w:after="0" w:line="240" w:lineRule="auto"/>
        <w:rPr>
          <w:rFonts w:ascii="Athiti" w:eastAsia="Athiti" w:hAnsi="Athiti" w:cs="Athiti"/>
          <w:lang w:val="cs-CZ"/>
        </w:rPr>
      </w:pPr>
      <w:bookmarkStart w:id="8" w:name="_heading=h.rh6xsfikiuzi" w:colFirst="0" w:colLast="0"/>
      <w:bookmarkEnd w:id="8"/>
      <w:r w:rsidRPr="00F914AB">
        <w:rPr>
          <w:rFonts w:ascii="Athiti" w:eastAsia="Athiti" w:hAnsi="Athiti" w:cs="Athiti"/>
          <w:sz w:val="28"/>
          <w:szCs w:val="28"/>
          <w:lang w:val="cs-CZ"/>
        </w:rPr>
        <w:lastRenderedPageBreak/>
        <w:t>Pojmy a definice</w:t>
      </w:r>
    </w:p>
    <w:p w:rsidR="00EC620F" w:rsidRPr="00F914AB" w:rsidRDefault="00EC620F" w:rsidP="00EC620F">
      <w:pPr>
        <w:pStyle w:val="Nadpis1"/>
        <w:keepNext w:val="0"/>
        <w:keepLines w:val="0"/>
        <w:widowControl w:val="0"/>
        <w:spacing w:before="0" w:after="0" w:line="240" w:lineRule="auto"/>
        <w:rPr>
          <w:rFonts w:ascii="Athiti" w:eastAsia="Athiti" w:hAnsi="Athiti" w:cs="Athiti"/>
          <w:b w:val="0"/>
          <w:sz w:val="22"/>
          <w:szCs w:val="22"/>
          <w:lang w:val="cs-CZ"/>
        </w:rPr>
      </w:pPr>
      <w:bookmarkStart w:id="9" w:name="_heading=h.ele5t7n7sice" w:colFirst="0" w:colLast="0"/>
      <w:bookmarkEnd w:id="9"/>
    </w:p>
    <w:p w:rsidR="00EC620F" w:rsidRPr="00F914AB" w:rsidRDefault="00EC620F" w:rsidP="00EC620F">
      <w:pPr>
        <w:pStyle w:val="normal"/>
        <w:rPr>
          <w:rFonts w:ascii="Athiti" w:eastAsia="Athiti" w:hAnsi="Athiti" w:cs="Athiti"/>
          <w:lang w:val="cs-CZ"/>
        </w:rPr>
      </w:pPr>
    </w:p>
    <w:tbl>
      <w:tblPr>
        <w:tblW w:w="944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ayout w:type="fixed"/>
        <w:tblLook w:val="0600"/>
      </w:tblPr>
      <w:tblGrid>
        <w:gridCol w:w="2270"/>
        <w:gridCol w:w="7175"/>
      </w:tblGrid>
      <w:tr w:rsidR="00EC620F" w:rsidRPr="00F914AB" w:rsidTr="0065652B">
        <w:trPr>
          <w:cantSplit/>
          <w:trHeight w:val="51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jc w:val="center"/>
              <w:rPr>
                <w:rFonts w:ascii="Athiti" w:eastAsia="Athiti" w:hAnsi="Athiti" w:cs="Athiti"/>
                <w:lang w:val="cs-CZ"/>
              </w:rPr>
            </w:pPr>
            <w:r w:rsidRPr="00F914AB">
              <w:rPr>
                <w:rFonts w:ascii="Athiti" w:eastAsia="Athiti" w:hAnsi="Athiti" w:cs="Athiti"/>
                <w:b/>
                <w:lang w:val="cs-CZ"/>
              </w:rPr>
              <w:t>Pojem</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jc w:val="center"/>
              <w:rPr>
                <w:rFonts w:ascii="Athiti" w:eastAsia="Athiti" w:hAnsi="Athiti" w:cs="Athiti"/>
                <w:lang w:val="cs-CZ"/>
              </w:rPr>
            </w:pPr>
            <w:r w:rsidRPr="00F914AB">
              <w:rPr>
                <w:rFonts w:ascii="Athiti" w:eastAsia="Athiti" w:hAnsi="Athiti" w:cs="Athiti"/>
                <w:b/>
                <w:lang w:val="cs-CZ"/>
              </w:rPr>
              <w:t>Definice</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Metodika</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Tento dokument, který stanovuje pravidla pro určování směnných kurzů kryptoaktiv a popisuje principy spravedlivé a transparentní cenotvorby.</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Cenový model</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Soubor pravidel, podle nichž se určují nákupní a prodejní ceny aktiv, včetně výpočtu spreadu, marže a vlivu tržních podmínek.</w:t>
            </w:r>
          </w:p>
        </w:tc>
      </w:tr>
      <w:tr w:rsidR="00EC620F" w:rsidRPr="00F914AB" w:rsidTr="0065652B">
        <w:trPr>
          <w:cantSplit/>
          <w:trHeight w:val="1070"/>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Spravedlivá tržní cena</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Cena daného kryptoaktiva, která je určena na základě objektivních tržních dat, jako jsou nabídka/poptávka, likvidita, volatilita a hloubka trhu.</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Spread (bid/ask)</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Rozdíl mezi nákupní cenou (bid) a prodejní cenou (ask), upravovaný dle rizikového profilu klienta, volatility a likvidity.</w:t>
            </w:r>
          </w:p>
        </w:tc>
      </w:tr>
      <w:tr w:rsidR="00EC620F" w:rsidRPr="00F914AB" w:rsidTr="0065652B">
        <w:trPr>
          <w:cantSplit/>
          <w:trHeight w:val="1070"/>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Marže (M, N)</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Procentuální přirážky přidané k férové ceně při určování konečných kotací (1 + N pro ask, 1 − M pro bid), zahrnující náklady, rizika a zisk společnosti.</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Rovný přístup k likviditě</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Zajištění, že všichni klienti mají stejný přístup k obchodním příležitostem a likviditě, bez diskriminace nebo upřednostnění.</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Preferenční stanovování cen</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Poskytování výhodnějších cen nebo podmínek vybraným klientům bez opodstatněného důvodu – praxe výslovně zakázaná touto Metodikou.</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Front-running</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Zakázaná praktika, kdy obchodník využívá neveřejné informace o budoucích pokynech klienta k vlastnímu prospěchu.</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Likviditní fond</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Interní nebo externí zdroj prostředků pro realizaci obchodů, zahrnující burzy, tvůrce trhu a vlastní rezervy společnosti.</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Kniha objednávek (order book)</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Seznam všech aktivních nabídek k nákupu a prodeji, řazených podle ceny a času, používaný k určování férové tržní ceny a plnění pokynů.</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API</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Aplikační rozhraní, kterým společnost poskytuje přístup k cenovým datům a umožňuje automatizované obchodování.</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lastRenderedPageBreak/>
              <w:t>OTC trh</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Mimoburzovní obchodní prostředí, kde jsou transakce uzavírány přímo mezi dvěma stranami bez standardizace burzovního prostředí.</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Volatilita</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Míra kolísání tržní ceny aktiva v čase, ovlivňující výši spreadu a marže při tvorbě cen.</w:t>
            </w:r>
          </w:p>
        </w:tc>
      </w:tr>
      <w:tr w:rsidR="00EC620F" w:rsidRPr="00F914AB" w:rsidTr="0065652B">
        <w:trPr>
          <w:cantSplit/>
          <w:trHeight w:val="785"/>
          <w:tblHeader/>
        </w:trPr>
        <w:tc>
          <w:tcPr>
            <w:tcW w:w="227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b/>
                <w:lang w:val="cs-CZ"/>
              </w:rPr>
              <w:t>Compliance &amp; AML Officer</w:t>
            </w:r>
          </w:p>
        </w:tc>
        <w:tc>
          <w:tcPr>
            <w:tcW w:w="717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EC620F" w:rsidRPr="00F914AB" w:rsidRDefault="00EC620F" w:rsidP="0065652B">
            <w:pPr>
              <w:pStyle w:val="normal"/>
              <w:rPr>
                <w:rFonts w:ascii="Athiti" w:eastAsia="Athiti" w:hAnsi="Athiti" w:cs="Athiti"/>
                <w:lang w:val="cs-CZ"/>
              </w:rPr>
            </w:pPr>
            <w:r w:rsidRPr="00F914AB">
              <w:rPr>
                <w:rFonts w:ascii="Athiti" w:eastAsia="Athiti" w:hAnsi="Athiti" w:cs="Athiti"/>
                <w:lang w:val="cs-CZ"/>
              </w:rPr>
              <w:t>Osoba odpovědná za dohled nad dodržováním pravidel stanovených v této Metodice, včetně revizí, školení a komunikace se zaměstnanci.</w:t>
            </w:r>
          </w:p>
        </w:tc>
      </w:tr>
    </w:tbl>
    <w:p w:rsidR="00EC620F" w:rsidRPr="00F914AB" w:rsidRDefault="00EC620F" w:rsidP="00EC620F">
      <w:pPr>
        <w:pStyle w:val="normal"/>
        <w:rPr>
          <w:rFonts w:ascii="Athiti" w:eastAsia="Athiti" w:hAnsi="Athiti" w:cs="Athiti"/>
          <w:lang w:val="cs-CZ"/>
        </w:rPr>
      </w:pPr>
    </w:p>
    <w:p w:rsidR="00EC620F" w:rsidRPr="00F914AB" w:rsidRDefault="00EC620F" w:rsidP="00EC620F">
      <w:pPr>
        <w:pStyle w:val="Nadpis1"/>
        <w:keepNext w:val="0"/>
        <w:keepLines w:val="0"/>
        <w:widowControl w:val="0"/>
        <w:spacing w:before="0" w:after="0" w:line="240" w:lineRule="auto"/>
        <w:rPr>
          <w:rFonts w:ascii="Athiti" w:eastAsia="Athiti" w:hAnsi="Athiti" w:cs="Athiti"/>
          <w:sz w:val="26"/>
          <w:szCs w:val="26"/>
          <w:lang w:val="cs-CZ"/>
        </w:rPr>
      </w:pPr>
      <w:bookmarkStart w:id="10" w:name="_heading=h.736g57822wfx" w:colFirst="0" w:colLast="0"/>
      <w:bookmarkEnd w:id="10"/>
      <w:r w:rsidRPr="00F914AB">
        <w:rPr>
          <w:rFonts w:ascii="Athiti" w:eastAsia="Athiti" w:hAnsi="Athiti" w:cs="Athiti"/>
          <w:sz w:val="26"/>
          <w:szCs w:val="26"/>
          <w:lang w:val="cs-CZ"/>
        </w:rPr>
        <w:t>1. Úvod</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Tato metodika stanovení cen (dále jen „Metodika“) vymezuje obchodní rámec, podle něhož společnost stanovuje podmínky směny kryptoaktiv za finanční prostředky nebo jiná kryptoaktiva. Slouží jako základní nástroj k zabezpečení jednotného, transparentního a nediskriminačního přístupu ke stanovení cen napříč všemi obchodními vztahy, zejména při poskytování služeb institucionálním klientům.</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Vzhledem k dynamické povaze trhu s kryptoaktivy a vysoké míře volatility je přesně definovaná metodika klíčová pro zachování důvěry klientů, regulatorních orgánů a ostatních zainteresovaných stran. Umožňuje společnosti plnit své závazky v oblasti spravedlivého obchodování, integrity trhu a ochrany proti riziku manipulace s cenami nebo zvýhodňování vybraných účastníků.</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Metodika zároveň odráží regulatorní požadavky a standardy osvědčené praxe v oblasti stanovování cen finančních nástrojů, včetně požadavků na transparentnost, konzistenci a předvídatelnost. Využívá objektivní ukazatele, dostupná tržní data a interní kvantitativní modely, které umožňují spravedlivé určení směnných kurzů za podmínek odpovídajících aktuální tržní situaci, likviditě a rizikovému profilu příslušné transakce.</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Cílem této Metodiky je proto nejen zajistit rovné zacházení se všemi klienty, ale i poskytnout pevný rámec, který zvyšuje transparentnost v obchodních vztazích, podporuje integritu obchodního prostředí a zajišťuje, že cenotvorba společnosti bude odpovídat zásadám spravedlnosti, bezúhonnosti a regulatorní odpovědnosti.</w:t>
      </w:r>
    </w:p>
    <w:p w:rsidR="00EC620F" w:rsidRPr="00F914AB" w:rsidRDefault="00EC620F" w:rsidP="00EC620F">
      <w:pPr>
        <w:pStyle w:val="Nadpis3"/>
        <w:keepNext w:val="0"/>
        <w:keepLines w:val="0"/>
        <w:spacing w:before="280" w:after="80"/>
        <w:rPr>
          <w:rFonts w:ascii="Athiti" w:eastAsia="Athiti" w:hAnsi="Athiti" w:cs="Athiti"/>
          <w:color w:val="434343"/>
          <w:sz w:val="28"/>
          <w:szCs w:val="28"/>
          <w:lang w:val="cs-CZ"/>
        </w:rPr>
      </w:pPr>
      <w:bookmarkStart w:id="11" w:name="_heading=h.8r8dxg25ftkd" w:colFirst="0" w:colLast="0"/>
      <w:bookmarkEnd w:id="11"/>
      <w:r w:rsidRPr="00F914AB">
        <w:rPr>
          <w:rFonts w:ascii="Athiti" w:eastAsia="Athiti" w:hAnsi="Athiti" w:cs="Athiti"/>
          <w:b/>
          <w:sz w:val="26"/>
          <w:szCs w:val="26"/>
          <w:lang w:val="cs-CZ"/>
        </w:rPr>
        <w:t>2. Účel politiky</w:t>
      </w:r>
    </w:p>
    <w:p w:rsidR="00EC620F" w:rsidRPr="00F914AB" w:rsidRDefault="00EC620F" w:rsidP="00EC620F">
      <w:pPr>
        <w:pStyle w:val="Nadpis4"/>
        <w:spacing w:after="240"/>
        <w:rPr>
          <w:rFonts w:ascii="Athiti" w:eastAsia="Athiti" w:hAnsi="Athiti" w:cs="Athiti"/>
          <w:color w:val="666666"/>
          <w:lang w:val="cs-CZ"/>
        </w:rPr>
      </w:pPr>
      <w:bookmarkStart w:id="12" w:name="_heading=h.32ro29aeuvz9" w:colFirst="0" w:colLast="0"/>
      <w:bookmarkEnd w:id="12"/>
      <w:r w:rsidRPr="00F914AB">
        <w:rPr>
          <w:rFonts w:ascii="Athiti" w:eastAsia="Athiti" w:hAnsi="Athiti" w:cs="Athiti"/>
          <w:color w:val="666666"/>
          <w:lang w:val="cs-CZ"/>
        </w:rPr>
        <w:t>2.1 Zajištění integrity trhu</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Tato politika byla zavedena jako klíčový nástroj pro ochranu integrity trhu, která je základním předpokladem důvěryhodného a stabilního fungování obchodního prostředí v oblasti kryptoaktiv. Pod pojmem integrita trhu se rozumí souhrn podmínek, za nichž ceny odrážejí skutečnou nabídku a poptávku bez jakýchkoli vnějších nebo vnitřních deformací, manipulací nebo neférového zvýhodňování.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Společnost prostřednictvím této politiky zavazuje sebe i své obchodní partnery k uplatňování spravedlivých, objektivních a transparentních cenových mechanismů. Dodržováním standardizovaného postupu při určování směnných kurzů společnost aktivně předchází praktikám, které by mohly vést k:</w:t>
      </w:r>
    </w:p>
    <w:p w:rsidR="00EC620F" w:rsidRPr="00F914AB" w:rsidRDefault="00EC620F" w:rsidP="00EC620F">
      <w:pPr>
        <w:pStyle w:val="normal"/>
        <w:numPr>
          <w:ilvl w:val="0"/>
          <w:numId w:val="3"/>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manipulaci s cenami,</w:t>
      </w:r>
    </w:p>
    <w:p w:rsidR="00EC620F" w:rsidRPr="00F914AB" w:rsidRDefault="00EC620F" w:rsidP="00EC620F">
      <w:pPr>
        <w:pStyle w:val="normal"/>
        <w:numPr>
          <w:ilvl w:val="0"/>
          <w:numId w:val="3"/>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nepřiměřené volatilitě způsobené spekulativním chováním,</w:t>
      </w:r>
    </w:p>
    <w:p w:rsidR="00EC620F" w:rsidRPr="00F914AB" w:rsidRDefault="00EC620F" w:rsidP="00EC620F">
      <w:pPr>
        <w:pStyle w:val="normal"/>
        <w:numPr>
          <w:ilvl w:val="0"/>
          <w:numId w:val="3"/>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zneužívání informací nebo obchodních pozic,</w:t>
      </w:r>
    </w:p>
    <w:p w:rsidR="00EC620F" w:rsidRPr="00F914AB" w:rsidRDefault="00EC620F" w:rsidP="00EC620F">
      <w:pPr>
        <w:pStyle w:val="normal"/>
        <w:numPr>
          <w:ilvl w:val="0"/>
          <w:numId w:val="3"/>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lastRenderedPageBreak/>
        <w:t>poskytování preferenčních podmínek vybraným subjektům bez opodstatnění,</w:t>
      </w:r>
    </w:p>
    <w:p w:rsidR="00EC620F" w:rsidRPr="00F914AB" w:rsidRDefault="00EC620F" w:rsidP="00EC620F">
      <w:pPr>
        <w:pStyle w:val="normal"/>
        <w:numPr>
          <w:ilvl w:val="0"/>
          <w:numId w:val="3"/>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narušení důvěry ostatních účastníků trhu.</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Metodika stanovování cen je nastavena tak, aby byla založena výhradně na objektivních tržních datech, jako jsou hloubka trhu, dostupnost likvidity, volatilita, velikost a povaha transakce a další kvantitativní parametry. Jakékoli odchylky od standardního výpočtu musí být zdůvodněny, dokumentovány a pravidelně kontrolovány v rámci interních mechanismů řízení rizik a compliance.</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Tímto přístupem společnost posiluje důvěru svých klientů, podporuje zdravé konkurenční prostředí a přispívá k celkové stabilitě a spolehlivosti ekosystému kryptoaktiv v souladu s regulatorními očekáváními a mezinárodními standardy.</w:t>
      </w:r>
    </w:p>
    <w:p w:rsidR="00EC620F" w:rsidRPr="00F914AB" w:rsidRDefault="00EC620F" w:rsidP="00EC620F">
      <w:pPr>
        <w:pStyle w:val="Nadpis4"/>
        <w:spacing w:after="240"/>
        <w:rPr>
          <w:rFonts w:ascii="Athiti" w:eastAsia="Athiti" w:hAnsi="Athiti" w:cs="Athiti"/>
          <w:color w:val="666666"/>
          <w:lang w:val="cs-CZ"/>
        </w:rPr>
      </w:pPr>
      <w:bookmarkStart w:id="13" w:name="_heading=h.mfpshmx9f0ac" w:colFirst="0" w:colLast="0"/>
      <w:bookmarkEnd w:id="13"/>
      <w:r w:rsidRPr="00F914AB">
        <w:rPr>
          <w:rFonts w:ascii="Athiti" w:eastAsia="Athiti" w:hAnsi="Athiti" w:cs="Athiti"/>
          <w:color w:val="666666"/>
          <w:lang w:val="cs-CZ"/>
        </w:rPr>
        <w:t>2.2 Zamezení preferenčnímu stanovování cen</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Jedním ze stěžejních principů této politiky je striktní dodržování rovného zacházení se všemi klienty bez ohledu na výši jejich obratu, délku obchodního vztahu nebo jiná komerční kritéria, která by mohla vést ke zvýhodněnému postavení vybraných subjektů.</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Preferenční stanovování cen, ať už explicitní (např. výhodnější směnný kurz) nebo implicitní (např. odklad nákladových přirážek, výjimky z poplatkové struktury), je považováno za neetickou a potenciálně rizikovou praxi, která může vést k narušení integrity trhu, ztrátě důvěry ostatních účastníků a nesouladu s regulatorními požadavky, včetně požadavků na rovný přístup k finančním službám.</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Za tímto účelem společnost uplatňuje algoritmický cenový model, který:</w:t>
      </w:r>
    </w:p>
    <w:p w:rsidR="00EC620F" w:rsidRPr="00F914AB" w:rsidRDefault="00EC620F" w:rsidP="00EC620F">
      <w:pPr>
        <w:pStyle w:val="normal"/>
        <w:numPr>
          <w:ilvl w:val="0"/>
          <w:numId w:val="17"/>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stanovuje ceny podle aktuálních tržních dat v reálném čase,</w:t>
      </w:r>
    </w:p>
    <w:p w:rsidR="00EC620F" w:rsidRPr="00F914AB" w:rsidRDefault="00EC620F" w:rsidP="00EC620F">
      <w:pPr>
        <w:pStyle w:val="normal"/>
        <w:numPr>
          <w:ilvl w:val="0"/>
          <w:numId w:val="17"/>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zohledňuje objektivní faktory jako jsou volatilita, hloubka trhu a likvidita,</w:t>
      </w:r>
    </w:p>
    <w:p w:rsidR="00EC620F" w:rsidRPr="00F914AB" w:rsidRDefault="00EC620F" w:rsidP="00EC620F">
      <w:pPr>
        <w:pStyle w:val="normal"/>
        <w:numPr>
          <w:ilvl w:val="0"/>
          <w:numId w:val="17"/>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uplatňuje jednotná pravidla pro všechny klienty bez výjimek,</w:t>
      </w:r>
    </w:p>
    <w:p w:rsidR="00EC620F" w:rsidRPr="00F914AB" w:rsidRDefault="00EC620F" w:rsidP="00EC620F">
      <w:pPr>
        <w:pStyle w:val="normal"/>
        <w:numPr>
          <w:ilvl w:val="0"/>
          <w:numId w:val="17"/>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neumožňuje manuální zásahy vedoucí ke zvýhodňování konkrétních subjektů bez formálního a zdokumentovaného rozhodnutí schváleného příslušným kontrolním orgánem společnosti.</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Záměrem je vyloučit možnost jakéhokoli diskriminačního nebo účelového zásahu do cenotvorby, který by mohl být vnímán jako porušení zásady spravedlnosti a transparentnosti. Součástí této politiky je rovněž pravidelné přezkoumávání modelu stanovování cen interními i externími kontrolními mechanismy s cílem zajistit jeho trvalou objektivitu a konzistenci.</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Tímto přístupem společnost posiluje svou důvěryhodnost na trhu, zajišťuje soulad s mezinárodními standardy správy a řízení a současně chrání své obchodní partnery před systematickými deformacemi obchodního prostředí.</w:t>
      </w:r>
    </w:p>
    <w:p w:rsidR="00EC620F" w:rsidRPr="00F914AB" w:rsidRDefault="00EC620F" w:rsidP="00EC620F">
      <w:pPr>
        <w:pStyle w:val="Nadpis4"/>
        <w:spacing w:after="240"/>
        <w:rPr>
          <w:rFonts w:ascii="Athiti" w:eastAsia="Athiti" w:hAnsi="Athiti" w:cs="Athiti"/>
          <w:color w:val="666666"/>
          <w:lang w:val="cs-CZ"/>
        </w:rPr>
      </w:pPr>
      <w:bookmarkStart w:id="14" w:name="_heading=h.gwxpq9nnykd3" w:colFirst="0" w:colLast="0"/>
      <w:bookmarkEnd w:id="14"/>
      <w:r w:rsidRPr="00F914AB">
        <w:rPr>
          <w:rFonts w:ascii="Athiti" w:eastAsia="Athiti" w:hAnsi="Athiti" w:cs="Athiti"/>
          <w:color w:val="666666"/>
          <w:lang w:val="cs-CZ"/>
        </w:rPr>
        <w:t>2.3 Zajištění konzistentního obchodního prostředí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Cílem této politiky je vytvoření stabilního, předvídatelného a důvěryhodného obchodního prostředí, v němž mohou všichni klienti realizovat své transakce s maximální mírou efektivity a jistoty. Konzistence v oblasti cenotvorby je klíčovým faktorem pro dlouhodobou důvěru v obchodní model společnosti, zvláště u institucionálních klientů, kteří očekávají profesionalitu, opakovatelnost a jasná pravidla.</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Zavedením transparentního a standardizovaného přístupu k tvorbě cen společnost zajišťuje, že:</w:t>
      </w:r>
    </w:p>
    <w:p w:rsidR="00EC620F" w:rsidRPr="00F914AB" w:rsidRDefault="00EC620F" w:rsidP="00EC620F">
      <w:pPr>
        <w:pStyle w:val="normal"/>
        <w:numPr>
          <w:ilvl w:val="0"/>
          <w:numId w:val="11"/>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lastRenderedPageBreak/>
        <w:t>klienti mají k dispozici jasně definované podmínky obchodování bez náhlých, nezdůvodněných výkyvů,</w:t>
      </w:r>
    </w:p>
    <w:p w:rsidR="00EC620F" w:rsidRPr="00F914AB" w:rsidRDefault="00EC620F" w:rsidP="00EC620F">
      <w:pPr>
        <w:pStyle w:val="normal"/>
        <w:numPr>
          <w:ilvl w:val="0"/>
          <w:numId w:val="11"/>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obchodní rozhodování není zatíženo nepředvídatelností nákladů ani nejednotnými postupy,</w:t>
      </w:r>
    </w:p>
    <w:p w:rsidR="00EC620F" w:rsidRPr="00F914AB" w:rsidRDefault="00EC620F" w:rsidP="00EC620F">
      <w:pPr>
        <w:pStyle w:val="normal"/>
        <w:numPr>
          <w:ilvl w:val="0"/>
          <w:numId w:val="11"/>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všechny transakce probíhají na základě objektivních a měřitelných parametrů,</w:t>
      </w:r>
    </w:p>
    <w:p w:rsidR="00EC620F" w:rsidRPr="00F914AB" w:rsidRDefault="00EC620F" w:rsidP="00EC620F">
      <w:pPr>
        <w:pStyle w:val="normal"/>
        <w:numPr>
          <w:ilvl w:val="0"/>
          <w:numId w:val="11"/>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cenové rozdíly (spready) jsou stanoveny podle interních pravidel a tržních podmínek, a nikoliv podle individuálního vyjednávání.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Takto nastavené prostředí přispívá k rovnoměrnému zacházení se všemi účastníky trhu, snižuje informační asymetrii a minimalizuje riziko chyb způsobených lidským faktorem nebo nejednotným výkladem pravidel.</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Z pohledu klienta znamená tato politika garanci předvídatelnosti celkových obchodních nákladů, časově i hodnotově konzistentní realizace pokynů a možnost snadno plánovat obchodní strategii. Společnost tím zároveň podporuje profesionální standardy služeb a přispívá k rozvoji stabilního a důvěryhodného trhu s kryptoaktivy.</w:t>
      </w:r>
    </w:p>
    <w:p w:rsidR="00EC620F" w:rsidRPr="00F914AB" w:rsidRDefault="00EC620F" w:rsidP="00EC620F">
      <w:pPr>
        <w:pStyle w:val="Nadpis3"/>
        <w:keepNext w:val="0"/>
        <w:keepLines w:val="0"/>
        <w:spacing w:before="280" w:after="80"/>
        <w:rPr>
          <w:rFonts w:ascii="Athiti" w:eastAsia="Athiti" w:hAnsi="Athiti" w:cs="Athiti"/>
          <w:b/>
          <w:sz w:val="26"/>
          <w:szCs w:val="26"/>
          <w:lang w:val="cs-CZ"/>
        </w:rPr>
      </w:pPr>
      <w:bookmarkStart w:id="15" w:name="_heading=h.n3cnvfoccxxd" w:colFirst="0" w:colLast="0"/>
      <w:bookmarkEnd w:id="15"/>
      <w:r w:rsidRPr="00F914AB">
        <w:rPr>
          <w:rFonts w:ascii="Athiti" w:eastAsia="Athiti" w:hAnsi="Athiti" w:cs="Athiti"/>
          <w:b/>
          <w:sz w:val="26"/>
          <w:szCs w:val="26"/>
          <w:lang w:val="cs-CZ"/>
        </w:rPr>
        <w:t>3. Obchodní politika a zásady nediskriminace</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Společnost uplatňuje jednotný, spravedlivý a transparentní cenový model, který je nedílnou součástí její obchodní strategie a zároveň vyjadřuje její závazek k rovnosti, odpovědnosti a důvěryhodnosti ve vztahu ke všem klientům. Tento model je navržen tak, aby zajišťoval rovnocenné podmínky přístupu na trh bez ohledu na velikost klienta, objem obchodovaných aktiv či délku obchodního vztahu.</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Cenotvorba společnosti je systematicky nastavena na základě předem definovaných algoritmických pravidel a řízena tak, aby byla konzistentní v čase, odolná vůči manipulaci a snadno auditovatelná. Díky tomu může společnost garantovat, že každá nabídnutá cena je výsledkem objektivních parametrů, nikoliv výsledkem individuálního vyjednávání, subjektivního rozhodnutí nebo skrytých preferencí.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Takto nastavený rámec má za cíl nejen zvyšovat důvěru klientů a regulatorních orgánů, ale také minimalizovat reputační a právní rizika, která mohou vzniknout v důsledku netransparentního či selektivního přístupu k jednotlivým klientům. Transparentnost a rovné zacházení jsou tak základními pilíři obchodního přístupu společnosti a zároveň předpokladem pro dlouhodobé udržení konkurenční výhody na vysoce regulovaném a dynamickém trhu s digitálními aktivy.</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Our pricing policy is governed by the following core principles:</w:t>
      </w:r>
    </w:p>
    <w:p w:rsidR="00EC620F" w:rsidRPr="00F914AB" w:rsidRDefault="00EC620F" w:rsidP="00EC620F">
      <w:pPr>
        <w:pStyle w:val="normal"/>
        <w:numPr>
          <w:ilvl w:val="0"/>
          <w:numId w:val="16"/>
        </w:numPr>
        <w:spacing w:before="240" w:after="0"/>
        <w:rPr>
          <w:rFonts w:ascii="Athiti" w:eastAsia="Athiti" w:hAnsi="Athiti" w:cs="Athiti"/>
          <w:b/>
          <w:sz w:val="22"/>
          <w:szCs w:val="22"/>
          <w:lang w:val="cs-CZ"/>
        </w:rPr>
      </w:pPr>
      <w:r w:rsidRPr="00F914AB">
        <w:rPr>
          <w:rFonts w:ascii="Athiti" w:eastAsia="Athiti" w:hAnsi="Athiti" w:cs="Athiti"/>
          <w:b/>
          <w:sz w:val="22"/>
          <w:szCs w:val="22"/>
          <w:lang w:val="cs-CZ"/>
        </w:rPr>
        <w:t>Nediskriminační stanovování cen</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Společnost důsledně uplatňuje zásadu nediskriminačního přístupu při určování cen, přičemž klíčovým cílem je zamezit jakékoliv formě cenového zvýhodnění či znevýhodnění jednotlivých klientů.</w:t>
      </w:r>
    </w:p>
    <w:p w:rsidR="00EC620F" w:rsidRPr="00F914AB" w:rsidRDefault="00EC620F" w:rsidP="00EC620F">
      <w:pPr>
        <w:pStyle w:val="normal"/>
        <w:numPr>
          <w:ilvl w:val="0"/>
          <w:numId w:val="6"/>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Všechny cenové nabídky poskytované klientům vycházejí výhradně z aktuálních tržních podmínek – to znamená, že jsou určovány na základě veřejně dostupných dat, likvidity na trhu, aktuální poptávky a nabídky a dalších ekonomických ukazatelů.</w:t>
      </w:r>
      <w:r w:rsidRPr="00F914AB">
        <w:rPr>
          <w:rFonts w:ascii="Athiti" w:eastAsia="Athiti" w:hAnsi="Athiti" w:cs="Athiti"/>
          <w:sz w:val="22"/>
          <w:szCs w:val="22"/>
          <w:lang w:val="cs-CZ"/>
        </w:rPr>
        <w:br/>
      </w:r>
    </w:p>
    <w:p w:rsidR="00EC620F" w:rsidRPr="00F914AB" w:rsidRDefault="00EC620F" w:rsidP="00EC620F">
      <w:pPr>
        <w:pStyle w:val="normal"/>
        <w:numPr>
          <w:ilvl w:val="0"/>
          <w:numId w:val="6"/>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Žádná protistrana není zvýhodněna na základě obchodní minulosti, velikosti portfolia nebo osobních vztahů. Společnost se zdržuje jakéhokoliv preferenčního přístupu.</w:t>
      </w:r>
      <w:r w:rsidRPr="00F914AB">
        <w:rPr>
          <w:rFonts w:ascii="Athiti" w:eastAsia="Athiti" w:hAnsi="Athiti" w:cs="Athiti"/>
          <w:sz w:val="22"/>
          <w:szCs w:val="22"/>
          <w:lang w:val="cs-CZ"/>
        </w:rPr>
        <w:br/>
      </w:r>
    </w:p>
    <w:p w:rsidR="00EC620F" w:rsidRPr="00F914AB" w:rsidRDefault="00EC620F" w:rsidP="00EC620F">
      <w:pPr>
        <w:pStyle w:val="normal"/>
        <w:numPr>
          <w:ilvl w:val="0"/>
          <w:numId w:val="6"/>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Cenový algoritmus je navržen tak, aby byl vůči klientům neutrální a transparentní, a je pravidelně testován, auditován a aktualizován s ohledem na vývoj tržních podmínek a regulatorních požadavků.</w:t>
      </w:r>
      <w:r w:rsidRPr="00F914AB">
        <w:rPr>
          <w:rFonts w:ascii="Athiti" w:eastAsia="Athiti" w:hAnsi="Athiti" w:cs="Athiti"/>
          <w:sz w:val="22"/>
          <w:szCs w:val="22"/>
          <w:lang w:val="cs-CZ"/>
        </w:rPr>
        <w:br/>
      </w:r>
    </w:p>
    <w:p w:rsidR="00EC620F" w:rsidRPr="00F914AB" w:rsidRDefault="00EC620F" w:rsidP="00EC620F">
      <w:pPr>
        <w:pStyle w:val="normal"/>
        <w:numPr>
          <w:ilvl w:val="0"/>
          <w:numId w:val="6"/>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lastRenderedPageBreak/>
        <w:t>Společnost striktně odmítá praktiky typu "front-running", tedy přednostního obchodování na základě znalosti budoucích pokynů klienta, stejně jako jakékoli selektivní poskytování výhodných kurzů vybraným osobám.</w:t>
      </w:r>
      <w:r w:rsidRPr="00F914AB">
        <w:rPr>
          <w:rFonts w:ascii="Athiti" w:eastAsia="Athiti" w:hAnsi="Athiti" w:cs="Athiti"/>
          <w:sz w:val="22"/>
          <w:szCs w:val="22"/>
          <w:lang w:val="cs-CZ"/>
        </w:rPr>
        <w:br/>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 xml:space="preserve">Tento přístup zajišťuje, že všichni klienti obchodují za </w:t>
      </w:r>
      <w:r w:rsidRPr="00F914AB">
        <w:rPr>
          <w:rFonts w:ascii="Athiti" w:eastAsia="Athiti" w:hAnsi="Athiti" w:cs="Athiti"/>
          <w:b/>
          <w:sz w:val="22"/>
          <w:szCs w:val="22"/>
          <w:lang w:val="cs-CZ"/>
        </w:rPr>
        <w:t>spravedlivých, předvídatelných a ověřitelných podmínek</w:t>
      </w:r>
      <w:r w:rsidRPr="00F914AB">
        <w:rPr>
          <w:rFonts w:ascii="Athiti" w:eastAsia="Athiti" w:hAnsi="Athiti" w:cs="Athiti"/>
          <w:sz w:val="22"/>
          <w:szCs w:val="22"/>
          <w:lang w:val="cs-CZ"/>
        </w:rPr>
        <w:t>, čímž se společnost profiluje jako důvěryhodný a profesionální poskytovatel služeb v oblasti digitální likvidity.</w:t>
      </w:r>
    </w:p>
    <w:p w:rsidR="00EC620F" w:rsidRPr="00F914AB" w:rsidRDefault="00EC620F" w:rsidP="00EC620F">
      <w:pPr>
        <w:pStyle w:val="normal"/>
        <w:numPr>
          <w:ilvl w:val="0"/>
          <w:numId w:val="16"/>
        </w:numPr>
        <w:spacing w:after="0"/>
        <w:rPr>
          <w:rFonts w:ascii="Athiti" w:eastAsia="Athiti" w:hAnsi="Athiti" w:cs="Athiti"/>
          <w:b/>
          <w:sz w:val="22"/>
          <w:szCs w:val="22"/>
          <w:lang w:val="cs-CZ"/>
        </w:rPr>
      </w:pPr>
      <w:r w:rsidRPr="00F914AB">
        <w:rPr>
          <w:rFonts w:ascii="Athiti" w:eastAsia="Athiti" w:hAnsi="Athiti" w:cs="Athiti"/>
          <w:b/>
          <w:sz w:val="22"/>
          <w:szCs w:val="22"/>
          <w:lang w:val="cs-CZ"/>
        </w:rPr>
        <w:t>Bez skrytých poplatků a přirážek</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Společnost se důsledně řídí zásadou úplné cenové transparentnosti a odmítá jakékoli skryté náklady, které by mohly negativně ovlivnit důvěru klientů a férovost obchodního vztahu. Každý klient má právo na přesné, srozumitelné a předem známé informace o všech cenových aspektech uskutečněné transakce.</w:t>
      </w:r>
    </w:p>
    <w:p w:rsidR="00EC620F" w:rsidRPr="00F914AB" w:rsidRDefault="00EC620F" w:rsidP="00EC620F">
      <w:pPr>
        <w:pStyle w:val="normal"/>
        <w:numPr>
          <w:ilvl w:val="0"/>
          <w:numId w:val="14"/>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Cena zobrazovaná klientovi je konečná cena, za kterou je obchod okamžitě a plně realizován. V této ceně jsou již zohledněny veškeré komponenty, ať už technické, provozní nebo likviditní, bez dodatečných skrytých poplatků, manipulativních přirážek nebo nepřiznaných marží.</w:t>
      </w:r>
    </w:p>
    <w:p w:rsidR="00EC620F" w:rsidRPr="00F914AB" w:rsidRDefault="00EC620F" w:rsidP="00EC620F">
      <w:pPr>
        <w:pStyle w:val="normal"/>
        <w:numPr>
          <w:ilvl w:val="0"/>
          <w:numId w:val="14"/>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Rozpětí (spread) mezi nákupní a prodejní cenou a ostatní obchodní náklady jsou předem jasně definovány a trvale zveřejněny, aby si klient mohl dopředu spočítat své náklady na vstup a výstup z trhu a vyhodnotit celkovou efektivitu obchodování.</w:t>
      </w:r>
    </w:p>
    <w:p w:rsidR="00EC620F" w:rsidRPr="00F914AB" w:rsidRDefault="00EC620F" w:rsidP="00EC620F">
      <w:pPr>
        <w:pStyle w:val="normal"/>
        <w:numPr>
          <w:ilvl w:val="0"/>
          <w:numId w:val="14"/>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Společnost neuplatňuje žádné dodatečné náklady formou interních přepočtů, dynamických přirážek podle klientského profilu ani výjimek mimo rámec všeobecných obchodních podmínek.</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Cenový model je navržen tak, aby umožňoval snadné pochopení celkové cenové struktury i méně zkušeným klientům, a zároveň poskytoval dostatečně podrobná data pro interní reporting a auditní účely v rámci institucionálního prostředí.</w:t>
      </w:r>
    </w:p>
    <w:p w:rsidR="00EC620F" w:rsidRPr="00F914AB" w:rsidRDefault="00EC620F" w:rsidP="00EC620F">
      <w:pPr>
        <w:pStyle w:val="normal"/>
        <w:numPr>
          <w:ilvl w:val="0"/>
          <w:numId w:val="4"/>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Zisková marže společnosti je přiměřená, jasně definovaná a neměnná v čase bez předchozího oznámení. Jakékoli změny v cenotvorbě podléhají předchozímu zveřejnění a komunikaci s klienty prostřednictvím aktualizovaných obchodních podmínek nebo informačních oznámení.</w:t>
      </w:r>
    </w:p>
    <w:p w:rsidR="00EC620F" w:rsidRPr="00F914AB" w:rsidRDefault="00EC620F" w:rsidP="00EC620F">
      <w:pPr>
        <w:pStyle w:val="normal"/>
        <w:numPr>
          <w:ilvl w:val="0"/>
          <w:numId w:val="4"/>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Společnost výslovně zakazuje aplikaci „skrytých poplatků“ prostřednictvím platformy, technologie nebo externího poskytovatele služeb, a je povinna zajistit, aby i všechny třetí strany zapojené do procesu obchodování dodržovaly stejné principy cenové transparentnosti.</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Tímto způsobem společnost garantuje klientům obchodování v prostředí, které je nejen regulačně vyhovující, ale především etické, předvídatelné a plně v souladu s principy ochrany zákazníka.</w:t>
      </w:r>
    </w:p>
    <w:p w:rsidR="00EC620F" w:rsidRPr="00F914AB" w:rsidRDefault="00EC620F" w:rsidP="00EC620F">
      <w:pPr>
        <w:pStyle w:val="normal"/>
        <w:numPr>
          <w:ilvl w:val="0"/>
          <w:numId w:val="16"/>
        </w:numPr>
        <w:spacing w:after="0"/>
        <w:rPr>
          <w:rFonts w:ascii="Athiti" w:eastAsia="Athiti" w:hAnsi="Athiti" w:cs="Athiti"/>
          <w:b/>
          <w:sz w:val="22"/>
          <w:szCs w:val="22"/>
          <w:lang w:val="cs-CZ"/>
        </w:rPr>
      </w:pPr>
      <w:r w:rsidRPr="00F914AB">
        <w:rPr>
          <w:rFonts w:ascii="Athiti" w:eastAsia="Athiti" w:hAnsi="Athiti" w:cs="Athiti"/>
          <w:b/>
          <w:sz w:val="22"/>
          <w:szCs w:val="22"/>
          <w:lang w:val="cs-CZ"/>
        </w:rPr>
        <w:t>Transparentní poplatková struktura</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Společnost uplatňuje přehlednou, srozumitelnou a jednotnou strukturu poplatků, která klientům umožňuje jasně porozumět všem nákladům spojeným s poskytovanými službami. Základem tohoto přístupu je zásada, že žádné poplatky nesmí být skryté, neohlášené nebo uplatňované v rozporu s deklarovanými podmínkami.</w:t>
      </w:r>
    </w:p>
    <w:p w:rsidR="00EC620F" w:rsidRPr="00F914AB" w:rsidRDefault="00EC620F" w:rsidP="00EC620F">
      <w:pPr>
        <w:pStyle w:val="normal"/>
        <w:numPr>
          <w:ilvl w:val="0"/>
          <w:numId w:val="2"/>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Klientům nejsou účtovány žádné dodatečné provize, poplatky za využití obchodní platformy, servisní náklady nebo technické poplatky, pokud nejsou výslovně uvedeny a řádně popsány ve všeobecných obchodních podmínkách nebo jiném smluvním dokumentu, se kterým byl klient předem seznámen.</w:t>
      </w:r>
    </w:p>
    <w:p w:rsidR="00EC620F" w:rsidRPr="00F914AB" w:rsidRDefault="00EC620F" w:rsidP="00EC620F">
      <w:pPr>
        <w:pStyle w:val="normal"/>
        <w:numPr>
          <w:ilvl w:val="0"/>
          <w:numId w:val="2"/>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lastRenderedPageBreak/>
        <w:t>Společnost neaplikuje žádné poplatky retroaktivně ani bez předchozího oznámení; veškeré změny v poplatkové politice podléhají zásadě transparentnosti a přiměřené informační povinnosti vůči všem dotčeným klientům.</w:t>
      </w:r>
    </w:p>
    <w:p w:rsidR="00EC620F" w:rsidRPr="00F914AB" w:rsidRDefault="00EC620F" w:rsidP="00EC620F">
      <w:pPr>
        <w:pStyle w:val="normal"/>
        <w:numPr>
          <w:ilvl w:val="0"/>
          <w:numId w:val="2"/>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Případné fixní poplatky, jako jsou poplatky za výběr prostředků, síťové transakční poplatky (např. za využití blockchain infrastruktury) nebo administrativní náklady, jsou jasně specifikovány předem, a to jak výší, tak způsobem výpočtu. Tyto poplatky jsou zároveň standardizované a aplikovány rovnocenně vůči všem klientům bez ohledu na jejich objem, historii nebo vztah se společností.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Poplatková struktura je přezkoumávána v pravidelných intervalech a společnost dbá na to, aby vždy odrážela tržní realitu, nebyla neúměrná povaze služeb a odpovídala principům dobré praxe v oblasti správy a řízení.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Pro maximální transparentnost je klientům na požádání k dispozici písemný rozpis všech platných poplatků, případně souhrnný výpis nákladů za uskutečněné transakce v daném období. Tento přístup umožňuje snadné plánování obchodní strategie, přesné finanční řízení a minimalizaci překvapivých nákladů, které by mohly narušit důvěru ve spolupráci se společností.</w:t>
      </w:r>
    </w:p>
    <w:p w:rsidR="00EC620F" w:rsidRPr="00F914AB" w:rsidRDefault="00EC620F" w:rsidP="00EC620F">
      <w:pPr>
        <w:pStyle w:val="normal"/>
        <w:numPr>
          <w:ilvl w:val="0"/>
          <w:numId w:val="16"/>
        </w:numPr>
        <w:spacing w:after="0"/>
        <w:rPr>
          <w:rFonts w:ascii="Athiti" w:eastAsia="Athiti" w:hAnsi="Athiti" w:cs="Athiti"/>
          <w:b/>
          <w:sz w:val="22"/>
          <w:szCs w:val="22"/>
          <w:lang w:val="cs-CZ"/>
        </w:rPr>
      </w:pPr>
      <w:r w:rsidRPr="00F914AB">
        <w:rPr>
          <w:rFonts w:ascii="Athiti" w:eastAsia="Athiti" w:hAnsi="Athiti" w:cs="Athiti"/>
          <w:b/>
          <w:sz w:val="22"/>
          <w:szCs w:val="22"/>
          <w:lang w:val="cs-CZ"/>
        </w:rPr>
        <w:t>Rovný přístup k likviditě</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Společnost se zavazuje poskytovat všem klientům rovný, předvídatelný a nepodmíněný přístup ke své likviditě, bez jakéhokoli diskriminačního rozlišování mezi jednotlivými obchodními partnery. Cílem tohoto přístupu je vytvořit spravedlivé a efektivní obchodní prostředí, kde mají všichni účastníci trhu stejné příležitosti k realizaci transakcí za férových podmínek.</w:t>
      </w:r>
    </w:p>
    <w:p w:rsidR="00EC620F" w:rsidRPr="00F914AB" w:rsidRDefault="00EC620F" w:rsidP="00EC620F">
      <w:pPr>
        <w:pStyle w:val="normal"/>
        <w:numPr>
          <w:ilvl w:val="0"/>
          <w:numId w:val="5"/>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Každý klient má přístup ke stejné hloubce trhu a rozsahu kotací, které jsou dostupné prostřednictvím interních systémů společnosti. Společnost neomezuje ani neupravuje nabídky likvidity podle obchodního objemu, obchodní historie či jiných individuálních charakteristik klienta.</w:t>
      </w:r>
      <w:r w:rsidRPr="00F914AB">
        <w:rPr>
          <w:rFonts w:ascii="Athiti" w:eastAsia="Athiti" w:hAnsi="Athiti" w:cs="Athiti"/>
          <w:sz w:val="22"/>
          <w:szCs w:val="22"/>
          <w:lang w:val="cs-CZ"/>
        </w:rPr>
        <w:br/>
      </w:r>
    </w:p>
    <w:p w:rsidR="00EC620F" w:rsidRPr="00F914AB" w:rsidRDefault="00EC620F" w:rsidP="00EC620F">
      <w:pPr>
        <w:pStyle w:val="normal"/>
        <w:numPr>
          <w:ilvl w:val="0"/>
          <w:numId w:val="5"/>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Nejsou uplatňovány žádné technické, časové ani systémové výhody, které by umožňovaly vybraným subjektům přednostní plnění pokynů nebo přístup k výhodnějším cenám.</w:t>
      </w:r>
    </w:p>
    <w:p w:rsidR="00EC620F" w:rsidRPr="00F914AB" w:rsidRDefault="00EC620F" w:rsidP="00EC620F">
      <w:pPr>
        <w:pStyle w:val="normal"/>
        <w:numPr>
          <w:ilvl w:val="0"/>
          <w:numId w:val="5"/>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Společnost nezvýhodňuje žádné konkrétní protistrany, a to ani v případě, že se jedná o strategické partnery, významné klienty nebo subjekty v propojeném vlastnictví.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Likvidita je zajišťována prostřednictvím diverzifikovaného systému zdrojů, který zahrnuje:</w:t>
      </w:r>
    </w:p>
    <w:p w:rsidR="00EC620F" w:rsidRPr="00F914AB" w:rsidRDefault="00EC620F" w:rsidP="00EC620F">
      <w:pPr>
        <w:pStyle w:val="normal"/>
        <w:numPr>
          <w:ilvl w:val="0"/>
          <w:numId w:val="15"/>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externí centralizované i decentralizované burzy,</w:t>
      </w:r>
    </w:p>
    <w:p w:rsidR="00EC620F" w:rsidRPr="00F914AB" w:rsidRDefault="00EC620F" w:rsidP="00EC620F">
      <w:pPr>
        <w:pStyle w:val="normal"/>
        <w:numPr>
          <w:ilvl w:val="0"/>
          <w:numId w:val="15"/>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nezávislé tvůrce trhu (market makery),</w:t>
      </w:r>
    </w:p>
    <w:p w:rsidR="00EC620F" w:rsidRPr="00F914AB" w:rsidRDefault="00EC620F" w:rsidP="00EC620F">
      <w:pPr>
        <w:pStyle w:val="normal"/>
        <w:numPr>
          <w:ilvl w:val="0"/>
          <w:numId w:val="15"/>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vlastní interní likviditní fondy a obchodní infrastrukturu.</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Tato diverzifikace umožňuje společnosti minimalizovat spread, zvýšit dostupnost obchodních párů a zajistit stabilní plnění pokynů i za zvýšené volatility nebo omezené externí likvidity.</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Přístup ke všem těmto likviditním zdrojům je pro klienty standardizovaný a konzistentní, a společnost provádí pravidelné kontroly za účelem vyloučení jakýchkoli systémových odchylek nebo diskriminačních vzorců plnění.</w:t>
      </w:r>
    </w:p>
    <w:p w:rsidR="00EC620F"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Díky tomuto přístupu může společnost garantovat, že klienti obchodují v prostředí, které odpovídá principům rovnosti, transparentnosti a důvěry, a které plně odpovídá regulatorním očekáváním na spravedlivý přístup k obchodní infrastruktuře v oblasti digitálních aktiv.</w:t>
      </w:r>
    </w:p>
    <w:p w:rsidR="005213A5" w:rsidRPr="00F914AB" w:rsidRDefault="005213A5" w:rsidP="00EC620F">
      <w:pPr>
        <w:pStyle w:val="normal"/>
        <w:spacing w:before="240" w:after="240"/>
        <w:rPr>
          <w:rFonts w:ascii="Athiti" w:eastAsia="Athiti" w:hAnsi="Athiti" w:cs="Athiti"/>
          <w:sz w:val="22"/>
          <w:szCs w:val="22"/>
          <w:lang w:val="cs-CZ"/>
        </w:rPr>
      </w:pPr>
    </w:p>
    <w:p w:rsidR="00EC620F" w:rsidRPr="00F914AB" w:rsidRDefault="00EC620F" w:rsidP="00EC620F">
      <w:pPr>
        <w:pStyle w:val="Nadpis3"/>
        <w:keepNext w:val="0"/>
        <w:keepLines w:val="0"/>
        <w:spacing w:before="280" w:after="80"/>
        <w:rPr>
          <w:rFonts w:ascii="Athiti" w:eastAsia="Athiti" w:hAnsi="Athiti" w:cs="Athiti"/>
          <w:b/>
          <w:sz w:val="26"/>
          <w:szCs w:val="26"/>
          <w:lang w:val="cs-CZ"/>
        </w:rPr>
      </w:pPr>
      <w:bookmarkStart w:id="16" w:name="_heading=h.j2v7s7a079nf" w:colFirst="0" w:colLast="0"/>
      <w:bookmarkEnd w:id="16"/>
      <w:r w:rsidRPr="00F914AB">
        <w:rPr>
          <w:rFonts w:ascii="Athiti" w:eastAsia="Athiti" w:hAnsi="Athiti" w:cs="Athiti"/>
          <w:b/>
          <w:sz w:val="26"/>
          <w:szCs w:val="26"/>
          <w:lang w:val="cs-CZ"/>
        </w:rPr>
        <w:lastRenderedPageBreak/>
        <w:t>4. Metodika stanovení cen</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Společnost určuje směnný kurz kryptoaktiv na základě vlastního algoritmu, který agreguje tržní data z více zdrojů likvidity a určuje férovou cenu pro dané aktivum a objem. Nabídky nákupu a prodeje (dvě strany trhu) jsou nepřetržitě streamovány prostřednictvím API ve formě klasické knihy objednávek (order book), kde jsou pokyny řazeny podle ceny (výhodnější cena má přednost) a podle času zadání (dříve zadaný pokyn má přednost při provedení).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Metodika stanovení cen je strukturována následovně:</w:t>
      </w:r>
    </w:p>
    <w:p w:rsidR="00EC620F" w:rsidRPr="00F914AB" w:rsidRDefault="00EC620F" w:rsidP="00EC620F">
      <w:pPr>
        <w:pStyle w:val="normal"/>
        <w:spacing w:before="240" w:after="240"/>
        <w:rPr>
          <w:rFonts w:ascii="Athiti" w:eastAsia="Athiti" w:hAnsi="Athiti" w:cs="Athiti"/>
          <w:b/>
          <w:sz w:val="22"/>
          <w:szCs w:val="22"/>
          <w:lang w:val="cs-CZ"/>
        </w:rPr>
      </w:pPr>
      <w:r w:rsidRPr="00F914AB">
        <w:rPr>
          <w:rFonts w:ascii="Athiti" w:eastAsia="Athiti" w:hAnsi="Athiti" w:cs="Athiti"/>
          <w:b/>
          <w:sz w:val="22"/>
          <w:szCs w:val="22"/>
          <w:lang w:val="cs-CZ"/>
        </w:rPr>
        <w:t>4.1 Výpočet cen a generování kotací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Tržní data jsou průběžně získávána z více burz využívajících technologii decentralizované účetní knihy (DLT), mimoburzovních (OTC) obchodních míst a od poskytovatelů likvidity.</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Férová tržní cena daného kryptoaktiva pro konkrétní objem transakce je určena na základě následujících faktorů:</w:t>
      </w:r>
    </w:p>
    <w:p w:rsidR="00EC620F" w:rsidRPr="00F914AB" w:rsidRDefault="00EC620F" w:rsidP="00EC620F">
      <w:pPr>
        <w:pStyle w:val="normal"/>
        <w:numPr>
          <w:ilvl w:val="0"/>
          <w:numId w:val="18"/>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Likvidita a hloubka knihy objednávek: Vyšší likvidita znamená užší spready mezi nákupní a prodejní cenou.</w:t>
      </w:r>
    </w:p>
    <w:p w:rsidR="00EC620F" w:rsidRPr="00F914AB" w:rsidRDefault="00EC620F" w:rsidP="00EC620F">
      <w:pPr>
        <w:pStyle w:val="normal"/>
        <w:numPr>
          <w:ilvl w:val="0"/>
          <w:numId w:val="18"/>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Analýza volatility: Ceny jsou upravovány tak, aby odrážely aktuální tržní volatilitu v reálném čase.</w:t>
      </w:r>
    </w:p>
    <w:p w:rsidR="00EC620F" w:rsidRPr="00F914AB" w:rsidRDefault="00EC620F" w:rsidP="00EC620F">
      <w:pPr>
        <w:pStyle w:val="normal"/>
        <w:numPr>
          <w:ilvl w:val="0"/>
          <w:numId w:val="18"/>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Expozice vůči riziku: Ceny jsou dále upravovány v souladu s ochotou společnosti přijímat tržní riziko v rámci své market-making strategie.</w:t>
      </w:r>
    </w:p>
    <w:p w:rsidR="00EC620F" w:rsidRPr="00F914AB" w:rsidRDefault="00EC620F" w:rsidP="00EC620F">
      <w:pPr>
        <w:pStyle w:val="normal"/>
        <w:numPr>
          <w:ilvl w:val="0"/>
          <w:numId w:val="18"/>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Bid/ask spread: Rozpětí mezi nákupní a prodejní cenou se upravuje na základě rizikového profilu klienta a jeho obchodní aktivity – čím vyšší riziko klienta a nižší frekvence obchodování, tím širší spread je aplikován.</w:t>
      </w:r>
    </w:p>
    <w:p w:rsidR="00EC620F" w:rsidRPr="00F914AB" w:rsidRDefault="00EC620F" w:rsidP="00EC620F">
      <w:pPr>
        <w:pStyle w:val="normal"/>
        <w:spacing w:before="240" w:after="240"/>
        <w:rPr>
          <w:rFonts w:ascii="Athiti" w:eastAsia="Athiti" w:hAnsi="Athiti" w:cs="Athiti"/>
          <w:b/>
          <w:sz w:val="22"/>
          <w:szCs w:val="22"/>
          <w:lang w:val="cs-CZ"/>
        </w:rPr>
      </w:pPr>
      <w:r w:rsidRPr="00F914AB">
        <w:rPr>
          <w:rFonts w:ascii="Athiti" w:eastAsia="Athiti" w:hAnsi="Athiti" w:cs="Athiti"/>
          <w:b/>
          <w:sz w:val="22"/>
          <w:szCs w:val="22"/>
          <w:lang w:val="cs-CZ"/>
        </w:rPr>
        <w:t>4.2 Bid/Ask Spread a marže</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Společnost uplatňuje tržně řízený spread podle následujícího modelu:</w:t>
      </w:r>
    </w:p>
    <w:p w:rsidR="00EC620F" w:rsidRPr="00F914AB" w:rsidRDefault="00EC620F" w:rsidP="00EC620F">
      <w:pPr>
        <w:pStyle w:val="normal"/>
        <w:numPr>
          <w:ilvl w:val="0"/>
          <w:numId w:val="1"/>
        </w:numPr>
        <w:spacing w:before="240" w:after="0"/>
        <w:jc w:val="left"/>
        <w:rPr>
          <w:rFonts w:ascii="Athiti" w:eastAsia="Athiti" w:hAnsi="Athiti" w:cs="Athiti"/>
          <w:sz w:val="22"/>
          <w:szCs w:val="22"/>
          <w:lang w:val="cs-CZ"/>
        </w:rPr>
      </w:pPr>
      <w:r w:rsidRPr="00F914AB">
        <w:rPr>
          <w:rFonts w:ascii="Athiti" w:eastAsia="Athiti" w:hAnsi="Athiti" w:cs="Athiti"/>
          <w:sz w:val="22"/>
          <w:szCs w:val="22"/>
          <w:lang w:val="cs-CZ"/>
        </w:rPr>
        <w:t xml:space="preserve">Prodejní cena (Ask Price) = Férová tržní cena × (1 + </w:t>
      </w:r>
      <w:r w:rsidRPr="00F914AB">
        <w:rPr>
          <w:rFonts w:ascii="Athiti" w:eastAsia="Athiti" w:hAnsi="Athiti" w:cs="Athiti"/>
          <w:i/>
          <w:sz w:val="22"/>
          <w:szCs w:val="22"/>
          <w:lang w:val="cs-CZ"/>
        </w:rPr>
        <w:t>N</w:t>
      </w:r>
      <w:r w:rsidRPr="00F914AB">
        <w:rPr>
          <w:rFonts w:ascii="Athiti" w:eastAsia="Athiti" w:hAnsi="Athiti" w:cs="Athiti"/>
          <w:sz w:val="22"/>
          <w:szCs w:val="22"/>
          <w:lang w:val="cs-CZ"/>
        </w:rPr>
        <w:t>)</w:t>
      </w:r>
    </w:p>
    <w:p w:rsidR="00EC620F" w:rsidRPr="00F914AB" w:rsidRDefault="00EC620F" w:rsidP="00EC620F">
      <w:pPr>
        <w:pStyle w:val="normal"/>
        <w:numPr>
          <w:ilvl w:val="0"/>
          <w:numId w:val="1"/>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 xml:space="preserve">Nákupní cena (Bid Price) = Férová tržní cena × (1 − </w:t>
      </w:r>
      <w:r w:rsidRPr="00F914AB">
        <w:rPr>
          <w:rFonts w:ascii="Athiti" w:eastAsia="Athiti" w:hAnsi="Athiti" w:cs="Athiti"/>
          <w:i/>
          <w:sz w:val="22"/>
          <w:szCs w:val="22"/>
          <w:lang w:val="cs-CZ"/>
        </w:rPr>
        <w:t>M</w:t>
      </w:r>
      <w:r w:rsidRPr="00F914AB">
        <w:rPr>
          <w:rFonts w:ascii="Athiti" w:eastAsia="Athiti" w:hAnsi="Athiti" w:cs="Athiti"/>
          <w:sz w:val="22"/>
          <w:szCs w:val="22"/>
          <w:lang w:val="cs-CZ"/>
        </w:rPr>
        <w:t>)</w:t>
      </w:r>
      <w:r w:rsidRPr="00F914AB">
        <w:rPr>
          <w:rFonts w:ascii="Athiti" w:eastAsia="Athiti" w:hAnsi="Athiti" w:cs="Athiti"/>
          <w:sz w:val="22"/>
          <w:szCs w:val="22"/>
          <w:lang w:val="cs-CZ"/>
        </w:rPr>
        <w:br/>
        <w:t xml:space="preserve">Kde </w:t>
      </w:r>
      <w:r w:rsidRPr="00F914AB">
        <w:rPr>
          <w:rFonts w:ascii="Athiti" w:eastAsia="Athiti" w:hAnsi="Athiti" w:cs="Athiti"/>
          <w:i/>
          <w:sz w:val="22"/>
          <w:szCs w:val="22"/>
          <w:lang w:val="cs-CZ"/>
        </w:rPr>
        <w:t>M</w:t>
      </w:r>
      <w:r w:rsidRPr="00F914AB">
        <w:rPr>
          <w:rFonts w:ascii="Athiti" w:eastAsia="Athiti" w:hAnsi="Athiti" w:cs="Athiti"/>
          <w:sz w:val="22"/>
          <w:szCs w:val="22"/>
          <w:lang w:val="cs-CZ"/>
        </w:rPr>
        <w:t xml:space="preserve"> a </w:t>
      </w:r>
      <w:r w:rsidRPr="00F914AB">
        <w:rPr>
          <w:rFonts w:ascii="Athiti" w:eastAsia="Athiti" w:hAnsi="Athiti" w:cs="Athiti"/>
          <w:i/>
          <w:sz w:val="22"/>
          <w:szCs w:val="22"/>
          <w:lang w:val="cs-CZ"/>
        </w:rPr>
        <w:t>N</w:t>
      </w:r>
      <w:r w:rsidRPr="00F914AB">
        <w:rPr>
          <w:rFonts w:ascii="Athiti" w:eastAsia="Athiti" w:hAnsi="Athiti" w:cs="Athiti"/>
          <w:sz w:val="22"/>
          <w:szCs w:val="22"/>
          <w:lang w:val="cs-CZ"/>
        </w:rPr>
        <w:t xml:space="preserve"> představují procentuální marže, které odrážejí následující faktory:</w:t>
      </w:r>
    </w:p>
    <w:p w:rsidR="00EC620F" w:rsidRPr="00F914AB" w:rsidRDefault="00EC620F" w:rsidP="00EC620F">
      <w:pPr>
        <w:pStyle w:val="normal"/>
        <w:numPr>
          <w:ilvl w:val="0"/>
          <w:numId w:val="13"/>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Hloubka trhu a podmínky likvidity: V případě nízké likvidity nebo mělké knihy objednávek může být spread širší.</w:t>
      </w:r>
    </w:p>
    <w:p w:rsidR="00EC620F" w:rsidRPr="00F914AB" w:rsidRDefault="00EC620F" w:rsidP="00EC620F">
      <w:pPr>
        <w:pStyle w:val="normal"/>
        <w:numPr>
          <w:ilvl w:val="0"/>
          <w:numId w:val="13"/>
        </w:numPr>
        <w:spacing w:after="0"/>
        <w:jc w:val="left"/>
        <w:rPr>
          <w:rFonts w:ascii="Athiti" w:eastAsia="Athiti" w:hAnsi="Athiti" w:cs="Athiti"/>
          <w:sz w:val="22"/>
          <w:szCs w:val="22"/>
          <w:lang w:val="cs-CZ"/>
        </w:rPr>
      </w:pPr>
      <w:r w:rsidRPr="00F914AB">
        <w:rPr>
          <w:rFonts w:ascii="Athiti" w:eastAsia="Athiti" w:hAnsi="Athiti" w:cs="Athiti"/>
          <w:sz w:val="22"/>
          <w:szCs w:val="22"/>
          <w:lang w:val="cs-CZ"/>
        </w:rPr>
        <w:t>Krátkodobé riziko volatility: V prostředí s vyšší tržní volatilitou jsou marže upravovány tak, aby pokryly riziko prudkých cenových pohybů.</w:t>
      </w:r>
    </w:p>
    <w:p w:rsidR="00EC620F" w:rsidRPr="00F914AB" w:rsidRDefault="00EC620F" w:rsidP="00EC620F">
      <w:pPr>
        <w:pStyle w:val="normal"/>
        <w:numPr>
          <w:ilvl w:val="0"/>
          <w:numId w:val="13"/>
        </w:numPr>
        <w:spacing w:after="240"/>
        <w:jc w:val="left"/>
        <w:rPr>
          <w:rFonts w:ascii="Athiti" w:eastAsia="Athiti" w:hAnsi="Athiti" w:cs="Athiti"/>
          <w:sz w:val="22"/>
          <w:szCs w:val="22"/>
          <w:lang w:val="cs-CZ"/>
        </w:rPr>
      </w:pPr>
      <w:r w:rsidRPr="00F914AB">
        <w:rPr>
          <w:rFonts w:ascii="Athiti" w:eastAsia="Athiti" w:hAnsi="Athiti" w:cs="Athiti"/>
          <w:sz w:val="22"/>
          <w:szCs w:val="22"/>
          <w:lang w:val="cs-CZ"/>
        </w:rPr>
        <w:t>Provozní náklady a omezení hedgingu: Do marží jsou zahrnuty také náklady spojené s provozem systému, likviditou a případným zajišťováním pozic (hedgingem), které ovlivňují konečné obchodní rozpětí.</w:t>
      </w:r>
    </w:p>
    <w:p w:rsidR="00EC620F" w:rsidRPr="00F914AB" w:rsidRDefault="00EC620F" w:rsidP="00EC620F">
      <w:pPr>
        <w:pStyle w:val="normal"/>
        <w:spacing w:before="240" w:after="240"/>
        <w:rPr>
          <w:rFonts w:ascii="Athiti" w:eastAsia="Athiti" w:hAnsi="Athiti" w:cs="Athiti"/>
          <w:sz w:val="22"/>
          <w:szCs w:val="22"/>
          <w:lang w:val="cs-CZ"/>
        </w:rPr>
      </w:pPr>
      <w:r w:rsidRPr="00F914AB">
        <w:rPr>
          <w:rFonts w:ascii="Athiti" w:eastAsia="Athiti" w:hAnsi="Athiti" w:cs="Athiti"/>
          <w:sz w:val="22"/>
          <w:szCs w:val="22"/>
          <w:lang w:val="cs-CZ"/>
        </w:rPr>
        <w:t>Tento model umožňuje společnosti flexibilně reagovat na aktuální podmínky trhu, přičemž zachovává transparentnost, předvídatelnost a spravedlivé obchodní podmínky pro všechny klienty.</w:t>
      </w:r>
    </w:p>
    <w:p w:rsidR="00EC620F" w:rsidRPr="00F914AB" w:rsidRDefault="00EC620F" w:rsidP="00EC620F">
      <w:pPr>
        <w:pStyle w:val="normal"/>
        <w:spacing w:before="240" w:after="240"/>
        <w:rPr>
          <w:rFonts w:ascii="Athiti" w:eastAsia="Athiti" w:hAnsi="Athiti" w:cs="Athiti"/>
          <w:b/>
          <w:lang w:val="cs-CZ"/>
        </w:rPr>
      </w:pPr>
      <w:r w:rsidRPr="00F914AB">
        <w:rPr>
          <w:rFonts w:ascii="Athiti" w:eastAsia="Athiti" w:hAnsi="Athiti" w:cs="Athiti"/>
          <w:b/>
          <w:lang w:val="cs-CZ"/>
        </w:rPr>
        <w:t>4.3 Informování o změnách v cenové metodice</w:t>
      </w:r>
    </w:p>
    <w:p w:rsidR="00EC620F" w:rsidRPr="00F914AB" w:rsidRDefault="00EC620F" w:rsidP="00EC620F">
      <w:pPr>
        <w:pStyle w:val="normal"/>
        <w:spacing w:before="240" w:after="240"/>
        <w:rPr>
          <w:rFonts w:ascii="Athiti" w:eastAsia="Athiti" w:hAnsi="Athiti" w:cs="Athiti"/>
          <w:lang w:val="cs-CZ"/>
        </w:rPr>
      </w:pPr>
      <w:r w:rsidRPr="00F914AB">
        <w:rPr>
          <w:rFonts w:ascii="Athiti" w:eastAsia="Athiti" w:hAnsi="Athiti" w:cs="Athiti"/>
          <w:lang w:val="cs-CZ"/>
        </w:rPr>
        <w:t xml:space="preserve">Veškeré změny v metodice stanovení cen, které mohou mít dopad na klienty, budou </w:t>
      </w:r>
      <w:r w:rsidRPr="00F914AB">
        <w:rPr>
          <w:rFonts w:ascii="Athiti" w:eastAsia="Athiti" w:hAnsi="Athiti" w:cs="Athiti"/>
          <w:b/>
          <w:lang w:val="cs-CZ"/>
        </w:rPr>
        <w:t>oznámeny předem</w:t>
      </w:r>
      <w:r w:rsidRPr="00F914AB">
        <w:rPr>
          <w:rFonts w:ascii="Athiti" w:eastAsia="Athiti" w:hAnsi="Athiti" w:cs="Athiti"/>
          <w:lang w:val="cs-CZ"/>
        </w:rPr>
        <w:t>, aby byla zajištěna plná transparentnost a klienti měli dostatek času přizpůsobit své obchodní strategie novým podmínkám.</w:t>
      </w:r>
    </w:p>
    <w:p w:rsidR="00EC620F" w:rsidRPr="00F914AB" w:rsidRDefault="00EC620F" w:rsidP="00EC620F">
      <w:pPr>
        <w:pStyle w:val="normal"/>
        <w:spacing w:before="240" w:after="240"/>
        <w:rPr>
          <w:rFonts w:ascii="Athiti" w:eastAsia="Athiti" w:hAnsi="Athiti" w:cs="Athiti"/>
          <w:lang w:val="cs-CZ"/>
        </w:rPr>
      </w:pPr>
      <w:r w:rsidRPr="00F914AB">
        <w:rPr>
          <w:rFonts w:ascii="Athiti" w:eastAsia="Athiti" w:hAnsi="Athiti" w:cs="Athiti"/>
          <w:lang w:val="cs-CZ"/>
        </w:rPr>
        <w:lastRenderedPageBreak/>
        <w:t>Společnost bude poskytovat včasné informace o změnách prostřednictvím svých oficiálních komunikačních kanálů, zejména:</w:t>
      </w:r>
    </w:p>
    <w:p w:rsidR="00EC620F" w:rsidRPr="00F914AB" w:rsidRDefault="00EC620F" w:rsidP="00EC620F">
      <w:pPr>
        <w:pStyle w:val="normal"/>
        <w:numPr>
          <w:ilvl w:val="0"/>
          <w:numId w:val="12"/>
        </w:numPr>
        <w:spacing w:before="240" w:after="0"/>
        <w:jc w:val="left"/>
        <w:rPr>
          <w:rFonts w:ascii="Athiti" w:eastAsia="Athiti" w:hAnsi="Athiti" w:cs="Athiti"/>
          <w:lang w:val="cs-CZ"/>
        </w:rPr>
      </w:pPr>
      <w:r w:rsidRPr="00F914AB">
        <w:rPr>
          <w:rFonts w:ascii="Athiti" w:eastAsia="Athiti" w:hAnsi="Athiti" w:cs="Athiti"/>
          <w:lang w:val="cs-CZ"/>
        </w:rPr>
        <w:t>e-mailovým oznámením zaslaným klientům,</w:t>
      </w:r>
    </w:p>
    <w:p w:rsidR="00EC620F" w:rsidRPr="00F914AB" w:rsidRDefault="00EC620F" w:rsidP="00EC620F">
      <w:pPr>
        <w:pStyle w:val="normal"/>
        <w:numPr>
          <w:ilvl w:val="0"/>
          <w:numId w:val="12"/>
        </w:numPr>
        <w:spacing w:after="0"/>
        <w:jc w:val="left"/>
        <w:rPr>
          <w:rFonts w:ascii="Athiti" w:eastAsia="Athiti" w:hAnsi="Athiti" w:cs="Athiti"/>
          <w:lang w:val="cs-CZ"/>
        </w:rPr>
      </w:pPr>
      <w:r w:rsidRPr="00F914AB">
        <w:rPr>
          <w:rFonts w:ascii="Athiti" w:eastAsia="Athiti" w:hAnsi="Athiti" w:cs="Athiti"/>
          <w:lang w:val="cs-CZ"/>
        </w:rPr>
        <w:t>oznámením v rámci platformy s uvedením konkrétních úprav cen,</w:t>
      </w:r>
    </w:p>
    <w:p w:rsidR="00EC620F" w:rsidRPr="00F914AB" w:rsidRDefault="00EC620F" w:rsidP="00EC620F">
      <w:pPr>
        <w:pStyle w:val="normal"/>
        <w:numPr>
          <w:ilvl w:val="0"/>
          <w:numId w:val="12"/>
        </w:numPr>
        <w:spacing w:after="240"/>
        <w:jc w:val="left"/>
        <w:rPr>
          <w:rFonts w:ascii="Athiti" w:eastAsia="Athiti" w:hAnsi="Athiti" w:cs="Athiti"/>
          <w:lang w:val="cs-CZ"/>
        </w:rPr>
      </w:pPr>
      <w:r w:rsidRPr="00F914AB">
        <w:rPr>
          <w:rFonts w:ascii="Athiti" w:eastAsia="Athiti" w:hAnsi="Athiti" w:cs="Athiti"/>
          <w:lang w:val="cs-CZ"/>
        </w:rPr>
        <w:t>aktualizací dokumentace k cenové politice, která bude odrážet veškeré provedené změny.</w:t>
      </w:r>
    </w:p>
    <w:p w:rsidR="00EC620F" w:rsidRPr="00F914AB" w:rsidRDefault="00EC620F" w:rsidP="00EC620F">
      <w:pPr>
        <w:pStyle w:val="normal"/>
        <w:spacing w:before="240" w:after="240"/>
        <w:rPr>
          <w:rFonts w:ascii="Athiti" w:eastAsia="Athiti" w:hAnsi="Athiti" w:cs="Athiti"/>
          <w:lang w:val="cs-CZ"/>
        </w:rPr>
      </w:pPr>
      <w:r w:rsidRPr="00F914AB">
        <w:rPr>
          <w:rFonts w:ascii="Athiti" w:eastAsia="Athiti" w:hAnsi="Athiti" w:cs="Athiti"/>
          <w:lang w:val="cs-CZ"/>
        </w:rPr>
        <w:t>Tato opatření zajišťují, že všichni institucionální účastníci mají dostatečný prostor k prostudování a pochopení nových pravidel cenotvorby před jejich účinností, čímž se zachovává předvídatelné a důvěryhodné obchodní prostředí.</w:t>
      </w:r>
    </w:p>
    <w:p w:rsidR="00EC620F" w:rsidRPr="00F914AB" w:rsidRDefault="00EC620F" w:rsidP="00EC620F">
      <w:pPr>
        <w:pStyle w:val="Nadpis1"/>
        <w:keepNext w:val="0"/>
        <w:keepLines w:val="0"/>
        <w:widowControl w:val="0"/>
        <w:spacing w:before="0" w:after="0" w:line="240" w:lineRule="auto"/>
        <w:rPr>
          <w:rFonts w:ascii="Athiti" w:eastAsia="Athiti" w:hAnsi="Athiti" w:cs="Athiti"/>
          <w:lang w:val="cs-CZ"/>
        </w:rPr>
      </w:pPr>
      <w:bookmarkStart w:id="17" w:name="_heading=h.6wdc31ep6u1" w:colFirst="0" w:colLast="0"/>
      <w:bookmarkEnd w:id="17"/>
      <w:r w:rsidRPr="00F914AB">
        <w:rPr>
          <w:rFonts w:ascii="Athiti" w:eastAsia="Athiti" w:hAnsi="Athiti" w:cs="Athiti"/>
          <w:lang w:val="cs-CZ"/>
        </w:rPr>
        <w:t>5 Závěrečná ustanovení</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Společnost považuje tyto Zásady za závazný interní dokument, který je nedílnou součástí jejího systému řízení a kultury bezpečnosti. Dodržování těchto Zásad je povinností všech zaměstnanců a pracovníků společnosti bez ohledu na jejich pracovní zařazení, formu pracovního vztahu nebo délku pracovního poměru.</w:t>
      </w:r>
    </w:p>
    <w:p w:rsidR="00EC620F" w:rsidRPr="00F914AB" w:rsidRDefault="00EC620F" w:rsidP="00EC620F">
      <w:pPr>
        <w:pStyle w:val="Nadpis4"/>
        <w:keepNext w:val="0"/>
        <w:keepLines w:val="0"/>
        <w:widowControl w:val="0"/>
        <w:rPr>
          <w:rFonts w:ascii="Athiti" w:eastAsia="Athiti" w:hAnsi="Athiti" w:cs="Athiti"/>
          <w:sz w:val="22"/>
          <w:szCs w:val="22"/>
          <w:lang w:val="cs-CZ"/>
        </w:rPr>
      </w:pPr>
      <w:bookmarkStart w:id="18" w:name="_heading=h.f56347snnp3e" w:colFirst="0" w:colLast="0"/>
      <w:bookmarkEnd w:id="18"/>
      <w:r w:rsidRPr="00F914AB">
        <w:rPr>
          <w:rFonts w:ascii="Athiti" w:eastAsia="Athiti" w:hAnsi="Athiti" w:cs="Athiti"/>
          <w:sz w:val="22"/>
          <w:szCs w:val="22"/>
          <w:lang w:val="cs-CZ"/>
        </w:rPr>
        <w:t>5.1 Zpřístupnění a komunikace Zásad</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Tyto Zásady budou trvale interně zpřístupněny všem zaměstnancům a pracovníkům společnosti prostřednictvím interní elektronické složky s názvem „Zásady a postupy společnosti“, která je součástí oficiální dokumentace společnosti. O existenci a obsahu tohoto předpisu, jeho aktualizacích, datu účinnosti a případných změnách budou zaměstnanci a pracovníci společnosti pravidelně informováni e-mailem, a to nejpozději do 5 pracovních dnů od provedení jakékoli revize nebo změny.</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Každý zaměstnanec a pracovník společnosti je povinen se s tímto vnitřním předpisem podrobně seznámit, potvrdit své seznámení formou elektronického potvrzení v systému nebo jiným průkazným způsobem, který stanoví Compliance &amp; AML Officer.</w:t>
      </w:r>
    </w:p>
    <w:p w:rsidR="00EC620F" w:rsidRPr="00F914AB" w:rsidRDefault="00EC620F" w:rsidP="00EC620F">
      <w:pPr>
        <w:pStyle w:val="Nadpis4"/>
        <w:keepNext w:val="0"/>
        <w:keepLines w:val="0"/>
        <w:widowControl w:val="0"/>
        <w:rPr>
          <w:rFonts w:ascii="Athiti" w:eastAsia="Athiti" w:hAnsi="Athiti" w:cs="Athiti"/>
          <w:sz w:val="22"/>
          <w:szCs w:val="22"/>
          <w:lang w:val="cs-CZ"/>
        </w:rPr>
      </w:pPr>
      <w:bookmarkStart w:id="19" w:name="_heading=h.193mh0oeh8j9" w:colFirst="0" w:colLast="0"/>
      <w:bookmarkEnd w:id="19"/>
      <w:r w:rsidRPr="00F914AB">
        <w:rPr>
          <w:rFonts w:ascii="Athiti" w:eastAsia="Athiti" w:hAnsi="Athiti" w:cs="Athiti"/>
          <w:sz w:val="22"/>
          <w:szCs w:val="22"/>
          <w:lang w:val="cs-CZ"/>
        </w:rPr>
        <w:t>5.2 Školení zaměstnanců a pracovníků</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 xml:space="preserve">Za zajištění proškolení všech dotčených osob odpovídá </w:t>
      </w:r>
      <w:r w:rsidRPr="00F914AB">
        <w:rPr>
          <w:rFonts w:ascii="Athiti" w:eastAsia="Athiti" w:hAnsi="Athiti" w:cs="Athiti"/>
          <w:b/>
          <w:lang w:val="cs-CZ"/>
        </w:rPr>
        <w:t>Compliance &amp; AML Officer</w:t>
      </w:r>
      <w:r w:rsidRPr="00F914AB">
        <w:rPr>
          <w:rFonts w:ascii="Athiti" w:eastAsia="Athiti" w:hAnsi="Athiti" w:cs="Athiti"/>
          <w:lang w:val="cs-CZ"/>
        </w:rPr>
        <w:t>. Školení musí být realizováno:</w:t>
      </w:r>
    </w:p>
    <w:p w:rsidR="00EC620F" w:rsidRPr="00F914AB" w:rsidRDefault="00EC620F" w:rsidP="00EC620F">
      <w:pPr>
        <w:pStyle w:val="normal"/>
        <w:widowControl w:val="0"/>
        <w:numPr>
          <w:ilvl w:val="0"/>
          <w:numId w:val="8"/>
        </w:numPr>
        <w:spacing w:before="240" w:after="0"/>
        <w:jc w:val="left"/>
        <w:rPr>
          <w:rFonts w:ascii="Athiti" w:eastAsia="Athiti" w:hAnsi="Athiti" w:cs="Athiti"/>
          <w:lang w:val="cs-CZ"/>
        </w:rPr>
      </w:pPr>
      <w:r w:rsidRPr="00F914AB">
        <w:rPr>
          <w:rFonts w:ascii="Athiti" w:eastAsia="Athiti" w:hAnsi="Athiti" w:cs="Athiti"/>
          <w:lang w:val="cs-CZ"/>
        </w:rPr>
        <w:t>Při prvním nástupu zaměstnance nebo pracovníka do společnosti (součást vstupního školení).</w:t>
      </w:r>
    </w:p>
    <w:p w:rsidR="00EC620F" w:rsidRPr="00F914AB" w:rsidRDefault="00EC620F" w:rsidP="00EC620F">
      <w:pPr>
        <w:pStyle w:val="normal"/>
        <w:widowControl w:val="0"/>
        <w:numPr>
          <w:ilvl w:val="0"/>
          <w:numId w:val="8"/>
        </w:numPr>
        <w:spacing w:after="0"/>
        <w:jc w:val="left"/>
        <w:rPr>
          <w:rFonts w:ascii="Athiti" w:eastAsia="Athiti" w:hAnsi="Athiti" w:cs="Athiti"/>
          <w:lang w:val="cs-CZ"/>
        </w:rPr>
      </w:pPr>
      <w:r w:rsidRPr="00F914AB">
        <w:rPr>
          <w:rFonts w:ascii="Athiti" w:eastAsia="Athiti" w:hAnsi="Athiti" w:cs="Athiti"/>
          <w:lang w:val="cs-CZ"/>
        </w:rPr>
        <w:t>Při každé revizi Zásad, pokud dojde k významným změnám v jejich obsahu.</w:t>
      </w:r>
    </w:p>
    <w:p w:rsidR="00EC620F" w:rsidRPr="00F914AB" w:rsidRDefault="00EC620F" w:rsidP="00EC620F">
      <w:pPr>
        <w:pStyle w:val="normal"/>
        <w:widowControl w:val="0"/>
        <w:numPr>
          <w:ilvl w:val="0"/>
          <w:numId w:val="8"/>
        </w:numPr>
        <w:spacing w:after="240"/>
        <w:jc w:val="left"/>
        <w:rPr>
          <w:rFonts w:ascii="Athiti" w:eastAsia="Athiti" w:hAnsi="Athiti" w:cs="Athiti"/>
          <w:lang w:val="cs-CZ"/>
        </w:rPr>
      </w:pPr>
      <w:r w:rsidRPr="00F914AB">
        <w:rPr>
          <w:rFonts w:ascii="Athiti" w:eastAsia="Athiti" w:hAnsi="Athiti" w:cs="Athiti"/>
          <w:lang w:val="cs-CZ"/>
        </w:rPr>
        <w:t xml:space="preserve">Minimálně </w:t>
      </w:r>
      <w:r w:rsidRPr="00F914AB">
        <w:rPr>
          <w:rFonts w:ascii="Athiti" w:eastAsia="Athiti" w:hAnsi="Athiti" w:cs="Athiti"/>
          <w:b/>
          <w:lang w:val="cs-CZ"/>
        </w:rPr>
        <w:t>jednou ročně</w:t>
      </w:r>
      <w:r w:rsidRPr="00F914AB">
        <w:rPr>
          <w:rFonts w:ascii="Athiti" w:eastAsia="Athiti" w:hAnsi="Athiti" w:cs="Athiti"/>
          <w:lang w:val="cs-CZ"/>
        </w:rPr>
        <w:t xml:space="preserve"> jako součást opakovaného školení na udržení povědomí o bezpečnostních pravidlech.</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Obsah školení bude zahrnovat:</w:t>
      </w:r>
    </w:p>
    <w:p w:rsidR="00EC620F" w:rsidRPr="00F914AB" w:rsidRDefault="00EC620F" w:rsidP="00EC620F">
      <w:pPr>
        <w:pStyle w:val="normal"/>
        <w:widowControl w:val="0"/>
        <w:numPr>
          <w:ilvl w:val="0"/>
          <w:numId w:val="10"/>
        </w:numPr>
        <w:spacing w:before="240" w:after="0"/>
        <w:jc w:val="left"/>
        <w:rPr>
          <w:rFonts w:ascii="Athiti" w:eastAsia="Athiti" w:hAnsi="Athiti" w:cs="Athiti"/>
          <w:lang w:val="cs-CZ"/>
        </w:rPr>
      </w:pPr>
      <w:r w:rsidRPr="00F914AB">
        <w:rPr>
          <w:rFonts w:ascii="Athiti" w:eastAsia="Athiti" w:hAnsi="Athiti" w:cs="Athiti"/>
          <w:lang w:val="cs-CZ"/>
        </w:rPr>
        <w:t>Přehled cílů a zásad tohoto dokumentu.</w:t>
      </w:r>
    </w:p>
    <w:p w:rsidR="00EC620F" w:rsidRPr="00F914AB" w:rsidRDefault="00EC620F" w:rsidP="00EC620F">
      <w:pPr>
        <w:pStyle w:val="normal"/>
        <w:widowControl w:val="0"/>
        <w:numPr>
          <w:ilvl w:val="0"/>
          <w:numId w:val="10"/>
        </w:numPr>
        <w:spacing w:after="0"/>
        <w:jc w:val="left"/>
        <w:rPr>
          <w:rFonts w:ascii="Athiti" w:eastAsia="Athiti" w:hAnsi="Athiti" w:cs="Athiti"/>
          <w:lang w:val="cs-CZ"/>
        </w:rPr>
      </w:pPr>
      <w:r w:rsidRPr="00F914AB">
        <w:rPr>
          <w:rFonts w:ascii="Athiti" w:eastAsia="Athiti" w:hAnsi="Athiti" w:cs="Athiti"/>
          <w:lang w:val="cs-CZ"/>
        </w:rPr>
        <w:t>Praktické příklady aplikace zásad v každodenní činnosti.</w:t>
      </w:r>
    </w:p>
    <w:p w:rsidR="00EC620F" w:rsidRPr="00F914AB" w:rsidRDefault="00EC620F" w:rsidP="00EC620F">
      <w:pPr>
        <w:pStyle w:val="normal"/>
        <w:widowControl w:val="0"/>
        <w:numPr>
          <w:ilvl w:val="0"/>
          <w:numId w:val="10"/>
        </w:numPr>
        <w:spacing w:after="0"/>
        <w:jc w:val="left"/>
        <w:rPr>
          <w:rFonts w:ascii="Athiti" w:eastAsia="Athiti" w:hAnsi="Athiti" w:cs="Athiti"/>
          <w:lang w:val="cs-CZ"/>
        </w:rPr>
      </w:pPr>
      <w:r w:rsidRPr="00F914AB">
        <w:rPr>
          <w:rFonts w:ascii="Athiti" w:eastAsia="Athiti" w:hAnsi="Athiti" w:cs="Athiti"/>
          <w:lang w:val="cs-CZ"/>
        </w:rPr>
        <w:t>Povinnosti jednotlivých zaměstnanců a pracovníků.</w:t>
      </w:r>
    </w:p>
    <w:p w:rsidR="00EC620F" w:rsidRPr="00F914AB" w:rsidRDefault="00EC620F" w:rsidP="00EC620F">
      <w:pPr>
        <w:pStyle w:val="normal"/>
        <w:widowControl w:val="0"/>
        <w:numPr>
          <w:ilvl w:val="0"/>
          <w:numId w:val="10"/>
        </w:numPr>
        <w:spacing w:after="240"/>
        <w:jc w:val="left"/>
        <w:rPr>
          <w:rFonts w:ascii="Athiti" w:eastAsia="Athiti" w:hAnsi="Athiti" w:cs="Athiti"/>
          <w:lang w:val="cs-CZ"/>
        </w:rPr>
      </w:pPr>
      <w:r w:rsidRPr="00F914AB">
        <w:rPr>
          <w:rFonts w:ascii="Athiti" w:eastAsia="Athiti" w:hAnsi="Athiti" w:cs="Athiti"/>
          <w:lang w:val="cs-CZ"/>
        </w:rPr>
        <w:lastRenderedPageBreak/>
        <w:t>Postupy při porušení zásad nebo hlášení incidentů.</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Proškolení bude dokumentováno prostřednictvím prezenčních listin, záznamů v interním systému nebo jiným průkazným způsobem, který umožní doložit účast jednotlivých osob.</w:t>
      </w:r>
    </w:p>
    <w:p w:rsidR="00EC620F" w:rsidRPr="00F914AB" w:rsidRDefault="00EC620F" w:rsidP="00EC620F">
      <w:pPr>
        <w:pStyle w:val="Nadpis4"/>
        <w:keepNext w:val="0"/>
        <w:keepLines w:val="0"/>
        <w:widowControl w:val="0"/>
        <w:rPr>
          <w:rFonts w:ascii="Athiti" w:eastAsia="Athiti" w:hAnsi="Athiti" w:cs="Athiti"/>
          <w:sz w:val="22"/>
          <w:szCs w:val="22"/>
          <w:lang w:val="cs-CZ"/>
        </w:rPr>
      </w:pPr>
      <w:bookmarkStart w:id="20" w:name="_heading=h.pxzwqb3vx92w" w:colFirst="0" w:colLast="0"/>
      <w:bookmarkEnd w:id="20"/>
      <w:r w:rsidRPr="00F914AB">
        <w:rPr>
          <w:rFonts w:ascii="Athiti" w:eastAsia="Athiti" w:hAnsi="Athiti" w:cs="Athiti"/>
          <w:sz w:val="22"/>
          <w:szCs w:val="22"/>
          <w:lang w:val="cs-CZ"/>
        </w:rPr>
        <w:t>5.3 Revize a aktualizace Zásad</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Tyto Zásady podléhají pravidelné revizi, která probíhá:</w:t>
      </w:r>
    </w:p>
    <w:p w:rsidR="00EC620F" w:rsidRPr="00F914AB" w:rsidRDefault="00EC620F" w:rsidP="00EC620F">
      <w:pPr>
        <w:pStyle w:val="normal"/>
        <w:widowControl w:val="0"/>
        <w:numPr>
          <w:ilvl w:val="0"/>
          <w:numId w:val="7"/>
        </w:numPr>
        <w:spacing w:before="240" w:after="0"/>
        <w:jc w:val="left"/>
        <w:rPr>
          <w:rFonts w:ascii="Athiti" w:eastAsia="Athiti" w:hAnsi="Athiti" w:cs="Athiti"/>
          <w:lang w:val="cs-CZ"/>
        </w:rPr>
      </w:pPr>
      <w:r w:rsidRPr="00F914AB">
        <w:rPr>
          <w:rFonts w:ascii="Athiti" w:eastAsia="Athiti" w:hAnsi="Athiti" w:cs="Athiti"/>
          <w:lang w:val="cs-CZ"/>
        </w:rPr>
        <w:t>Minimálně jednou ročně v rámci pravidelného cyklu přezkumu.</w:t>
      </w:r>
    </w:p>
    <w:p w:rsidR="00EC620F" w:rsidRPr="00F914AB" w:rsidRDefault="00EC620F" w:rsidP="00EC620F">
      <w:pPr>
        <w:pStyle w:val="normal"/>
        <w:widowControl w:val="0"/>
        <w:numPr>
          <w:ilvl w:val="0"/>
          <w:numId w:val="7"/>
        </w:numPr>
        <w:spacing w:after="0"/>
        <w:jc w:val="left"/>
        <w:rPr>
          <w:rFonts w:ascii="Athiti" w:eastAsia="Athiti" w:hAnsi="Athiti" w:cs="Athiti"/>
          <w:lang w:val="cs-CZ"/>
        </w:rPr>
      </w:pPr>
      <w:r w:rsidRPr="00F914AB">
        <w:rPr>
          <w:rFonts w:ascii="Athiti" w:eastAsia="Athiti" w:hAnsi="Athiti" w:cs="Athiti"/>
          <w:lang w:val="cs-CZ"/>
        </w:rPr>
        <w:t>Bezprostředně při změnách relevantních právních předpisů, zejména nařízení MiCA a jeho prováděcích předpisů.</w:t>
      </w:r>
    </w:p>
    <w:p w:rsidR="00EC620F" w:rsidRPr="00F914AB" w:rsidRDefault="00EC620F" w:rsidP="00EC620F">
      <w:pPr>
        <w:pStyle w:val="normal"/>
        <w:widowControl w:val="0"/>
        <w:numPr>
          <w:ilvl w:val="0"/>
          <w:numId w:val="7"/>
        </w:numPr>
        <w:spacing w:after="0"/>
        <w:jc w:val="left"/>
        <w:rPr>
          <w:rFonts w:ascii="Athiti" w:eastAsia="Athiti" w:hAnsi="Athiti" w:cs="Athiti"/>
          <w:lang w:val="cs-CZ"/>
        </w:rPr>
      </w:pPr>
      <w:r w:rsidRPr="00F914AB">
        <w:rPr>
          <w:rFonts w:ascii="Athiti" w:eastAsia="Athiti" w:hAnsi="Athiti" w:cs="Athiti"/>
          <w:lang w:val="cs-CZ"/>
        </w:rPr>
        <w:t>Při vydání nebo aktualizaci obecných pokynů, doporučení a RTS ze strany ESMA, EBA nebo jiných příslušných orgánů.</w:t>
      </w:r>
    </w:p>
    <w:p w:rsidR="00EC620F" w:rsidRPr="00F914AB" w:rsidRDefault="00EC620F" w:rsidP="00EC620F">
      <w:pPr>
        <w:pStyle w:val="normal"/>
        <w:widowControl w:val="0"/>
        <w:numPr>
          <w:ilvl w:val="0"/>
          <w:numId w:val="7"/>
        </w:numPr>
        <w:spacing w:after="240"/>
        <w:jc w:val="left"/>
        <w:rPr>
          <w:rFonts w:ascii="Athiti" w:eastAsia="Athiti" w:hAnsi="Athiti" w:cs="Athiti"/>
          <w:lang w:val="cs-CZ"/>
        </w:rPr>
      </w:pPr>
      <w:r w:rsidRPr="00F914AB">
        <w:rPr>
          <w:rFonts w:ascii="Athiti" w:eastAsia="Athiti" w:hAnsi="Athiti" w:cs="Athiti"/>
          <w:lang w:val="cs-CZ"/>
        </w:rPr>
        <w:t>Po identifikaci nedostatků nebo incidentu, který odhalí slabinu v dosavadních postupech.</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 xml:space="preserve">Za revizi a aktuálnost těchto Zásad odpovídá </w:t>
      </w:r>
      <w:r w:rsidRPr="00F914AB">
        <w:rPr>
          <w:rFonts w:ascii="Athiti" w:eastAsia="Athiti" w:hAnsi="Athiti" w:cs="Athiti"/>
          <w:b/>
          <w:lang w:val="cs-CZ"/>
        </w:rPr>
        <w:t>Compliance &amp; AML Officer</w:t>
      </w:r>
      <w:r w:rsidRPr="00F914AB">
        <w:rPr>
          <w:rFonts w:ascii="Athiti" w:eastAsia="Athiti" w:hAnsi="Athiti" w:cs="Athiti"/>
          <w:lang w:val="cs-CZ"/>
        </w:rPr>
        <w:t>, který zajišťuje:</w:t>
      </w:r>
    </w:p>
    <w:p w:rsidR="00EC620F" w:rsidRPr="00F914AB" w:rsidRDefault="00EC620F" w:rsidP="00EC620F">
      <w:pPr>
        <w:pStyle w:val="normal"/>
        <w:widowControl w:val="0"/>
        <w:numPr>
          <w:ilvl w:val="0"/>
          <w:numId w:val="9"/>
        </w:numPr>
        <w:spacing w:before="240" w:after="0"/>
        <w:jc w:val="left"/>
        <w:rPr>
          <w:rFonts w:ascii="Athiti" w:eastAsia="Athiti" w:hAnsi="Athiti" w:cs="Athiti"/>
          <w:lang w:val="cs-CZ"/>
        </w:rPr>
      </w:pPr>
      <w:r w:rsidRPr="00F914AB">
        <w:rPr>
          <w:rFonts w:ascii="Athiti" w:eastAsia="Athiti" w:hAnsi="Athiti" w:cs="Athiti"/>
          <w:lang w:val="cs-CZ"/>
        </w:rPr>
        <w:t>Vyhodnocení aktuálnosti dokumentu a jeho souladu s právními předpisy.</w:t>
      </w:r>
    </w:p>
    <w:p w:rsidR="00EC620F" w:rsidRPr="00F914AB" w:rsidRDefault="00EC620F" w:rsidP="00EC620F">
      <w:pPr>
        <w:pStyle w:val="normal"/>
        <w:widowControl w:val="0"/>
        <w:numPr>
          <w:ilvl w:val="0"/>
          <w:numId w:val="9"/>
        </w:numPr>
        <w:spacing w:after="0"/>
        <w:jc w:val="left"/>
        <w:rPr>
          <w:rFonts w:ascii="Athiti" w:eastAsia="Athiti" w:hAnsi="Athiti" w:cs="Athiti"/>
          <w:lang w:val="cs-CZ"/>
        </w:rPr>
      </w:pPr>
      <w:r w:rsidRPr="00F914AB">
        <w:rPr>
          <w:rFonts w:ascii="Athiti" w:eastAsia="Athiti" w:hAnsi="Athiti" w:cs="Athiti"/>
          <w:lang w:val="cs-CZ"/>
        </w:rPr>
        <w:t>Přípravu návrhu změn a aktualizací.</w:t>
      </w:r>
    </w:p>
    <w:p w:rsidR="00EC620F" w:rsidRPr="00F914AB" w:rsidRDefault="00EC620F" w:rsidP="00EC620F">
      <w:pPr>
        <w:pStyle w:val="normal"/>
        <w:widowControl w:val="0"/>
        <w:numPr>
          <w:ilvl w:val="0"/>
          <w:numId w:val="9"/>
        </w:numPr>
        <w:spacing w:after="0"/>
        <w:jc w:val="left"/>
        <w:rPr>
          <w:rFonts w:ascii="Athiti" w:eastAsia="Athiti" w:hAnsi="Athiti" w:cs="Athiti"/>
          <w:lang w:val="cs-CZ"/>
        </w:rPr>
      </w:pPr>
      <w:r w:rsidRPr="00F914AB">
        <w:rPr>
          <w:rFonts w:ascii="Athiti" w:eastAsia="Athiti" w:hAnsi="Athiti" w:cs="Athiti"/>
          <w:lang w:val="cs-CZ"/>
        </w:rPr>
        <w:t>Předložení návrhu k projednání a schválení vedením společnosti.</w:t>
      </w:r>
      <w:r w:rsidRPr="00F914AB">
        <w:rPr>
          <w:rFonts w:ascii="Athiti" w:eastAsia="Athiti" w:hAnsi="Athiti" w:cs="Athiti"/>
          <w:lang w:val="cs-CZ"/>
        </w:rPr>
        <w:br/>
      </w:r>
    </w:p>
    <w:p w:rsidR="00EC620F" w:rsidRPr="00F914AB" w:rsidRDefault="00EC620F" w:rsidP="00EC620F">
      <w:pPr>
        <w:pStyle w:val="normal"/>
        <w:widowControl w:val="0"/>
        <w:numPr>
          <w:ilvl w:val="0"/>
          <w:numId w:val="9"/>
        </w:numPr>
        <w:spacing w:after="240"/>
        <w:jc w:val="left"/>
        <w:rPr>
          <w:rFonts w:ascii="Athiti" w:eastAsia="Athiti" w:hAnsi="Athiti" w:cs="Athiti"/>
          <w:lang w:val="cs-CZ"/>
        </w:rPr>
      </w:pPr>
      <w:r w:rsidRPr="00F914AB">
        <w:rPr>
          <w:rFonts w:ascii="Athiti" w:eastAsia="Athiti" w:hAnsi="Athiti" w:cs="Athiti"/>
          <w:lang w:val="cs-CZ"/>
        </w:rPr>
        <w:t xml:space="preserve">Informování všech dotčených osob o změnách a zajištění aktualizace ve složce </w:t>
      </w:r>
      <w:r w:rsidRPr="00F914AB">
        <w:rPr>
          <w:rFonts w:ascii="Athiti" w:eastAsia="Athiti" w:hAnsi="Athiti" w:cs="Athiti"/>
          <w:b/>
          <w:lang w:val="cs-CZ"/>
        </w:rPr>
        <w:t>„Zásady a postupy společnosti“</w:t>
      </w:r>
      <w:r w:rsidRPr="00F914AB">
        <w:rPr>
          <w:rFonts w:ascii="Athiti" w:eastAsia="Athiti" w:hAnsi="Athiti" w:cs="Athiti"/>
          <w:lang w:val="cs-CZ"/>
        </w:rPr>
        <w:t>.</w:t>
      </w:r>
    </w:p>
    <w:p w:rsidR="00EC620F" w:rsidRPr="00F914AB" w:rsidRDefault="00EC620F" w:rsidP="00EC620F">
      <w:pPr>
        <w:pStyle w:val="Nadpis4"/>
        <w:keepNext w:val="0"/>
        <w:keepLines w:val="0"/>
        <w:widowControl w:val="0"/>
        <w:rPr>
          <w:rFonts w:ascii="Athiti" w:eastAsia="Athiti" w:hAnsi="Athiti" w:cs="Athiti"/>
          <w:sz w:val="22"/>
          <w:szCs w:val="22"/>
          <w:lang w:val="cs-CZ"/>
        </w:rPr>
      </w:pPr>
      <w:bookmarkStart w:id="21" w:name="_heading=h.asls2zbb5u7x" w:colFirst="0" w:colLast="0"/>
      <w:bookmarkEnd w:id="21"/>
      <w:r w:rsidRPr="00F914AB">
        <w:rPr>
          <w:rFonts w:ascii="Athiti" w:eastAsia="Athiti" w:hAnsi="Athiti" w:cs="Athiti"/>
          <w:sz w:val="22"/>
          <w:szCs w:val="22"/>
          <w:lang w:val="cs-CZ"/>
        </w:rPr>
        <w:t>5.4 Účinnost</w:t>
      </w:r>
    </w:p>
    <w:p w:rsidR="00EC620F" w:rsidRPr="00F914AB" w:rsidRDefault="00EC620F" w:rsidP="00EC620F">
      <w:pPr>
        <w:pStyle w:val="normal"/>
        <w:widowControl w:val="0"/>
        <w:spacing w:before="240" w:after="240"/>
        <w:rPr>
          <w:rFonts w:ascii="Athiti" w:eastAsia="Athiti" w:hAnsi="Athiti" w:cs="Athiti"/>
          <w:lang w:val="cs-CZ"/>
        </w:rPr>
      </w:pPr>
      <w:r w:rsidRPr="00F914AB">
        <w:rPr>
          <w:rFonts w:ascii="Athiti" w:eastAsia="Athiti" w:hAnsi="Athiti" w:cs="Athiti"/>
          <w:lang w:val="cs-CZ"/>
        </w:rPr>
        <w:t xml:space="preserve">Tyto Zásady nabývají </w:t>
      </w:r>
      <w:r w:rsidRPr="00F914AB">
        <w:rPr>
          <w:rFonts w:ascii="Athiti" w:eastAsia="Athiti" w:hAnsi="Athiti" w:cs="Athiti"/>
          <w:b/>
          <w:lang w:val="cs-CZ"/>
        </w:rPr>
        <w:t>platnosti a účinnosti ke dni jejich schválení vedením společnosti</w:t>
      </w:r>
      <w:r w:rsidRPr="00F914AB">
        <w:rPr>
          <w:rFonts w:ascii="Athiti" w:eastAsia="Athiti" w:hAnsi="Athiti" w:cs="Athiti"/>
          <w:lang w:val="cs-CZ"/>
        </w:rPr>
        <w:t>. Datum schválení a účinnosti je uvedeno v záhlaví dokumentu.</w:t>
      </w:r>
    </w:p>
    <w:p w:rsidR="00B06DB5" w:rsidRPr="00F914AB" w:rsidRDefault="00B06DB5">
      <w:pPr>
        <w:rPr>
          <w:lang w:val="cs-CZ"/>
        </w:rPr>
      </w:pPr>
    </w:p>
    <w:sectPr w:rsidR="00B06DB5" w:rsidRPr="00F914AB" w:rsidSect="00F676FB">
      <w:headerReference w:type="default" r:id="rId7"/>
      <w:footerReference w:type="default" r:id="rId8"/>
      <w:headerReference w:type="first" r:id="rId9"/>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F6A" w:rsidRDefault="00CE0F6A" w:rsidP="009639A0">
      <w:pPr>
        <w:spacing w:after="0" w:line="240" w:lineRule="auto"/>
      </w:pPr>
      <w:r>
        <w:separator/>
      </w:r>
    </w:p>
  </w:endnote>
  <w:endnote w:type="continuationSeparator" w:id="1">
    <w:p w:rsidR="00CE0F6A" w:rsidRDefault="00CE0F6A" w:rsidP="00963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FB" w:rsidRDefault="00EC620F">
    <w:pPr>
      <w:pStyle w:val="normal"/>
      <w:tabs>
        <w:tab w:val="center" w:pos="4677"/>
        <w:tab w:val="right" w:pos="9355"/>
      </w:tabs>
      <w:spacing w:after="0" w:line="240" w:lineRule="auto"/>
      <w:jc w:val="center"/>
    </w:pPr>
    <w:r>
      <w:rPr>
        <w:noProof/>
      </w:rPr>
      <w:drawing>
        <wp:inline distT="0" distB="0" distL="0" distR="0">
          <wp:extent cx="5505450" cy="83185"/>
          <wp:effectExtent l="0" t="0" r="0" b="0"/>
          <wp:docPr id="8"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05450" cy="83185"/>
                  </a:xfrm>
                  <a:prstGeom prst="rect">
                    <a:avLst/>
                  </a:prstGeom>
                  <a:ln/>
                </pic:spPr>
              </pic:pic>
            </a:graphicData>
          </a:graphic>
        </wp:inline>
      </w:drawing>
    </w:r>
  </w:p>
  <w:p w:rsidR="00F676FB" w:rsidRDefault="00615519">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EC620F">
      <w:rPr>
        <w:rFonts w:ascii="Athiti" w:eastAsia="Athiti" w:hAnsi="Athiti" w:cs="Athiti"/>
      </w:rPr>
      <w:instrText>PAGE</w:instrText>
    </w:r>
    <w:r>
      <w:rPr>
        <w:rFonts w:ascii="Athiti" w:eastAsia="Athiti" w:hAnsi="Athiti" w:cs="Athiti"/>
      </w:rPr>
      <w:fldChar w:fldCharType="separate"/>
    </w:r>
    <w:r w:rsidR="005213A5">
      <w:rPr>
        <w:rFonts w:ascii="Athiti" w:eastAsia="Athiti" w:hAnsi="Athiti" w:cs="Athiti"/>
        <w:noProof/>
      </w:rPr>
      <w:t>10</w:t>
    </w:r>
    <w:r>
      <w:rPr>
        <w:rFonts w:ascii="Athiti" w:eastAsia="Athiti" w:hAnsi="Athiti" w:cs="Athiti"/>
      </w:rPr>
      <w:fldChar w:fldCharType="end"/>
    </w:r>
  </w:p>
  <w:p w:rsidR="00F676FB" w:rsidRDefault="00CE0F6A">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F6A" w:rsidRDefault="00CE0F6A" w:rsidP="009639A0">
      <w:pPr>
        <w:spacing w:after="0" w:line="240" w:lineRule="auto"/>
      </w:pPr>
      <w:r>
        <w:separator/>
      </w:r>
    </w:p>
  </w:footnote>
  <w:footnote w:type="continuationSeparator" w:id="1">
    <w:p w:rsidR="00CE0F6A" w:rsidRDefault="00CE0F6A" w:rsidP="009639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FB" w:rsidRDefault="00EC620F">
    <w:pPr>
      <w:pStyle w:val="normal"/>
    </w:pPr>
    <w:r>
      <w:rPr>
        <w:noProof/>
      </w:rPr>
      <w:drawing>
        <wp:anchor distT="0" distB="0" distL="114300" distR="114300" simplePos="0" relativeHeight="251659264" behindDoc="0" locked="0" layoutInCell="1" allowOverlap="1">
          <wp:simplePos x="0" y="0"/>
          <wp:positionH relativeFrom="page">
            <wp:posOffset>-14283</wp:posOffset>
          </wp:positionH>
          <wp:positionV relativeFrom="page">
            <wp:posOffset>-14283</wp:posOffset>
          </wp:positionV>
          <wp:extent cx="118575" cy="10756575"/>
          <wp:effectExtent l="0" t="0" r="0" b="0"/>
          <wp:wrapSquare wrapText="bothSides" distT="0" distB="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8575" cy="10756575"/>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FB" w:rsidRDefault="00EC620F">
    <w:pPr>
      <w:pStyle w:val="normal"/>
    </w:pPr>
    <w:r>
      <w:rPr>
        <w:noProof/>
      </w:rPr>
      <w:drawing>
        <wp:anchor distT="0" distB="0" distL="114300" distR="114300" simplePos="0" relativeHeight="251660288" behindDoc="0" locked="0" layoutInCell="1" allowOverlap="1">
          <wp:simplePos x="0" y="0"/>
          <wp:positionH relativeFrom="page">
            <wp:posOffset>-14283</wp:posOffset>
          </wp:positionH>
          <wp:positionV relativeFrom="page">
            <wp:posOffset>-14283</wp:posOffset>
          </wp:positionV>
          <wp:extent cx="118575" cy="10756575"/>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575" cy="1075657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6FA"/>
    <w:multiLevelType w:val="multilevel"/>
    <w:tmpl w:val="74F42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47720B"/>
    <w:multiLevelType w:val="multilevel"/>
    <w:tmpl w:val="BAE0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844B6A"/>
    <w:multiLevelType w:val="multilevel"/>
    <w:tmpl w:val="DEB0A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CEE2809"/>
    <w:multiLevelType w:val="multilevel"/>
    <w:tmpl w:val="1AF45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DEB332D"/>
    <w:multiLevelType w:val="multilevel"/>
    <w:tmpl w:val="1042F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4A53536"/>
    <w:multiLevelType w:val="multilevel"/>
    <w:tmpl w:val="32787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3D13A1F"/>
    <w:multiLevelType w:val="multilevel"/>
    <w:tmpl w:val="D04CA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B860102"/>
    <w:multiLevelType w:val="multilevel"/>
    <w:tmpl w:val="B94E5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DDF4DD0"/>
    <w:multiLevelType w:val="multilevel"/>
    <w:tmpl w:val="F33E4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3D90DD2"/>
    <w:multiLevelType w:val="multilevel"/>
    <w:tmpl w:val="B7165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EFF42F1"/>
    <w:multiLevelType w:val="multilevel"/>
    <w:tmpl w:val="A65ED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7466A9B"/>
    <w:multiLevelType w:val="multilevel"/>
    <w:tmpl w:val="FBDCD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E6A6367"/>
    <w:multiLevelType w:val="multilevel"/>
    <w:tmpl w:val="811C7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0EF760A"/>
    <w:multiLevelType w:val="multilevel"/>
    <w:tmpl w:val="43D0F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27321E3"/>
    <w:multiLevelType w:val="multilevel"/>
    <w:tmpl w:val="59405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2897B72"/>
    <w:multiLevelType w:val="multilevel"/>
    <w:tmpl w:val="28BE5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6632F15"/>
    <w:multiLevelType w:val="multilevel"/>
    <w:tmpl w:val="FA9AA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6881A08"/>
    <w:multiLevelType w:val="multilevel"/>
    <w:tmpl w:val="BF525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13"/>
  </w:num>
  <w:num w:numId="5">
    <w:abstractNumId w:val="14"/>
  </w:num>
  <w:num w:numId="6">
    <w:abstractNumId w:val="17"/>
  </w:num>
  <w:num w:numId="7">
    <w:abstractNumId w:val="11"/>
  </w:num>
  <w:num w:numId="8">
    <w:abstractNumId w:val="0"/>
  </w:num>
  <w:num w:numId="9">
    <w:abstractNumId w:val="6"/>
  </w:num>
  <w:num w:numId="10">
    <w:abstractNumId w:val="15"/>
  </w:num>
  <w:num w:numId="11">
    <w:abstractNumId w:val="8"/>
  </w:num>
  <w:num w:numId="12">
    <w:abstractNumId w:val="7"/>
  </w:num>
  <w:num w:numId="13">
    <w:abstractNumId w:val="16"/>
  </w:num>
  <w:num w:numId="14">
    <w:abstractNumId w:val="9"/>
  </w:num>
  <w:num w:numId="15">
    <w:abstractNumId w:val="1"/>
  </w:num>
  <w:num w:numId="16">
    <w:abstractNumId w:val="5"/>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620F"/>
    <w:rsid w:val="00126818"/>
    <w:rsid w:val="001F0902"/>
    <w:rsid w:val="00267770"/>
    <w:rsid w:val="003401B4"/>
    <w:rsid w:val="005213A5"/>
    <w:rsid w:val="005811F2"/>
    <w:rsid w:val="00615519"/>
    <w:rsid w:val="009639A0"/>
    <w:rsid w:val="009D0A5F"/>
    <w:rsid w:val="00B01FD2"/>
    <w:rsid w:val="00B06DB5"/>
    <w:rsid w:val="00CE0F6A"/>
    <w:rsid w:val="00EC620F"/>
    <w:rsid w:val="00F91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620F"/>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EC620F"/>
    <w:pPr>
      <w:keepNext/>
      <w:keepLines/>
      <w:spacing w:before="360" w:after="240"/>
      <w:outlineLvl w:val="0"/>
    </w:pPr>
    <w:rPr>
      <w:rFonts w:ascii="Calibri" w:eastAsia="Calibri" w:hAnsi="Calibri" w:cs="Calibri"/>
      <w:b/>
      <w:sz w:val="36"/>
      <w:szCs w:val="36"/>
    </w:rPr>
  </w:style>
  <w:style w:type="paragraph" w:styleId="Nadpis3">
    <w:name w:val="heading 3"/>
    <w:basedOn w:val="normal"/>
    <w:next w:val="normal"/>
    <w:link w:val="Nadpis3Char"/>
    <w:rsid w:val="00EC620F"/>
    <w:pPr>
      <w:keepNext/>
      <w:keepLines/>
      <w:spacing w:before="40" w:after="200"/>
      <w:outlineLvl w:val="2"/>
    </w:pPr>
    <w:rPr>
      <w:rFonts w:ascii="Calibri" w:eastAsia="Calibri" w:hAnsi="Calibri" w:cs="Calibri"/>
    </w:rPr>
  </w:style>
  <w:style w:type="paragraph" w:styleId="Nadpis4">
    <w:name w:val="heading 4"/>
    <w:basedOn w:val="normal"/>
    <w:next w:val="normal"/>
    <w:link w:val="Nadpis4Char"/>
    <w:rsid w:val="00EC620F"/>
    <w:pPr>
      <w:keepNext/>
      <w:keepLines/>
      <w:spacing w:before="240" w:after="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C620F"/>
    <w:rPr>
      <w:rFonts w:ascii="Calibri" w:eastAsia="Calibri" w:hAnsi="Calibri" w:cs="Calibri"/>
      <w:b/>
      <w:sz w:val="36"/>
      <w:szCs w:val="36"/>
    </w:rPr>
  </w:style>
  <w:style w:type="character" w:customStyle="1" w:styleId="Nadpis3Char">
    <w:name w:val="Nadpis 3 Char"/>
    <w:basedOn w:val="Standardnpsmoodstavce"/>
    <w:link w:val="Nadpis3"/>
    <w:rsid w:val="00EC620F"/>
    <w:rPr>
      <w:rFonts w:ascii="Calibri" w:eastAsia="Calibri" w:hAnsi="Calibri" w:cs="Calibri"/>
      <w:sz w:val="24"/>
      <w:szCs w:val="24"/>
    </w:rPr>
  </w:style>
  <w:style w:type="character" w:customStyle="1" w:styleId="Nadpis4Char">
    <w:name w:val="Nadpis 4 Char"/>
    <w:basedOn w:val="Standardnpsmoodstavce"/>
    <w:link w:val="Nadpis4"/>
    <w:rsid w:val="00EC620F"/>
    <w:rPr>
      <w:rFonts w:ascii="Times New Roman" w:eastAsia="Times New Roman" w:hAnsi="Times New Roman" w:cs="Times New Roman"/>
      <w:b/>
      <w:sz w:val="24"/>
      <w:szCs w:val="24"/>
    </w:rPr>
  </w:style>
  <w:style w:type="paragraph" w:styleId="Nzev">
    <w:name w:val="Title"/>
    <w:basedOn w:val="normal"/>
    <w:next w:val="normal"/>
    <w:link w:val="NzevChar"/>
    <w:rsid w:val="00EC620F"/>
    <w:pPr>
      <w:keepNext/>
      <w:keepLines/>
      <w:spacing w:before="480" w:after="120"/>
    </w:pPr>
    <w:rPr>
      <w:b/>
      <w:sz w:val="72"/>
      <w:szCs w:val="72"/>
    </w:rPr>
  </w:style>
  <w:style w:type="character" w:customStyle="1" w:styleId="NzevChar">
    <w:name w:val="Název Char"/>
    <w:basedOn w:val="Standardnpsmoodstavce"/>
    <w:link w:val="Nzev"/>
    <w:rsid w:val="00EC620F"/>
    <w:rPr>
      <w:rFonts w:ascii="Times New Roman" w:eastAsia="Times New Roman" w:hAnsi="Times New Roman" w:cs="Times New Roman"/>
      <w:b/>
      <w:sz w:val="72"/>
      <w:szCs w:val="72"/>
    </w:rPr>
  </w:style>
  <w:style w:type="paragraph" w:customStyle="1" w:styleId="normal">
    <w:name w:val="normal"/>
    <w:rsid w:val="00EC620F"/>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EC62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620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3668</Words>
  <Characters>20914</Characters>
  <Application>Microsoft Office Word</Application>
  <DocSecurity>0</DocSecurity>
  <Lines>174</Lines>
  <Paragraphs>49</Paragraphs>
  <ScaleCrop>false</ScaleCrop>
  <Company/>
  <LinksUpToDate>false</LinksUpToDate>
  <CharactersWithSpaces>24533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2025-07-28T01:09:00Z</dcterms:created>
  <dcterms:modified xsi:type="dcterms:W3CDTF">2025-07-30T01:53:00Z</dcterms:modified>
</cp:coreProperties>
</file>