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CC" w:rsidRDefault="00D52ECC" w:rsidP="00D52ECC">
      <w:pPr>
        <w:pStyle w:val="normal"/>
        <w:jc w:val="right"/>
        <w:rPr>
          <w:rFonts w:ascii="Athiti" w:eastAsia="Athiti" w:hAnsi="Athiti" w:cs="Athiti"/>
          <w:b/>
          <w:color w:val="44546A"/>
          <w:sz w:val="48"/>
          <w:szCs w:val="48"/>
        </w:rPr>
      </w:pPr>
      <w:bookmarkStart w:id="0" w:name="_heading=h.6mjz1r8kvepo" w:colFirst="0" w:colLast="0"/>
      <w:bookmarkEnd w:id="0"/>
    </w:p>
    <w:p w:rsidR="00D52ECC" w:rsidRDefault="00D52ECC" w:rsidP="00D52ECC">
      <w:pPr>
        <w:pStyle w:val="normal"/>
        <w:rPr>
          <w:rFonts w:ascii="Athiti" w:eastAsia="Athiti" w:hAnsi="Athiti" w:cs="Athiti"/>
          <w:b/>
          <w:color w:val="44546A"/>
          <w:sz w:val="48"/>
          <w:szCs w:val="48"/>
        </w:rPr>
      </w:pPr>
    </w:p>
    <w:p w:rsidR="00D52ECC" w:rsidRDefault="00D52ECC" w:rsidP="00D52ECC">
      <w:pPr>
        <w:pStyle w:val="normal"/>
        <w:rPr>
          <w:rFonts w:ascii="Athiti" w:eastAsia="Athiti" w:hAnsi="Athiti" w:cs="Athiti"/>
          <w:b/>
          <w:color w:val="44546A"/>
          <w:sz w:val="48"/>
          <w:szCs w:val="48"/>
        </w:rPr>
      </w:pPr>
    </w:p>
    <w:p w:rsidR="00D52ECC" w:rsidRDefault="00D52ECC" w:rsidP="00D52ECC">
      <w:pPr>
        <w:pStyle w:val="normal"/>
        <w:rPr>
          <w:rFonts w:ascii="Athiti" w:eastAsia="Athiti" w:hAnsi="Athiti" w:cs="Athiti"/>
          <w:b/>
          <w:color w:val="44546A"/>
          <w:sz w:val="48"/>
          <w:szCs w:val="48"/>
        </w:rPr>
      </w:pPr>
    </w:p>
    <w:p w:rsidR="00D52ECC" w:rsidRPr="00BC6EAC" w:rsidRDefault="00D52ECC" w:rsidP="00D52ECC">
      <w:pPr>
        <w:pStyle w:val="normal"/>
        <w:jc w:val="center"/>
        <w:rPr>
          <w:rFonts w:ascii="Athiti" w:eastAsia="Athiti" w:hAnsi="Athiti" w:cs="Athiti"/>
          <w:b/>
          <w:sz w:val="48"/>
          <w:szCs w:val="48"/>
          <w:lang w:val="cs-CZ"/>
        </w:rPr>
      </w:pPr>
      <w:r w:rsidRPr="00BC6EAC">
        <w:rPr>
          <w:rFonts w:ascii="Athiti" w:eastAsia="Athiti" w:hAnsi="Athiti" w:cs="Athiti"/>
          <w:b/>
          <w:sz w:val="48"/>
          <w:szCs w:val="48"/>
          <w:lang w:val="cs-CZ"/>
        </w:rPr>
        <w:t xml:space="preserve">Oznamování nekalého jednání </w:t>
      </w:r>
    </w:p>
    <w:p w:rsidR="00D52ECC" w:rsidRDefault="00D52ECC" w:rsidP="00D52ECC">
      <w:pPr>
        <w:pStyle w:val="normal"/>
        <w:jc w:val="center"/>
        <w:rPr>
          <w:rFonts w:ascii="Athiti" w:eastAsia="Athiti" w:hAnsi="Athiti" w:cs="Athiti"/>
          <w:b/>
          <w:sz w:val="48"/>
          <w:szCs w:val="48"/>
        </w:rPr>
      </w:pPr>
      <w:r>
        <w:rPr>
          <w:rFonts w:ascii="Athiti" w:eastAsia="Athiti" w:hAnsi="Athiti" w:cs="Athiti"/>
          <w:b/>
          <w:sz w:val="48"/>
          <w:szCs w:val="48"/>
        </w:rPr>
        <w:t>(Whistleblowing)</w:t>
      </w:r>
    </w:p>
    <w:p w:rsidR="00D52ECC" w:rsidRDefault="00D52ECC" w:rsidP="00D52ECC">
      <w:pPr>
        <w:pStyle w:val="normal"/>
        <w:jc w:val="center"/>
        <w:rPr>
          <w:rFonts w:ascii="Athiti" w:eastAsia="Athiti" w:hAnsi="Athiti" w:cs="Athiti"/>
          <w:b/>
          <w:sz w:val="48"/>
          <w:szCs w:val="48"/>
        </w:rPr>
      </w:pPr>
    </w:p>
    <w:p w:rsidR="00D52ECC" w:rsidRDefault="00D52ECC" w:rsidP="00D52ECC">
      <w:pPr>
        <w:pStyle w:val="normal"/>
        <w:jc w:val="left"/>
        <w:rPr>
          <w:rFonts w:ascii="Athiti" w:eastAsia="Athiti" w:hAnsi="Athiti" w:cs="Athiti"/>
          <w:b/>
          <w:sz w:val="48"/>
          <w:szCs w:val="48"/>
        </w:rPr>
      </w:pPr>
    </w:p>
    <w:p w:rsidR="00D52ECC" w:rsidRDefault="00D52ECC" w:rsidP="00D52ECC">
      <w:pPr>
        <w:pStyle w:val="normal"/>
        <w:jc w:val="center"/>
        <w:rPr>
          <w:rFonts w:ascii="Athiti" w:eastAsia="Athiti" w:hAnsi="Athiti" w:cs="Athiti"/>
          <w:b/>
          <w:sz w:val="48"/>
          <w:szCs w:val="48"/>
        </w:rPr>
      </w:pPr>
    </w:p>
    <w:p w:rsidR="00D52ECC" w:rsidRDefault="00D52ECC" w:rsidP="00D52ECC">
      <w:pPr>
        <w:pStyle w:val="normal"/>
        <w:widowControl w:val="0"/>
        <w:tabs>
          <w:tab w:val="left" w:pos="9356"/>
        </w:tabs>
        <w:spacing w:before="6" w:after="0" w:line="240" w:lineRule="auto"/>
        <w:rPr>
          <w:rFonts w:ascii="Athiti" w:eastAsia="Athiti" w:hAnsi="Athiti" w:cs="Athiti"/>
          <w:sz w:val="18"/>
          <w:szCs w:val="18"/>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D52ECC" w:rsidTr="00636028">
        <w:trPr>
          <w:cantSplit/>
          <w:trHeight w:val="354"/>
          <w:tblHeader/>
        </w:trPr>
        <w:tc>
          <w:tcPr>
            <w:tcW w:w="3149" w:type="dxa"/>
            <w:shd w:val="clear" w:color="auto" w:fill="EFEFEF"/>
          </w:tcPr>
          <w:p w:rsidR="00D52ECC" w:rsidRDefault="00D52ECC" w:rsidP="00636028">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Verze:</w:t>
            </w:r>
          </w:p>
        </w:tc>
        <w:tc>
          <w:tcPr>
            <w:tcW w:w="2746" w:type="dxa"/>
          </w:tcPr>
          <w:p w:rsidR="00D52ECC" w:rsidRDefault="00D52ECC" w:rsidP="00636028">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1.0</w:t>
            </w:r>
          </w:p>
        </w:tc>
      </w:tr>
      <w:tr w:rsidR="00D52ECC" w:rsidTr="00636028">
        <w:trPr>
          <w:cantSplit/>
          <w:trHeight w:val="354"/>
          <w:tblHeader/>
        </w:trPr>
        <w:tc>
          <w:tcPr>
            <w:tcW w:w="3149" w:type="dxa"/>
            <w:shd w:val="clear" w:color="auto" w:fill="EFEFEF"/>
          </w:tcPr>
          <w:p w:rsidR="00D52ECC" w:rsidRDefault="00D52ECC" w:rsidP="00636028">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Schváleno dne:</w:t>
            </w:r>
          </w:p>
        </w:tc>
        <w:tc>
          <w:tcPr>
            <w:tcW w:w="2746" w:type="dxa"/>
          </w:tcPr>
          <w:p w:rsidR="00D52ECC" w:rsidRDefault="00BC6EAC" w:rsidP="00636028">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25.07.2025</w:t>
            </w:r>
          </w:p>
        </w:tc>
      </w:tr>
      <w:tr w:rsidR="00D52ECC" w:rsidTr="00636028">
        <w:trPr>
          <w:cantSplit/>
          <w:trHeight w:val="354"/>
          <w:tblHeader/>
        </w:trPr>
        <w:tc>
          <w:tcPr>
            <w:tcW w:w="3149" w:type="dxa"/>
            <w:shd w:val="clear" w:color="auto" w:fill="EFEFEF"/>
          </w:tcPr>
          <w:p w:rsidR="00D52ECC" w:rsidRDefault="00D52ECC" w:rsidP="00636028">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Schváleno oddělením:</w:t>
            </w:r>
          </w:p>
        </w:tc>
        <w:tc>
          <w:tcPr>
            <w:tcW w:w="2746" w:type="dxa"/>
          </w:tcPr>
          <w:p w:rsidR="00D52ECC" w:rsidRDefault="00D52ECC" w:rsidP="00636028">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Compliance</w:t>
            </w:r>
          </w:p>
        </w:tc>
      </w:tr>
      <w:tr w:rsidR="00D52ECC" w:rsidTr="00636028">
        <w:trPr>
          <w:cantSplit/>
          <w:trHeight w:val="354"/>
          <w:tblHeader/>
        </w:trPr>
        <w:tc>
          <w:tcPr>
            <w:tcW w:w="3149" w:type="dxa"/>
            <w:shd w:val="clear" w:color="auto" w:fill="EFEFEF"/>
          </w:tcPr>
          <w:p w:rsidR="00D52ECC" w:rsidRDefault="00D52ECC" w:rsidP="00636028">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Naposledy aktualizováno:</w:t>
            </w:r>
          </w:p>
        </w:tc>
        <w:tc>
          <w:tcPr>
            <w:tcW w:w="2746" w:type="dxa"/>
          </w:tcPr>
          <w:p w:rsidR="00D52ECC" w:rsidRDefault="00BC6EAC" w:rsidP="00636028">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25.07.2025</w:t>
            </w:r>
          </w:p>
        </w:tc>
      </w:tr>
    </w:tbl>
    <w:p w:rsidR="00D52ECC" w:rsidRDefault="00D52ECC" w:rsidP="00D52ECC">
      <w:pPr>
        <w:pStyle w:val="normal"/>
        <w:jc w:val="center"/>
        <w:rPr>
          <w:rFonts w:ascii="Athiti" w:eastAsia="Athiti" w:hAnsi="Athiti" w:cs="Athiti"/>
          <w:color w:val="725DD9"/>
        </w:rPr>
      </w:pPr>
      <w:r>
        <w:br w:type="page"/>
      </w:r>
    </w:p>
    <w:p w:rsidR="00D52ECC" w:rsidRPr="00BC6EAC" w:rsidRDefault="00D52ECC" w:rsidP="00D52ECC">
      <w:pPr>
        <w:pStyle w:val="normal"/>
        <w:keepNext/>
        <w:keepLines/>
        <w:pBdr>
          <w:top w:val="nil"/>
          <w:left w:val="nil"/>
          <w:bottom w:val="nil"/>
          <w:right w:val="nil"/>
          <w:between w:val="nil"/>
        </w:pBdr>
        <w:spacing w:before="360" w:after="240"/>
        <w:jc w:val="left"/>
        <w:rPr>
          <w:rFonts w:ascii="Athiti" w:eastAsia="Athiti" w:hAnsi="Athiti" w:cs="Athiti"/>
          <w:b/>
          <w:sz w:val="36"/>
          <w:szCs w:val="36"/>
          <w:lang w:val="cs-CZ"/>
        </w:rPr>
      </w:pPr>
      <w:r w:rsidRPr="00BC6EAC">
        <w:rPr>
          <w:rFonts w:ascii="Athiti" w:eastAsia="Athiti" w:hAnsi="Athiti" w:cs="Athiti"/>
          <w:b/>
          <w:sz w:val="36"/>
          <w:szCs w:val="36"/>
          <w:lang w:val="cs-CZ"/>
        </w:rPr>
        <w:lastRenderedPageBreak/>
        <w:t>Obsah</w:t>
      </w:r>
    </w:p>
    <w:sdt>
      <w:sdtPr>
        <w:rPr>
          <w:lang w:val="cs-CZ"/>
        </w:rPr>
        <w:id w:val="262285439"/>
        <w:docPartObj>
          <w:docPartGallery w:val="Table of Contents"/>
          <w:docPartUnique/>
        </w:docPartObj>
      </w:sdtPr>
      <w:sdtContent>
        <w:p w:rsidR="00D52ECC" w:rsidRPr="00BC6EAC" w:rsidRDefault="009E5BC6" w:rsidP="00D52ECC">
          <w:pPr>
            <w:pStyle w:val="normal"/>
            <w:widowControl w:val="0"/>
            <w:tabs>
              <w:tab w:val="right" w:pos="12000"/>
            </w:tabs>
            <w:spacing w:before="60" w:after="0" w:line="240" w:lineRule="auto"/>
            <w:jc w:val="left"/>
            <w:rPr>
              <w:rFonts w:ascii="Athiti" w:eastAsia="Athiti" w:hAnsi="Athiti" w:cs="Athiti"/>
              <w:b/>
              <w:color w:val="000000"/>
              <w:lang w:val="cs-CZ"/>
            </w:rPr>
          </w:pPr>
          <w:r w:rsidRPr="00BC6EAC">
            <w:rPr>
              <w:lang w:val="cs-CZ"/>
            </w:rPr>
            <w:fldChar w:fldCharType="begin"/>
          </w:r>
          <w:r w:rsidR="00D52ECC" w:rsidRPr="00BC6EAC">
            <w:rPr>
              <w:lang w:val="cs-CZ"/>
            </w:rPr>
            <w:instrText xml:space="preserve"> TOC \h \u \z \t "Heading 1,1,Heading 2,2,Heading 3,3,"</w:instrText>
          </w:r>
          <w:r w:rsidRPr="00BC6EAC">
            <w:rPr>
              <w:lang w:val="cs-CZ"/>
            </w:rPr>
            <w:fldChar w:fldCharType="separate"/>
          </w:r>
          <w:hyperlink w:anchor="_heading=h.ze22d219g42">
            <w:r w:rsidR="00D52ECC" w:rsidRPr="00BC6EAC">
              <w:rPr>
                <w:rFonts w:ascii="Athiti" w:eastAsia="Athiti" w:hAnsi="Athiti" w:cs="Athiti"/>
                <w:b/>
                <w:color w:val="000000"/>
                <w:lang w:val="cs-CZ"/>
              </w:rPr>
              <w:t>1 Úvod</w:t>
            </w:r>
            <w:r w:rsidR="00D52ECC" w:rsidRPr="00BC6EAC">
              <w:rPr>
                <w:rFonts w:ascii="Athiti" w:eastAsia="Athiti" w:hAnsi="Athiti" w:cs="Athiti"/>
                <w:b/>
                <w:color w:val="000000"/>
                <w:lang w:val="cs-CZ"/>
              </w:rPr>
              <w:tab/>
              <w:t>3</w:t>
            </w:r>
          </w:hyperlink>
        </w:p>
        <w:p w:rsidR="00D52ECC" w:rsidRPr="00BC6EAC" w:rsidRDefault="009E5BC6" w:rsidP="00D52ECC">
          <w:pPr>
            <w:pStyle w:val="normal"/>
            <w:widowControl w:val="0"/>
            <w:tabs>
              <w:tab w:val="right" w:pos="12000"/>
            </w:tabs>
            <w:spacing w:before="60" w:after="0" w:line="240" w:lineRule="auto"/>
            <w:jc w:val="left"/>
            <w:rPr>
              <w:rFonts w:ascii="Athiti" w:eastAsia="Athiti" w:hAnsi="Athiti" w:cs="Athiti"/>
              <w:b/>
              <w:color w:val="000000"/>
              <w:lang w:val="cs-CZ"/>
            </w:rPr>
          </w:pPr>
          <w:hyperlink w:anchor="_heading=h.on5psa2a9p0x">
            <w:r w:rsidR="00D52ECC" w:rsidRPr="00BC6EAC">
              <w:rPr>
                <w:rFonts w:ascii="Athiti" w:eastAsia="Athiti" w:hAnsi="Athiti" w:cs="Athiti"/>
                <w:b/>
                <w:color w:val="000000"/>
                <w:lang w:val="cs-CZ"/>
              </w:rPr>
              <w:t>2 Obecná ustanovení</w:t>
            </w:r>
            <w:r w:rsidR="00D52ECC" w:rsidRPr="00BC6EAC">
              <w:rPr>
                <w:rFonts w:ascii="Athiti" w:eastAsia="Athiti" w:hAnsi="Athiti" w:cs="Athiti"/>
                <w:b/>
                <w:color w:val="000000"/>
                <w:lang w:val="cs-CZ"/>
              </w:rPr>
              <w:tab/>
              <w:t>4</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5u73onntcyj9">
            <w:r w:rsidR="00D52ECC" w:rsidRPr="00BC6EAC">
              <w:rPr>
                <w:rFonts w:ascii="Athiti" w:eastAsia="Athiti" w:hAnsi="Athiti" w:cs="Athiti"/>
                <w:color w:val="000000"/>
                <w:lang w:val="cs-CZ"/>
              </w:rPr>
              <w:t>2.1 Rozsah působnosti</w:t>
            </w:r>
            <w:r w:rsidR="00D52ECC" w:rsidRPr="00BC6EAC">
              <w:rPr>
                <w:rFonts w:ascii="Athiti" w:eastAsia="Athiti" w:hAnsi="Athiti" w:cs="Athiti"/>
                <w:color w:val="000000"/>
                <w:lang w:val="cs-CZ"/>
              </w:rPr>
              <w:tab/>
              <w:t>4</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738ukxh25kdn">
            <w:r w:rsidR="00D52ECC" w:rsidRPr="00BC6EAC">
              <w:rPr>
                <w:rFonts w:ascii="Athiti" w:eastAsia="Athiti" w:hAnsi="Athiti" w:cs="Athiti"/>
                <w:color w:val="000000"/>
                <w:lang w:val="cs-CZ"/>
              </w:rPr>
              <w:t>2.2 Přezkum politiky</w:t>
            </w:r>
            <w:r w:rsidR="00D52ECC" w:rsidRPr="00BC6EAC">
              <w:rPr>
                <w:rFonts w:ascii="Athiti" w:eastAsia="Athiti" w:hAnsi="Athiti" w:cs="Athiti"/>
                <w:color w:val="000000"/>
                <w:lang w:val="cs-CZ"/>
              </w:rPr>
              <w:tab/>
              <w:t>4</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j8oyy1de9giy">
            <w:r w:rsidR="00D52ECC" w:rsidRPr="00BC6EAC">
              <w:rPr>
                <w:rFonts w:ascii="Athiti" w:eastAsia="Athiti" w:hAnsi="Athiti" w:cs="Athiti"/>
                <w:color w:val="000000"/>
                <w:lang w:val="cs-CZ"/>
              </w:rPr>
              <w:t>2.3 Komunikace politiky</w:t>
            </w:r>
            <w:r w:rsidR="00D52ECC" w:rsidRPr="00BC6EAC">
              <w:rPr>
                <w:rFonts w:ascii="Athiti" w:eastAsia="Athiti" w:hAnsi="Athiti" w:cs="Athiti"/>
                <w:color w:val="000000"/>
                <w:lang w:val="cs-CZ"/>
              </w:rPr>
              <w:tab/>
              <w:t>4</w:t>
            </w:r>
          </w:hyperlink>
        </w:p>
        <w:p w:rsidR="00D52ECC" w:rsidRPr="00BC6EAC" w:rsidRDefault="009E5BC6" w:rsidP="00D52ECC">
          <w:pPr>
            <w:pStyle w:val="normal"/>
            <w:widowControl w:val="0"/>
            <w:tabs>
              <w:tab w:val="right" w:pos="12000"/>
            </w:tabs>
            <w:spacing w:before="60" w:after="0" w:line="240" w:lineRule="auto"/>
            <w:jc w:val="left"/>
            <w:rPr>
              <w:rFonts w:ascii="Athiti" w:eastAsia="Athiti" w:hAnsi="Athiti" w:cs="Athiti"/>
              <w:b/>
              <w:color w:val="000000"/>
              <w:lang w:val="cs-CZ"/>
            </w:rPr>
          </w:pPr>
          <w:hyperlink w:anchor="_heading=h.kz5fuq71d0uh">
            <w:r w:rsidR="00D52ECC" w:rsidRPr="00BC6EAC">
              <w:rPr>
                <w:rFonts w:ascii="Athiti" w:eastAsia="Athiti" w:hAnsi="Athiti" w:cs="Athiti"/>
                <w:b/>
                <w:color w:val="000000"/>
                <w:lang w:val="cs-CZ"/>
              </w:rPr>
              <w:t>3 Postup při oznamování</w:t>
            </w:r>
            <w:r w:rsidR="00D52ECC" w:rsidRPr="00BC6EAC">
              <w:rPr>
                <w:rFonts w:ascii="Athiti" w:eastAsia="Athiti" w:hAnsi="Athiti" w:cs="Athiti"/>
                <w:b/>
                <w:color w:val="000000"/>
                <w:lang w:val="cs-CZ"/>
              </w:rPr>
              <w:tab/>
              <w:t>5</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t6vdggzgsseu">
            <w:r w:rsidR="00D52ECC" w:rsidRPr="00BC6EAC">
              <w:rPr>
                <w:rFonts w:ascii="Athiti" w:eastAsia="Athiti" w:hAnsi="Athiti" w:cs="Athiti"/>
                <w:color w:val="000000"/>
                <w:lang w:val="cs-CZ"/>
              </w:rPr>
              <w:t>3.1 Účastníci whistleblowingu</w:t>
            </w:r>
            <w:r w:rsidR="00D52ECC" w:rsidRPr="00BC6EAC">
              <w:rPr>
                <w:rFonts w:ascii="Athiti" w:eastAsia="Athiti" w:hAnsi="Athiti" w:cs="Athiti"/>
                <w:color w:val="000000"/>
                <w:lang w:val="cs-CZ"/>
              </w:rPr>
              <w:tab/>
              <w:t>5</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6an6bcs30vsy">
            <w:r w:rsidR="00D52ECC" w:rsidRPr="00BC6EAC">
              <w:rPr>
                <w:rFonts w:ascii="Athiti" w:eastAsia="Athiti" w:hAnsi="Athiti" w:cs="Athiti"/>
                <w:color w:val="000000"/>
                <w:lang w:val="cs-CZ"/>
              </w:rPr>
              <w:t>3.2 Typy obav</w:t>
            </w:r>
            <w:r w:rsidR="00D52ECC" w:rsidRPr="00BC6EAC">
              <w:rPr>
                <w:rFonts w:ascii="Athiti" w:eastAsia="Athiti" w:hAnsi="Athiti" w:cs="Athiti"/>
                <w:color w:val="000000"/>
                <w:lang w:val="cs-CZ"/>
              </w:rPr>
              <w:tab/>
              <w:t>5</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67hla7h7wz85">
            <w:r w:rsidR="00D52ECC" w:rsidRPr="00BC6EAC">
              <w:rPr>
                <w:rFonts w:ascii="Athiti" w:eastAsia="Athiti" w:hAnsi="Athiti" w:cs="Athiti"/>
                <w:color w:val="000000"/>
                <w:lang w:val="cs-CZ"/>
              </w:rPr>
              <w:t>3.3 Podání podnětu</w:t>
            </w:r>
            <w:r w:rsidR="00D52ECC" w:rsidRPr="00BC6EAC">
              <w:rPr>
                <w:rFonts w:ascii="Athiti" w:eastAsia="Athiti" w:hAnsi="Athiti" w:cs="Athiti"/>
                <w:color w:val="000000"/>
                <w:lang w:val="cs-CZ"/>
              </w:rPr>
              <w:tab/>
              <w:t>5</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4v0r87wh3w7w">
            <w:r w:rsidR="00D52ECC" w:rsidRPr="00BC6EAC">
              <w:rPr>
                <w:rFonts w:ascii="Athiti" w:eastAsia="Athiti" w:hAnsi="Athiti" w:cs="Athiti"/>
                <w:color w:val="000000"/>
                <w:lang w:val="cs-CZ"/>
              </w:rPr>
              <w:t>3.4 Obsah oznámení</w:t>
            </w:r>
            <w:r w:rsidR="00D52ECC" w:rsidRPr="00BC6EAC">
              <w:rPr>
                <w:rFonts w:ascii="Athiti" w:eastAsia="Athiti" w:hAnsi="Athiti" w:cs="Athiti"/>
                <w:color w:val="000000"/>
                <w:lang w:val="cs-CZ"/>
              </w:rPr>
              <w:tab/>
              <w:t>5</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2zt7aa78qpqh">
            <w:r w:rsidR="00D52ECC" w:rsidRPr="00BC6EAC">
              <w:rPr>
                <w:rFonts w:ascii="Athiti" w:eastAsia="Athiti" w:hAnsi="Athiti" w:cs="Athiti"/>
                <w:color w:val="000000"/>
                <w:lang w:val="cs-CZ"/>
              </w:rPr>
              <w:t>3.5 Způsob řešení oznámení</w:t>
            </w:r>
            <w:r w:rsidR="00D52ECC" w:rsidRPr="00BC6EAC">
              <w:rPr>
                <w:rFonts w:ascii="Athiti" w:eastAsia="Athiti" w:hAnsi="Athiti" w:cs="Athiti"/>
                <w:color w:val="000000"/>
                <w:lang w:val="cs-CZ"/>
              </w:rPr>
              <w:tab/>
              <w:t>6</w:t>
            </w:r>
          </w:hyperlink>
        </w:p>
        <w:p w:rsidR="00D52ECC" w:rsidRPr="00BC6EAC" w:rsidRDefault="009E5BC6" w:rsidP="00D52ECC">
          <w:pPr>
            <w:pStyle w:val="normal"/>
            <w:widowControl w:val="0"/>
            <w:tabs>
              <w:tab w:val="right" w:pos="12000"/>
            </w:tabs>
            <w:spacing w:before="60" w:after="0" w:line="240" w:lineRule="auto"/>
            <w:ind w:left="360"/>
            <w:jc w:val="left"/>
            <w:rPr>
              <w:rFonts w:ascii="Athiti" w:eastAsia="Athiti" w:hAnsi="Athiti" w:cs="Athiti"/>
              <w:color w:val="000000"/>
              <w:lang w:val="cs-CZ"/>
            </w:rPr>
          </w:pPr>
          <w:hyperlink w:anchor="_heading=h.3dzyo58qy9y0">
            <w:r w:rsidR="00D52ECC" w:rsidRPr="00BC6EAC">
              <w:rPr>
                <w:rFonts w:ascii="Athiti" w:eastAsia="Athiti" w:hAnsi="Athiti" w:cs="Athiti"/>
                <w:color w:val="000000"/>
                <w:lang w:val="cs-CZ"/>
              </w:rPr>
              <w:t>3.6</w:t>
            </w:r>
          </w:hyperlink>
          <w:hyperlink w:anchor="_heading=h.3dzyo58qy9y0">
            <w:r w:rsidR="00D52ECC" w:rsidRPr="00BC6EAC">
              <w:rPr>
                <w:rFonts w:ascii="Athiti" w:eastAsia="Athiti" w:hAnsi="Athiti" w:cs="Athiti"/>
                <w:lang w:val="cs-CZ"/>
              </w:rPr>
              <w:t xml:space="preserve"> Zlomyslná oznámení</w:t>
            </w:r>
          </w:hyperlink>
          <w:hyperlink w:anchor="_heading=h.3dzyo58qy9y0">
            <w:r w:rsidR="00D52ECC" w:rsidRPr="00BC6EAC">
              <w:rPr>
                <w:rFonts w:ascii="Athiti" w:eastAsia="Athiti" w:hAnsi="Athiti" w:cs="Athiti"/>
                <w:color w:val="000000"/>
                <w:lang w:val="cs-CZ"/>
              </w:rPr>
              <w:tab/>
              <w:t>6</w:t>
            </w:r>
          </w:hyperlink>
        </w:p>
        <w:p w:rsidR="00D52ECC" w:rsidRPr="00BC6EAC" w:rsidRDefault="009E5BC6" w:rsidP="00D52ECC">
          <w:pPr>
            <w:pStyle w:val="normal"/>
            <w:widowControl w:val="0"/>
            <w:tabs>
              <w:tab w:val="right" w:pos="12000"/>
            </w:tabs>
            <w:spacing w:before="60" w:after="0" w:line="240" w:lineRule="auto"/>
            <w:jc w:val="left"/>
            <w:rPr>
              <w:rFonts w:ascii="Athiti" w:eastAsia="Athiti" w:hAnsi="Athiti" w:cs="Athiti"/>
              <w:b/>
              <w:color w:val="000000"/>
              <w:lang w:val="cs-CZ"/>
            </w:rPr>
          </w:pPr>
          <w:hyperlink w:anchor="_heading=h.q0dmwqtuy2re">
            <w:r w:rsidR="00D52ECC" w:rsidRPr="00BC6EAC">
              <w:rPr>
                <w:rFonts w:ascii="Athiti" w:eastAsia="Athiti" w:hAnsi="Athiti" w:cs="Athiti"/>
                <w:b/>
                <w:color w:val="000000"/>
                <w:lang w:val="cs-CZ"/>
              </w:rPr>
              <w:t>4 Komunikace při oznamování</w:t>
            </w:r>
            <w:r w:rsidR="00D52ECC" w:rsidRPr="00BC6EAC">
              <w:rPr>
                <w:rFonts w:ascii="Athiti" w:eastAsia="Athiti" w:hAnsi="Athiti" w:cs="Athiti"/>
                <w:b/>
                <w:color w:val="000000"/>
                <w:lang w:val="cs-CZ"/>
              </w:rPr>
              <w:tab/>
              <w:t>6</w:t>
            </w:r>
          </w:hyperlink>
        </w:p>
        <w:p w:rsidR="00D52ECC" w:rsidRDefault="009E5BC6" w:rsidP="00D52ECC">
          <w:pPr>
            <w:pStyle w:val="normal"/>
            <w:widowControl w:val="0"/>
            <w:tabs>
              <w:tab w:val="right" w:pos="12000"/>
            </w:tabs>
            <w:spacing w:before="60" w:after="0" w:line="240" w:lineRule="auto"/>
            <w:jc w:val="left"/>
            <w:rPr>
              <w:rFonts w:ascii="Athiti" w:eastAsia="Athiti" w:hAnsi="Athiti" w:cs="Athiti"/>
              <w:b/>
              <w:color w:val="000000"/>
            </w:rPr>
          </w:pPr>
          <w:hyperlink w:anchor="_heading=h.c3gog5h95bju">
            <w:r w:rsidR="00D52ECC" w:rsidRPr="00BC6EAC">
              <w:rPr>
                <w:rFonts w:ascii="Athiti" w:eastAsia="Athiti" w:hAnsi="Athiti" w:cs="Athiti"/>
                <w:b/>
                <w:color w:val="000000"/>
                <w:lang w:val="cs-CZ"/>
              </w:rPr>
              <w:t>5 Důvěrnost a podpora oznamovatelů</w:t>
            </w:r>
            <w:r w:rsidR="00D52ECC" w:rsidRPr="00BC6EAC">
              <w:rPr>
                <w:rFonts w:ascii="Athiti" w:eastAsia="Athiti" w:hAnsi="Athiti" w:cs="Athiti"/>
                <w:b/>
                <w:color w:val="000000"/>
                <w:lang w:val="cs-CZ"/>
              </w:rPr>
              <w:tab/>
              <w:t>6</w:t>
            </w:r>
          </w:hyperlink>
          <w:r w:rsidRPr="00BC6EAC">
            <w:rPr>
              <w:lang w:val="cs-CZ"/>
            </w:rPr>
            <w:fldChar w:fldCharType="end"/>
          </w:r>
        </w:p>
      </w:sdtContent>
    </w:sdt>
    <w:p w:rsidR="00D52ECC" w:rsidRDefault="00D52ECC" w:rsidP="00D52ECC">
      <w:pPr>
        <w:pStyle w:val="normal"/>
        <w:rPr>
          <w:rFonts w:ascii="Athiti" w:eastAsia="Athiti" w:hAnsi="Athiti" w:cs="Athiti"/>
          <w:color w:val="44546A"/>
          <w:sz w:val="32"/>
          <w:szCs w:val="32"/>
        </w:rPr>
      </w:pPr>
      <w:r>
        <w:br w:type="page"/>
      </w:r>
    </w:p>
    <w:p w:rsidR="00D52ECC" w:rsidRPr="00BC6EAC" w:rsidRDefault="00D52ECC" w:rsidP="00D52ECC">
      <w:pPr>
        <w:pStyle w:val="Nadpis1"/>
        <w:rPr>
          <w:rFonts w:ascii="Athiti" w:eastAsia="Athiti" w:hAnsi="Athiti" w:cs="Athiti"/>
          <w:b w:val="0"/>
          <w:lang w:val="cs-CZ"/>
        </w:rPr>
      </w:pPr>
      <w:bookmarkStart w:id="1" w:name="_heading=h.ze22d219g42" w:colFirst="0" w:colLast="0"/>
      <w:bookmarkEnd w:id="1"/>
      <w:r w:rsidRPr="00BC6EAC">
        <w:rPr>
          <w:rFonts w:ascii="Athiti" w:eastAsia="Athiti" w:hAnsi="Athiti" w:cs="Athiti"/>
          <w:lang w:val="cs-CZ"/>
        </w:rPr>
        <w:lastRenderedPageBreak/>
        <w:t>1 Úvod</w:t>
      </w:r>
    </w:p>
    <w:p w:rsidR="00D52ECC" w:rsidRPr="00BC6EAC" w:rsidRDefault="00D52ECC" w:rsidP="00D52ECC">
      <w:pPr>
        <w:pStyle w:val="normal"/>
        <w:spacing w:before="240" w:after="240"/>
        <w:rPr>
          <w:rFonts w:ascii="Athiti" w:eastAsia="Athiti" w:hAnsi="Athiti" w:cs="Athiti"/>
          <w:color w:val="444444"/>
          <w:lang w:val="cs-CZ"/>
        </w:rPr>
      </w:pPr>
      <w:r w:rsidRPr="00BC6EAC">
        <w:rPr>
          <w:rFonts w:ascii="Athiti" w:eastAsia="Athiti" w:hAnsi="Athiti" w:cs="Athiti"/>
          <w:color w:val="444444"/>
          <w:lang w:val="cs-CZ"/>
        </w:rPr>
        <w:t>Tento dokumen</w:t>
      </w:r>
      <w:r w:rsidR="00BC6EAC">
        <w:rPr>
          <w:rFonts w:ascii="Athiti" w:eastAsia="Athiti" w:hAnsi="Athiti" w:cs="Athiti"/>
          <w:color w:val="444444"/>
          <w:lang w:val="cs-CZ"/>
        </w:rPr>
        <w:t xml:space="preserve">t stanovuje zásady společnosti </w:t>
      </w:r>
      <w:r w:rsidR="00BC6EAC" w:rsidRPr="00BC6EAC">
        <w:rPr>
          <w:rFonts w:ascii="Athiti" w:eastAsia="Athiti" w:hAnsi="Athiti" w:cs="Athiti"/>
          <w:color w:val="444444"/>
          <w:lang w:val="cs-CZ"/>
        </w:rPr>
        <w:t>ZMAN - KESEF s.r.o.</w:t>
      </w:r>
      <w:r w:rsidRPr="00BC6EAC">
        <w:rPr>
          <w:rFonts w:ascii="Athiti" w:eastAsia="Athiti" w:hAnsi="Athiti" w:cs="Athiti"/>
          <w:color w:val="444444"/>
          <w:lang w:val="cs-CZ"/>
        </w:rPr>
        <w:t xml:space="preserve"> (dále jen „společnost“) v oblasti oznamování nekalého jednání (tzv. whistleblowingu), zejména v souvislosti s informační bezpečností. Whistleblowing je mechanismus, jehož cílem je umožnit zaměstnancům, spolupracovníkům i dalším zainteresovaným osobám upozornit na vážné nedostatky, pochybení nebo protiprávní chování, aniž by byli vystaveni riziku odvety nebo jiného negativního následku. </w:t>
      </w:r>
    </w:p>
    <w:p w:rsidR="00D52ECC" w:rsidRPr="00BC6EAC" w:rsidRDefault="00D52ECC" w:rsidP="00D52ECC">
      <w:pPr>
        <w:pStyle w:val="normal"/>
        <w:spacing w:before="240" w:after="240"/>
        <w:rPr>
          <w:rFonts w:ascii="Athiti" w:eastAsia="Athiti" w:hAnsi="Athiti" w:cs="Athiti"/>
          <w:b/>
          <w:color w:val="44546A"/>
          <w:sz w:val="32"/>
          <w:szCs w:val="32"/>
          <w:lang w:val="cs-CZ"/>
        </w:rPr>
      </w:pPr>
      <w:r w:rsidRPr="00BC6EAC">
        <w:rPr>
          <w:rFonts w:ascii="Athiti" w:eastAsia="Athiti" w:hAnsi="Athiti" w:cs="Athiti"/>
          <w:b/>
          <w:color w:val="444444"/>
          <w:sz w:val="26"/>
          <w:szCs w:val="26"/>
          <w:lang w:val="cs-CZ"/>
        </w:rPr>
        <w:t xml:space="preserve">Účel politiky </w:t>
      </w:r>
      <w:r w:rsidRPr="00BC6EAC">
        <w:rPr>
          <w:rFonts w:ascii="Athiti" w:eastAsia="Athiti" w:hAnsi="Athiti" w:cs="Athiti"/>
          <w:color w:val="444444"/>
          <w:sz w:val="26"/>
          <w:szCs w:val="26"/>
          <w:lang w:val="cs-CZ"/>
        </w:rPr>
        <w:t>smyslem této politiky je vytvořit transparentní a bezpečné prostředí, ve kterém budou jednotlivci motivováni k otevřenému vyjádření svých obav, a to zejména v situacích, kdy je ohrožena integrita společnosti, bezpečnost dat nebo důvěra klientů. Politika zároveň poskytuje rámec pro řešení takových oznámení spravedlivým, efektivním a důvěryhodným způsobem. Ochrana oznamovatelů klíčovou zásadou této politiky je ochrana osoby, která podává oznámení. To znamená, že každý, kdo v dobré víře upozorní na podezření na nekalé jednání, bude chráněn před jakýmikoli formami odvetného jednání – včetně snížení pracovního zařazení, ztráty zaměstnání, šikany, diskriminace či jiného negativního zacházení. Tato ochrana platí i v případě, že se oznámení následně ukáže jako nepodložené – pokud bylo podáno v dobré víře a na základě přesvědčení oznamovatele, že se jedná o závažné podezření. Kdy je vhodné whistleblowing použít politika má být využita zejména v situacích, kdy: běžné komunikační kanály (např. vedení, HR) selhaly nebo nejsou vhodné, oznamovatel se obává odvety při standardním postupu, existuje podezření na porušení zákona, firemní politiky nebo etických zásad, je ohrožena bezpečnost informací, osobních údajů nebo duševního vlastnictví. Odpovědnost vedení společnosti je odpovědné za vytvoření důvěryhodného prostředí, v němž bude možné oznamovat bez obav. Jeho úkolem je: aktivně podporovat oznamování, zajistit přístup k této politice pro všechny relevantní osoby, zajistit nezávislé a důvěrné posouzení každého oznámení, ochránit oznamovatele před případnými důsledky.</w:t>
      </w:r>
    </w:p>
    <w:p w:rsidR="00D52ECC" w:rsidRPr="00BC6EAC" w:rsidRDefault="00D52ECC" w:rsidP="00D52ECC">
      <w:pPr>
        <w:pStyle w:val="Nadpis1"/>
        <w:rPr>
          <w:rFonts w:ascii="Athiti" w:eastAsia="Athiti" w:hAnsi="Athiti" w:cs="Athiti"/>
          <w:lang w:val="cs-CZ"/>
        </w:rPr>
      </w:pPr>
      <w:bookmarkStart w:id="2" w:name="_heading=h.on5psa2a9p0x" w:colFirst="0" w:colLast="0"/>
      <w:bookmarkEnd w:id="2"/>
      <w:r w:rsidRPr="00BC6EAC">
        <w:rPr>
          <w:rFonts w:ascii="Athiti" w:eastAsia="Athiti" w:hAnsi="Athiti" w:cs="Athiti"/>
          <w:lang w:val="cs-CZ"/>
        </w:rPr>
        <w:t xml:space="preserve">2 Obecná ustanovení </w:t>
      </w:r>
    </w:p>
    <w:p w:rsidR="00D52ECC" w:rsidRPr="00BC6EAC" w:rsidRDefault="00D52ECC" w:rsidP="00D52ECC">
      <w:pPr>
        <w:pStyle w:val="Nadpis1"/>
        <w:rPr>
          <w:rFonts w:ascii="Athiti" w:eastAsia="Athiti" w:hAnsi="Athiti" w:cs="Athiti"/>
          <w:b w:val="0"/>
          <w:color w:val="444444"/>
          <w:sz w:val="24"/>
          <w:szCs w:val="24"/>
          <w:lang w:val="cs-CZ"/>
        </w:rPr>
      </w:pPr>
      <w:bookmarkStart w:id="3" w:name="_heading=h.bzwuozis3w92" w:colFirst="0" w:colLast="0"/>
      <w:bookmarkEnd w:id="3"/>
      <w:r w:rsidRPr="00BC6EAC">
        <w:rPr>
          <w:rFonts w:ascii="Athiti" w:eastAsia="Athiti" w:hAnsi="Athiti" w:cs="Athiti"/>
          <w:b w:val="0"/>
          <w:color w:val="444444"/>
          <w:sz w:val="24"/>
          <w:szCs w:val="24"/>
          <w:lang w:val="cs-CZ"/>
        </w:rPr>
        <w:t>Tato část stanovuje základní rámec platnosti, správy a sdílení politiky whistleblowingu ve společnosti. Je klíčová pro zajištění transparentnosti, jasnosti odpovědností a dostupnosti této politiky pro všechny zainteresované strany.</w:t>
      </w:r>
    </w:p>
    <w:p w:rsidR="00D52ECC" w:rsidRPr="00BC6EAC" w:rsidRDefault="00D52ECC" w:rsidP="00D52ECC">
      <w:pPr>
        <w:pStyle w:val="Nadpis2"/>
        <w:rPr>
          <w:rFonts w:ascii="Athiti" w:eastAsia="Athiti" w:hAnsi="Athiti" w:cs="Athiti"/>
          <w:color w:val="000000"/>
          <w:lang w:val="cs-CZ"/>
        </w:rPr>
      </w:pPr>
      <w:bookmarkStart w:id="4" w:name="_heading=h.5u73onntcyj9" w:colFirst="0" w:colLast="0"/>
      <w:bookmarkEnd w:id="4"/>
      <w:r w:rsidRPr="00BC6EAC">
        <w:rPr>
          <w:rFonts w:ascii="Athiti" w:eastAsia="Athiti" w:hAnsi="Athiti" w:cs="Athiti"/>
          <w:lang w:val="cs-CZ"/>
        </w:rPr>
        <w:t>2.1 Rozsah působnosti</w:t>
      </w:r>
    </w:p>
    <w:p w:rsidR="00D52ECC" w:rsidRPr="00BC6EAC" w:rsidRDefault="00D52ECC" w:rsidP="00D52ECC">
      <w:pPr>
        <w:pStyle w:val="normal"/>
        <w:spacing w:before="240" w:after="240"/>
        <w:rPr>
          <w:rFonts w:ascii="Athiti" w:eastAsia="Athiti" w:hAnsi="Athiti" w:cs="Athiti"/>
          <w:color w:val="444444"/>
          <w:lang w:val="cs-CZ"/>
        </w:rPr>
      </w:pPr>
      <w:r w:rsidRPr="00BC6EAC">
        <w:rPr>
          <w:rFonts w:ascii="Athiti" w:eastAsia="Athiti" w:hAnsi="Athiti" w:cs="Athiti"/>
          <w:color w:val="444444"/>
          <w:lang w:val="cs-CZ"/>
        </w:rPr>
        <w:t xml:space="preserve">Politika se vztahuje bez rozdílu na všechny osoby, které vstupují do pracovního nebo smluvního vztahu se společností. Patří sem: interní zaměstnanci na plný i částečný úvazek, externí spolupracovníci (kontraktoři), dočasní pracovníci, stážisté a pracovníci na zkoušku, obchodní partneři, konzultanti, dodavatelé, subdodavatelé, zákazníci nebo zástupci třetích stran, kteří mají obchodní kontakt se společností. Smyslem širokého rozsahu je zajistit, aby každý, kdo se setká s </w:t>
      </w:r>
      <w:r w:rsidRPr="00BC6EAC">
        <w:rPr>
          <w:rFonts w:ascii="Athiti" w:eastAsia="Athiti" w:hAnsi="Athiti" w:cs="Athiti"/>
          <w:color w:val="444444"/>
          <w:lang w:val="cs-CZ"/>
        </w:rPr>
        <w:lastRenderedPageBreak/>
        <w:t>podezřelým nebo škodlivým chováním, měl možnost bezpečně a efektivně podat podnět – bez ohledu na svůj formální status vůči společnosti.</w:t>
      </w:r>
    </w:p>
    <w:p w:rsidR="00D52ECC" w:rsidRPr="00BC6EAC" w:rsidRDefault="00D52ECC" w:rsidP="00D52ECC">
      <w:pPr>
        <w:pStyle w:val="Nadpis2"/>
        <w:spacing w:before="240" w:after="240" w:line="240" w:lineRule="auto"/>
        <w:jc w:val="left"/>
        <w:rPr>
          <w:rFonts w:ascii="Athiti" w:eastAsia="Athiti" w:hAnsi="Athiti" w:cs="Athiti"/>
          <w:lang w:val="cs-CZ"/>
        </w:rPr>
      </w:pPr>
      <w:bookmarkStart w:id="5" w:name="_heading=h.738ukxh25kdn" w:colFirst="0" w:colLast="0"/>
      <w:bookmarkEnd w:id="5"/>
      <w:r w:rsidRPr="00BC6EAC">
        <w:rPr>
          <w:rFonts w:ascii="Athiti" w:eastAsia="Athiti" w:hAnsi="Athiti" w:cs="Athiti"/>
          <w:lang w:val="cs-CZ"/>
        </w:rPr>
        <w:t xml:space="preserve">2.2 Přezkum politiky </w:t>
      </w:r>
    </w:p>
    <w:p w:rsidR="00D52ECC" w:rsidRPr="00BC6EAC" w:rsidRDefault="00D52ECC" w:rsidP="00D52ECC">
      <w:pPr>
        <w:pStyle w:val="Nadpis2"/>
        <w:spacing w:before="240" w:after="240" w:line="240" w:lineRule="auto"/>
        <w:jc w:val="left"/>
        <w:rPr>
          <w:rFonts w:ascii="Athiti" w:eastAsia="Athiti" w:hAnsi="Athiti" w:cs="Athiti"/>
          <w:color w:val="444444"/>
          <w:sz w:val="24"/>
          <w:szCs w:val="24"/>
          <w:lang w:val="cs-CZ"/>
        </w:rPr>
      </w:pPr>
      <w:bookmarkStart w:id="6" w:name="_heading=h.gv2y6u2s5jk3" w:colFirst="0" w:colLast="0"/>
      <w:bookmarkEnd w:id="6"/>
      <w:r w:rsidRPr="00BC6EAC">
        <w:rPr>
          <w:rFonts w:ascii="Athiti" w:eastAsia="Athiti" w:hAnsi="Athiti" w:cs="Athiti"/>
          <w:color w:val="444444"/>
          <w:sz w:val="24"/>
          <w:szCs w:val="24"/>
          <w:lang w:val="cs-CZ"/>
        </w:rPr>
        <w:t>Tato politika není statickým dokumentem – musí reagovat na měnící se legislativu, interní potřeby a bezpečnostní hrozby.</w:t>
      </w:r>
    </w:p>
    <w:p w:rsidR="00D52ECC" w:rsidRPr="00BC6EAC" w:rsidRDefault="00D52ECC" w:rsidP="00D52ECC">
      <w:pPr>
        <w:pStyle w:val="normal"/>
        <w:pBdr>
          <w:top w:val="nil"/>
          <w:left w:val="nil"/>
          <w:bottom w:val="nil"/>
          <w:right w:val="nil"/>
          <w:between w:val="nil"/>
        </w:pBdr>
        <w:spacing w:before="240" w:after="240"/>
        <w:rPr>
          <w:rFonts w:ascii="Athiti" w:eastAsia="Athiti" w:hAnsi="Athiti" w:cs="Athiti"/>
          <w:color w:val="444444"/>
          <w:lang w:val="cs-CZ"/>
        </w:rPr>
      </w:pPr>
      <w:r w:rsidRPr="00BC6EAC">
        <w:rPr>
          <w:rFonts w:ascii="Athiti" w:eastAsia="Athiti" w:hAnsi="Athiti" w:cs="Athiti"/>
          <w:b/>
          <w:color w:val="444444"/>
          <w:lang w:val="cs-CZ"/>
        </w:rPr>
        <w:t>Odpovědnost za přezkum</w:t>
      </w:r>
      <w:r w:rsidRPr="00BC6EAC">
        <w:rPr>
          <w:rFonts w:ascii="Athiti" w:eastAsia="Athiti" w:hAnsi="Athiti" w:cs="Athiti"/>
          <w:color w:val="444444"/>
          <w:lang w:val="cs-CZ"/>
        </w:rPr>
        <w:t>: Vlastníkem dokumentu je CISO (Chief Information Security Officer), který je odpovědný za roční přezkum. Ten zahrnuje: kontrolu souladu s právními předpisy, vyhodnocení efektivity stávající praxe, integraci poznatků z předchozích oznámení či incidentů.</w:t>
      </w:r>
    </w:p>
    <w:p w:rsidR="00D52ECC" w:rsidRPr="00BC6EAC" w:rsidRDefault="00D52ECC" w:rsidP="00D52ECC">
      <w:pPr>
        <w:pStyle w:val="normal"/>
        <w:pBdr>
          <w:top w:val="nil"/>
          <w:left w:val="nil"/>
          <w:bottom w:val="nil"/>
          <w:right w:val="nil"/>
          <w:between w:val="nil"/>
        </w:pBdr>
        <w:spacing w:before="240" w:after="240"/>
        <w:rPr>
          <w:rFonts w:ascii="Athiti" w:eastAsia="Athiti" w:hAnsi="Athiti" w:cs="Athiti"/>
          <w:color w:val="444444"/>
          <w:lang w:val="cs-CZ"/>
        </w:rPr>
      </w:pPr>
      <w:r w:rsidRPr="00BC6EAC">
        <w:rPr>
          <w:rFonts w:ascii="Athiti" w:eastAsia="Athiti" w:hAnsi="Athiti" w:cs="Athiti"/>
          <w:b/>
          <w:color w:val="444444"/>
          <w:lang w:val="cs-CZ"/>
        </w:rPr>
        <w:t>Revize a schválení</w:t>
      </w:r>
      <w:r w:rsidRPr="00BC6EAC">
        <w:rPr>
          <w:rFonts w:ascii="Athiti" w:eastAsia="Athiti" w:hAnsi="Athiti" w:cs="Athiti"/>
          <w:color w:val="444444"/>
          <w:lang w:val="cs-CZ"/>
        </w:rPr>
        <w:t>: Všechny změny jsou zaznamenány v části „Historie revizí“. Jakákoli úprava musí být: konzultována s Výborem pro informační bezpečnost, schválena vrcholovým vedením společnosti.</w:t>
      </w:r>
    </w:p>
    <w:p w:rsidR="00D52ECC" w:rsidRPr="00BC6EAC" w:rsidRDefault="00D52ECC" w:rsidP="00D52ECC">
      <w:pPr>
        <w:pStyle w:val="normal"/>
        <w:pBdr>
          <w:top w:val="nil"/>
          <w:left w:val="nil"/>
          <w:bottom w:val="nil"/>
          <w:right w:val="nil"/>
          <w:between w:val="nil"/>
        </w:pBdr>
        <w:spacing w:before="240" w:after="240"/>
        <w:rPr>
          <w:rFonts w:ascii="Athiti" w:eastAsia="Athiti" w:hAnsi="Athiti" w:cs="Athiti"/>
          <w:color w:val="444444"/>
          <w:lang w:val="cs-CZ"/>
        </w:rPr>
      </w:pPr>
      <w:r w:rsidRPr="00BC6EAC">
        <w:rPr>
          <w:rFonts w:ascii="Athiti" w:eastAsia="Athiti" w:hAnsi="Athiti" w:cs="Athiti"/>
          <w:color w:val="444444"/>
          <w:lang w:val="cs-CZ"/>
        </w:rPr>
        <w:t>Tento postup zajišťuje, že politika zůstává relevantní, funkční a v souladu s firemními hodnotami.</w:t>
      </w:r>
    </w:p>
    <w:p w:rsidR="00D52ECC" w:rsidRPr="00BC6EAC" w:rsidRDefault="00D52ECC" w:rsidP="00D52ECC">
      <w:pPr>
        <w:pStyle w:val="Nadpis2"/>
        <w:spacing w:before="240" w:after="240" w:line="240" w:lineRule="auto"/>
        <w:jc w:val="left"/>
        <w:rPr>
          <w:rFonts w:ascii="Athiti" w:eastAsia="Athiti" w:hAnsi="Athiti" w:cs="Athiti"/>
          <w:color w:val="444444"/>
          <w:lang w:val="cs-CZ"/>
        </w:rPr>
      </w:pPr>
      <w:bookmarkStart w:id="7" w:name="_heading=h.j8oyy1de9giy" w:colFirst="0" w:colLast="0"/>
      <w:bookmarkEnd w:id="7"/>
      <w:r w:rsidRPr="00BC6EAC">
        <w:rPr>
          <w:rFonts w:ascii="Athiti" w:eastAsia="Athiti" w:hAnsi="Athiti" w:cs="Athiti"/>
          <w:lang w:val="cs-CZ"/>
        </w:rPr>
        <w:t>2.3 Komunikace politiky</w:t>
      </w:r>
    </w:p>
    <w:p w:rsidR="00D52ECC" w:rsidRPr="00BC6EAC" w:rsidRDefault="00D52ECC" w:rsidP="00D52ECC">
      <w:pPr>
        <w:pStyle w:val="normal"/>
        <w:spacing w:before="240" w:after="240"/>
        <w:rPr>
          <w:rFonts w:ascii="Athiti" w:eastAsia="Athiti" w:hAnsi="Athiti" w:cs="Athiti"/>
          <w:color w:val="444444"/>
          <w:lang w:val="cs-CZ"/>
        </w:rPr>
      </w:pPr>
      <w:r w:rsidRPr="00BC6EAC">
        <w:rPr>
          <w:rFonts w:ascii="Athiti" w:eastAsia="Athiti" w:hAnsi="Athiti" w:cs="Athiti"/>
          <w:color w:val="444444"/>
          <w:lang w:val="cs-CZ"/>
        </w:rPr>
        <w:t xml:space="preserve">Nejnovější schválená verze politiky musí být interně dostupná všem zaměstnancům, smluvním pracovníkům a dalším relevantním stranám. Efektivní fungování whistleblowingu je přímo závislé na tom, zda všichni dotčení mají: přístup k aktuálnímu znění politiky, povědomí o jejím obsahu, důvěru v její použití. Způsoby komunikace politiky: Politika je zveřejněna na interním portálu společnosti. Noví zaměstnanci s ní jsou seznámeni v rámci onboardingového procesu. </w:t>
      </w:r>
    </w:p>
    <w:p w:rsidR="00D52ECC" w:rsidRPr="00BC6EAC" w:rsidRDefault="00D52ECC" w:rsidP="00D52ECC">
      <w:pPr>
        <w:pStyle w:val="normal"/>
        <w:spacing w:before="240" w:after="240"/>
        <w:rPr>
          <w:rFonts w:ascii="Athiti" w:eastAsia="Athiti" w:hAnsi="Athiti" w:cs="Athiti"/>
          <w:color w:val="444444"/>
          <w:lang w:val="cs-CZ"/>
        </w:rPr>
      </w:pPr>
      <w:r w:rsidRPr="00BC6EAC">
        <w:rPr>
          <w:rFonts w:ascii="Athiti" w:eastAsia="Athiti" w:hAnsi="Athiti" w:cs="Athiti"/>
          <w:color w:val="444444"/>
          <w:lang w:val="cs-CZ"/>
        </w:rPr>
        <w:t xml:space="preserve">Aktualizace této politiky i jiných bezpečnostních dokumentů budou zaměstnancům a smluvním pracovníkům komunikovány prostřednictvím školení o bezpečnostním povědomí. Aktualizace politiky jsou oznámeny prostřednictvím e-mailu nebo interních oznámení. Politika je součástí každoročního školení zaměstnanců o informační bezpečnosti. </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color w:val="444444"/>
          <w:lang w:val="cs-CZ"/>
        </w:rPr>
        <w:t>Dotazy týkající se politiky lze směřovat na Compliance tým, který poskytuje podporu a zpětnou vazbu k případným nejasnostem.</w:t>
      </w:r>
    </w:p>
    <w:p w:rsidR="00D52ECC" w:rsidRPr="00BC6EAC" w:rsidRDefault="00D52ECC" w:rsidP="00D52ECC">
      <w:pPr>
        <w:pStyle w:val="Nadpis1"/>
        <w:rPr>
          <w:rFonts w:ascii="Athiti" w:eastAsia="Athiti" w:hAnsi="Athiti" w:cs="Athiti"/>
          <w:lang w:val="cs-CZ"/>
        </w:rPr>
      </w:pPr>
      <w:bookmarkStart w:id="8" w:name="_heading=h.kz5fuq71d0uh" w:colFirst="0" w:colLast="0"/>
      <w:bookmarkEnd w:id="8"/>
      <w:r w:rsidRPr="00BC6EAC">
        <w:rPr>
          <w:rFonts w:ascii="Athiti" w:eastAsia="Athiti" w:hAnsi="Athiti" w:cs="Athiti"/>
          <w:lang w:val="cs-CZ"/>
        </w:rPr>
        <w:t>3 Postup při oznamování</w:t>
      </w:r>
    </w:p>
    <w:p w:rsidR="00D52ECC" w:rsidRPr="00BC6EAC" w:rsidRDefault="00D52ECC" w:rsidP="00D52ECC">
      <w:pPr>
        <w:pStyle w:val="Nadpis2"/>
        <w:spacing w:before="240" w:after="240" w:line="240" w:lineRule="auto"/>
        <w:jc w:val="left"/>
        <w:rPr>
          <w:rFonts w:ascii="Athiti" w:eastAsia="Athiti" w:hAnsi="Athiti" w:cs="Athiti"/>
          <w:lang w:val="cs-CZ"/>
        </w:rPr>
      </w:pPr>
      <w:bookmarkStart w:id="9" w:name="_heading=h.t6vdggzgsseu" w:colFirst="0" w:colLast="0"/>
      <w:bookmarkEnd w:id="9"/>
      <w:r w:rsidRPr="00BC6EAC">
        <w:rPr>
          <w:rFonts w:ascii="Athiti" w:eastAsia="Athiti" w:hAnsi="Athiti" w:cs="Athiti"/>
          <w:lang w:val="cs-CZ"/>
        </w:rPr>
        <w:t>3.1 Účastníci whistleblowingu</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 xml:space="preserve">Podněty může na základě této politiky podávat jakýkoli zaměstnanec, smluvní pracovník či jiná zainteresovaná strana, včetně dodavatelů, zákazníků, partnerů a dočasného personálu. Tato politika umožňuje podávání oznámení o podezření na nekalé jednání široké skupině osob, která zahrnuje: zaměstnance společnosti (na dobu neurčitou i určitou), pracovníky na částečný úvazek nebo dohody, nezávislé dodavatele, konzultanty a kontraktory, externí partnery, jako jsou dodavatelé, odběratelé a obchodní zástupci, zákazníky nebo klienty, kteří přijdou do kontaktu s procesy společnosti, dočasný personál, stážisty, praktikanty a jiné spolupracovníky. </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lastRenderedPageBreak/>
        <w:t>Smyslem této otevřenosti je zajistit, že každý, kdo má legitimní důvod se domnívat, že došlo k pochybení, má jasný a chráněný kanál k jeho oznámení. Zkušenosti z praxe ukazují, že rizikové chování často zaznamenají právě lidé mimo tradiční hierarchii společnosti – např. dodavatel, který si všimne nesrovnalostí při zadávání zakázek, nebo klient, který identifikuje porušení pravidel zacházení s údaji.</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Společnost tímto vyjadřuje podporu kultuře otevřenosti a odpovědnosti, která přesahuje hranice interní struktury.</w:t>
      </w:r>
    </w:p>
    <w:p w:rsidR="00D52ECC" w:rsidRPr="00BC6EAC" w:rsidRDefault="00D52ECC" w:rsidP="00D52ECC">
      <w:pPr>
        <w:pStyle w:val="Nadpis2"/>
        <w:rPr>
          <w:rFonts w:ascii="Athiti" w:eastAsia="Athiti" w:hAnsi="Athiti" w:cs="Athiti"/>
          <w:lang w:val="cs-CZ"/>
        </w:rPr>
      </w:pPr>
      <w:bookmarkStart w:id="10" w:name="_heading=h.6an6bcs30vsy" w:colFirst="0" w:colLast="0"/>
      <w:bookmarkEnd w:id="10"/>
      <w:r w:rsidRPr="00BC6EAC">
        <w:rPr>
          <w:rFonts w:ascii="Athiti" w:eastAsia="Athiti" w:hAnsi="Athiti" w:cs="Athiti"/>
          <w:lang w:val="cs-CZ"/>
        </w:rPr>
        <w:t>3.2 Typy obav</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Politika whistleblowingu je určena pro případy závažného porušení předpisů, etických standardů nebo zákonů, které mohou ohrozit bezpečnost, důvěryhodnost nebo pověst společnosti. Mezi typické příklady obav, které mohou být oznámeny v rámci této politiky, patří:</w:t>
      </w:r>
    </w:p>
    <w:p w:rsidR="00D52ECC" w:rsidRPr="00BC6EAC" w:rsidRDefault="00D52ECC" w:rsidP="00D52ECC">
      <w:pPr>
        <w:pStyle w:val="normal"/>
        <w:numPr>
          <w:ilvl w:val="0"/>
          <w:numId w:val="3"/>
        </w:numPr>
        <w:spacing w:after="0"/>
        <w:rPr>
          <w:rFonts w:ascii="Athiti" w:eastAsia="Athiti" w:hAnsi="Athiti" w:cs="Athiti"/>
          <w:lang w:val="cs-CZ"/>
        </w:rPr>
      </w:pPr>
      <w:r w:rsidRPr="00BC6EAC">
        <w:rPr>
          <w:rFonts w:ascii="Athiti" w:eastAsia="Athiti" w:hAnsi="Athiti" w:cs="Athiti"/>
          <w:lang w:val="cs-CZ"/>
        </w:rPr>
        <w:t>Porušení zákonů – například: nezákonné nakládání s osobními údaji, porušení zákonů o kybernetické bezpečnosti, daňové úniky nebo jiné finanční machinace.</w:t>
      </w:r>
    </w:p>
    <w:p w:rsidR="00D52ECC" w:rsidRPr="00BC6EAC" w:rsidRDefault="00D52ECC" w:rsidP="00D52ECC">
      <w:pPr>
        <w:pStyle w:val="normal"/>
        <w:numPr>
          <w:ilvl w:val="0"/>
          <w:numId w:val="3"/>
        </w:numPr>
        <w:spacing w:after="0"/>
        <w:rPr>
          <w:rFonts w:ascii="Athiti" w:eastAsia="Athiti" w:hAnsi="Athiti" w:cs="Athiti"/>
          <w:lang w:val="cs-CZ"/>
        </w:rPr>
      </w:pPr>
      <w:r w:rsidRPr="00BC6EAC">
        <w:rPr>
          <w:rFonts w:ascii="Athiti" w:eastAsia="Athiti" w:hAnsi="Athiti" w:cs="Athiti"/>
          <w:lang w:val="cs-CZ"/>
        </w:rPr>
        <w:t>Nedodržení interních politik – například: ignorování nebo porušení zásad informační bezpečnosti, opakované obcházení schvalovacích procesů, zatajování bezpečnostních incidentů.</w:t>
      </w:r>
    </w:p>
    <w:p w:rsidR="00D52ECC" w:rsidRPr="00BC6EAC" w:rsidRDefault="00D52ECC" w:rsidP="00D52ECC">
      <w:pPr>
        <w:pStyle w:val="normal"/>
        <w:numPr>
          <w:ilvl w:val="0"/>
          <w:numId w:val="3"/>
        </w:numPr>
        <w:spacing w:after="0"/>
        <w:rPr>
          <w:rFonts w:ascii="Athiti" w:eastAsia="Athiti" w:hAnsi="Athiti" w:cs="Athiti"/>
          <w:lang w:val="cs-CZ"/>
        </w:rPr>
      </w:pPr>
      <w:r w:rsidRPr="00BC6EAC">
        <w:rPr>
          <w:rFonts w:ascii="Athiti" w:eastAsia="Athiti" w:hAnsi="Athiti" w:cs="Athiti"/>
          <w:lang w:val="cs-CZ"/>
        </w:rPr>
        <w:t>Slabé nebo nefunkční bezpečnostní kontroly – například: přístup k důvěrným informacím bez oprávnění, nedostatečná ochrana před únikem dat, selhání v řízení uživatelských práv.</w:t>
      </w:r>
    </w:p>
    <w:p w:rsidR="00D52ECC" w:rsidRPr="00BC6EAC" w:rsidRDefault="00D52ECC" w:rsidP="00D52ECC">
      <w:pPr>
        <w:pStyle w:val="normal"/>
        <w:numPr>
          <w:ilvl w:val="0"/>
          <w:numId w:val="3"/>
        </w:numPr>
        <w:spacing w:after="0"/>
        <w:rPr>
          <w:rFonts w:ascii="Athiti" w:eastAsia="Athiti" w:hAnsi="Athiti" w:cs="Athiti"/>
          <w:lang w:val="cs-CZ"/>
        </w:rPr>
      </w:pPr>
      <w:r w:rsidRPr="00BC6EAC">
        <w:rPr>
          <w:rFonts w:ascii="Athiti" w:eastAsia="Athiti" w:hAnsi="Athiti" w:cs="Athiti"/>
          <w:lang w:val="cs-CZ"/>
        </w:rPr>
        <w:t>Nepořádné řešení bezpečnostních incidentů – například: incidenty, které nebyly nahlášeny odpovědným osobám, interní pokusy o zamlčení nebo minimalizaci následků, nezajištění potřebné forenzní dokumentace.</w:t>
      </w:r>
    </w:p>
    <w:p w:rsidR="00D52ECC" w:rsidRPr="00BC6EAC" w:rsidRDefault="00D52ECC" w:rsidP="00D52ECC">
      <w:pPr>
        <w:pStyle w:val="normal"/>
        <w:numPr>
          <w:ilvl w:val="0"/>
          <w:numId w:val="3"/>
        </w:numPr>
        <w:spacing w:after="0"/>
        <w:rPr>
          <w:rFonts w:ascii="Athiti" w:eastAsia="Athiti" w:hAnsi="Athiti" w:cs="Athiti"/>
          <w:lang w:val="cs-CZ"/>
        </w:rPr>
      </w:pPr>
      <w:r w:rsidRPr="00BC6EAC">
        <w:rPr>
          <w:rFonts w:ascii="Athiti" w:eastAsia="Athiti" w:hAnsi="Athiti" w:cs="Athiti"/>
          <w:lang w:val="cs-CZ"/>
        </w:rPr>
        <w:t>Porušení důvěrnosti nebo soukromí klientů – například: neoprávněné předávání osobních nebo obchodních údajů, sdílení klientských informací bez souhlasu, zneužití informací získaných při výkonu práce.</w:t>
      </w:r>
    </w:p>
    <w:p w:rsidR="00D52ECC" w:rsidRPr="00BC6EAC" w:rsidRDefault="00D52ECC" w:rsidP="00D52ECC">
      <w:pPr>
        <w:pStyle w:val="normal"/>
        <w:numPr>
          <w:ilvl w:val="0"/>
          <w:numId w:val="3"/>
        </w:numPr>
        <w:spacing w:after="0"/>
        <w:rPr>
          <w:rFonts w:ascii="Calibri" w:eastAsia="Calibri" w:hAnsi="Calibri" w:cs="Calibri"/>
          <w:lang w:val="cs-CZ"/>
        </w:rPr>
      </w:pPr>
      <w:r w:rsidRPr="00BC6EAC">
        <w:rPr>
          <w:rFonts w:ascii="Athiti" w:eastAsia="Athiti" w:hAnsi="Athiti" w:cs="Athiti"/>
          <w:b/>
          <w:lang w:val="cs-CZ"/>
        </w:rPr>
        <w:t>Eticky nebo právně sporné jednání</w:t>
      </w:r>
      <w:r w:rsidRPr="00BC6EAC">
        <w:rPr>
          <w:rFonts w:ascii="Athiti" w:eastAsia="Athiti" w:hAnsi="Athiti" w:cs="Athiti"/>
          <w:lang w:val="cs-CZ"/>
        </w:rPr>
        <w:t xml:space="preserve"> – například: podvody, krádeže, zpronevěry, úplatkářství, manipulace se smlouvami, střet zájmů bez oznámení.</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 xml:space="preserve">Tato politika </w:t>
      </w:r>
      <w:r w:rsidRPr="00BC6EAC">
        <w:rPr>
          <w:rFonts w:ascii="Athiti" w:eastAsia="Athiti" w:hAnsi="Athiti" w:cs="Athiti"/>
          <w:b/>
          <w:lang w:val="cs-CZ"/>
        </w:rPr>
        <w:t>není určena</w:t>
      </w:r>
      <w:r w:rsidRPr="00BC6EAC">
        <w:rPr>
          <w:rFonts w:ascii="Athiti" w:eastAsia="Athiti" w:hAnsi="Athiti" w:cs="Athiti"/>
          <w:lang w:val="cs-CZ"/>
        </w:rPr>
        <w:t xml:space="preserve"> pro řešení osobních stížností zaměstnanců – jako jsou: konflikty na pracovišti, šikana, obtěžování, nespravedlivé zacházení ze strany nadřízeného.</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Tyto případy by měly být řešeny standardní cestou prostřednictvím personálního oddělení nebo formálním procesem pro podávání stížností (grievance procedure).</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Cílem tohoto oddělení je zajistit, aby whistleblowing nebyl zneužíván k řešení běžných pracovních sporů, ale aby se zaměřoval na skutečně závažné a systémové problémy.</w:t>
      </w:r>
    </w:p>
    <w:p w:rsidR="00D52ECC" w:rsidRPr="00BC6EAC" w:rsidRDefault="00D52ECC" w:rsidP="00D52ECC">
      <w:pPr>
        <w:pStyle w:val="Nadpis2"/>
        <w:spacing w:after="200"/>
        <w:rPr>
          <w:rFonts w:ascii="Athiti" w:eastAsia="Athiti" w:hAnsi="Athiti" w:cs="Athiti"/>
          <w:lang w:val="cs-CZ"/>
        </w:rPr>
      </w:pPr>
      <w:bookmarkStart w:id="11" w:name="_heading=h.67hla7h7wz85" w:colFirst="0" w:colLast="0"/>
      <w:bookmarkEnd w:id="11"/>
      <w:r w:rsidRPr="00BC6EAC">
        <w:rPr>
          <w:rFonts w:ascii="Athiti" w:eastAsia="Athiti" w:hAnsi="Athiti" w:cs="Athiti"/>
          <w:lang w:val="cs-CZ"/>
        </w:rPr>
        <w:t>3.3 Podání podnětu</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 xml:space="preserve">Zásadním krokem v procesu whistleblowingu je samotné podání podnětu. Tato politika umožňuje podat oznámení flexibilními a přístupnými způsoby tak, aby oznamovatel měl jistotu, že jeho hlášení bude přijato důvěrně, seriózně a bez negativních následků. Podněty lze podávat následujícími cestami: </w:t>
      </w:r>
    </w:p>
    <w:p w:rsidR="00D52ECC" w:rsidRPr="00BC6EAC" w:rsidRDefault="00D52ECC" w:rsidP="00D52ECC">
      <w:pPr>
        <w:pStyle w:val="normal"/>
        <w:numPr>
          <w:ilvl w:val="0"/>
          <w:numId w:val="2"/>
        </w:numPr>
        <w:spacing w:after="0"/>
        <w:rPr>
          <w:rFonts w:ascii="Athiti" w:eastAsia="Athiti" w:hAnsi="Athiti" w:cs="Athiti"/>
          <w:lang w:val="cs-CZ"/>
        </w:rPr>
      </w:pPr>
      <w:r w:rsidRPr="00BC6EAC">
        <w:rPr>
          <w:rFonts w:ascii="Athiti" w:eastAsia="Athiti" w:hAnsi="Athiti" w:cs="Athiti"/>
          <w:b/>
          <w:lang w:val="cs-CZ"/>
        </w:rPr>
        <w:lastRenderedPageBreak/>
        <w:t>Přímo nadřízenému</w:t>
      </w:r>
      <w:r w:rsidRPr="00BC6EAC">
        <w:rPr>
          <w:rFonts w:ascii="Athiti" w:eastAsia="Athiti" w:hAnsi="Athiti" w:cs="Athiti"/>
          <w:lang w:val="cs-CZ"/>
        </w:rPr>
        <w:t xml:space="preserve"> – buď osobně, písemně, nebo elektronicky, </w:t>
      </w:r>
    </w:p>
    <w:p w:rsidR="00D52ECC" w:rsidRPr="00BC6EAC" w:rsidRDefault="00D52ECC" w:rsidP="00D52ECC">
      <w:pPr>
        <w:pStyle w:val="normal"/>
        <w:numPr>
          <w:ilvl w:val="0"/>
          <w:numId w:val="2"/>
        </w:numPr>
        <w:spacing w:after="0"/>
        <w:rPr>
          <w:rFonts w:ascii="Athiti" w:eastAsia="Athiti" w:hAnsi="Athiti" w:cs="Athiti"/>
          <w:lang w:val="cs-CZ"/>
        </w:rPr>
      </w:pPr>
      <w:r w:rsidRPr="00BC6EAC">
        <w:rPr>
          <w:rFonts w:ascii="Athiti" w:eastAsia="Athiti" w:hAnsi="Athiti" w:cs="Athiti"/>
          <w:b/>
          <w:lang w:val="cs-CZ"/>
        </w:rPr>
        <w:t>E-mailem</w:t>
      </w:r>
      <w:r w:rsidRPr="00BC6EAC">
        <w:rPr>
          <w:rFonts w:ascii="Athiti" w:eastAsia="Athiti" w:hAnsi="Athiti" w:cs="Athiti"/>
          <w:lang w:val="cs-CZ"/>
        </w:rPr>
        <w:t xml:space="preserve"> – na speciální </w:t>
      </w:r>
      <w:r w:rsidR="00BC6EAC">
        <w:rPr>
          <w:rFonts w:ascii="Athiti" w:eastAsia="Athiti" w:hAnsi="Athiti" w:cs="Athiti"/>
          <w:lang w:val="cs-CZ"/>
        </w:rPr>
        <w:t xml:space="preserve">adresu bezpečnostního oddělení: </w:t>
      </w:r>
      <w:r w:rsidR="00BC6EAC" w:rsidRPr="00BC6EAC">
        <w:rPr>
          <w:rFonts w:ascii="Athiti" w:eastAsia="Athiti" w:hAnsi="Athiti" w:cs="Athiti"/>
          <w:b/>
          <w:lang w:val="cs-CZ"/>
        </w:rPr>
        <w:t>security@zman-kesef.eu</w:t>
      </w:r>
      <w:r w:rsidRPr="00BC6EAC">
        <w:rPr>
          <w:rFonts w:ascii="Athiti" w:eastAsia="Athiti" w:hAnsi="Athiti" w:cs="Athiti"/>
          <w:lang w:val="cs-CZ"/>
        </w:rPr>
        <w:t>,</w:t>
      </w:r>
    </w:p>
    <w:p w:rsidR="00D52ECC" w:rsidRPr="00BC6EAC" w:rsidRDefault="00D52ECC" w:rsidP="00D52ECC">
      <w:pPr>
        <w:pStyle w:val="normal"/>
        <w:numPr>
          <w:ilvl w:val="0"/>
          <w:numId w:val="2"/>
        </w:numPr>
        <w:spacing w:after="0"/>
        <w:rPr>
          <w:rFonts w:ascii="Athiti" w:eastAsia="Athiti" w:hAnsi="Athiti" w:cs="Athiti"/>
          <w:lang w:val="cs-CZ"/>
        </w:rPr>
      </w:pPr>
      <w:r w:rsidRPr="00BC6EAC">
        <w:rPr>
          <w:rFonts w:ascii="Athiti" w:eastAsia="Athiti" w:hAnsi="Athiti" w:cs="Athiti"/>
          <w:b/>
          <w:lang w:val="cs-CZ"/>
        </w:rPr>
        <w:t>Interním komunikačním nástrojem</w:t>
      </w:r>
      <w:r w:rsidRPr="00BC6EAC">
        <w:rPr>
          <w:rFonts w:ascii="Athiti" w:eastAsia="Athiti" w:hAnsi="Athiti" w:cs="Athiti"/>
          <w:lang w:val="cs-CZ"/>
        </w:rPr>
        <w:t xml:space="preserve"> – jako jsou zabezpečené chatovací platformy,</w:t>
      </w:r>
    </w:p>
    <w:p w:rsidR="00D52ECC" w:rsidRPr="00BC6EAC" w:rsidRDefault="00D52ECC" w:rsidP="00D52ECC">
      <w:pPr>
        <w:pStyle w:val="normal"/>
        <w:numPr>
          <w:ilvl w:val="0"/>
          <w:numId w:val="2"/>
        </w:numPr>
        <w:spacing w:after="200"/>
        <w:rPr>
          <w:rFonts w:ascii="Athiti" w:eastAsia="Athiti" w:hAnsi="Athiti" w:cs="Athiti"/>
          <w:lang w:val="cs-CZ"/>
        </w:rPr>
      </w:pPr>
      <w:r w:rsidRPr="00BC6EAC">
        <w:rPr>
          <w:rFonts w:ascii="Athiti" w:eastAsia="Athiti" w:hAnsi="Athiti" w:cs="Athiti"/>
          <w:b/>
          <w:lang w:val="cs-CZ"/>
        </w:rPr>
        <w:t>Alternativní osoby ve firmě</w:t>
      </w:r>
      <w:r w:rsidRPr="00BC6EAC">
        <w:rPr>
          <w:rFonts w:ascii="Athiti" w:eastAsia="Athiti" w:hAnsi="Athiti" w:cs="Athiti"/>
          <w:lang w:val="cs-CZ"/>
        </w:rPr>
        <w:t xml:space="preserve"> – např. HR, compliance officer, CISO, nebo vedení společnosti.</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Pokud se oznamovatel necítí bezpečně obracet se na přímého nadřízeného (např. je-li podezření právě na něj), má právo kontaktovat libovolnou jinou vhodnou osobu uvnitř firmy. Politika připouští i anonymní oznámení. Nicméně společnost důrazně doporučuje: aby oznamovatelé zvážili poskytnutí kontaktu alespoň pro účely doplnění informací, nebo aby využili pseudonymní formu s vytvořeným zabezpečeným kanálem (např. anonymní schránky).</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Nevýhody anonymity: ztížené ověřování oznámení, nemožnost poskytnout zpětnou vazbu, omezená právní ochrana pro oznamovatele.</w:t>
      </w:r>
    </w:p>
    <w:p w:rsidR="00D52ECC" w:rsidRPr="00BC6EAC" w:rsidRDefault="00D52ECC" w:rsidP="00D52ECC">
      <w:pPr>
        <w:pStyle w:val="Nadpis4"/>
        <w:keepNext w:val="0"/>
        <w:keepLines w:val="0"/>
        <w:rPr>
          <w:rFonts w:ascii="Athiti" w:eastAsia="Athiti" w:hAnsi="Athiti" w:cs="Athiti"/>
          <w:b w:val="0"/>
          <w:lang w:val="cs-CZ"/>
        </w:rPr>
      </w:pPr>
      <w:bookmarkStart w:id="12" w:name="_heading=h.dbqpj5ruc75n" w:colFirst="0" w:colLast="0"/>
      <w:bookmarkEnd w:id="12"/>
      <w:r w:rsidRPr="00BC6EAC">
        <w:rPr>
          <w:rFonts w:ascii="Athiti" w:eastAsia="Athiti" w:hAnsi="Athiti" w:cs="Athiti"/>
          <w:b w:val="0"/>
          <w:lang w:val="cs-CZ"/>
        </w:rPr>
        <w:t xml:space="preserve">Povinnost jednat v dobré víře. Oznamovatelé mají morální i profesní odpovědnost: jednat poctivě, podávat oznámení pouze v případě oprávněného podezření, nesloužit whistleblowingem jako nástroj pro pomluvu či osobní konflikt. </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Cílem je vytvořit rovnováhu mezi důvěrností, efektivitou a spravedlností v procesu hlášení podezření na pochybení.</w:t>
      </w:r>
    </w:p>
    <w:p w:rsidR="00D52ECC" w:rsidRPr="00BC6EAC" w:rsidRDefault="00D52ECC" w:rsidP="00D52ECC">
      <w:pPr>
        <w:pStyle w:val="Nadpis2"/>
        <w:spacing w:after="200"/>
        <w:rPr>
          <w:rFonts w:ascii="Athiti" w:eastAsia="Athiti" w:hAnsi="Athiti" w:cs="Athiti"/>
          <w:lang w:val="cs-CZ"/>
        </w:rPr>
      </w:pPr>
      <w:bookmarkStart w:id="13" w:name="_heading=h.4v0r87wh3w7w" w:colFirst="0" w:colLast="0"/>
      <w:bookmarkEnd w:id="13"/>
      <w:r w:rsidRPr="00BC6EAC">
        <w:rPr>
          <w:rFonts w:ascii="Athiti" w:eastAsia="Athiti" w:hAnsi="Athiti" w:cs="Athiti"/>
          <w:lang w:val="cs-CZ"/>
        </w:rPr>
        <w:t>3.4 Obsah oznámení</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Pro efektivní a rychlé šetření oznámení je důležité, aby podnět obsahoval dostatek konkrétních a ověřitelných informací. Kvalita oznámení významně ovlivňuje schopnost společnosti daný případ prošetřit a vyvodit důsledky. Doporučený obsah oznámení:</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Datum a čas události – kdy se podezřelá situace odehrála nebo začala.</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Identifikace zapojených osob – jména nebo pracovní pozice osob, které jsou s případem spojeny.</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Podrobný popis situace – co přesně se stalo nebo co oznamovatel pozoroval.</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Místo nebo kontext události – například kancelář, systém, projekt, klient atp.</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Dostupné důkazy – e-maily, dokumenty, záznamy, snímky obrazovky apod. (nepovinné, ale velmi užitečné).</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 xml:space="preserve">Předchozí kroky (pokud existují) – zda byl incident již nahlášen, jaké byly reakce apod. Formální stránka oznámení </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Mělo by být srozumitelně a věcně napsané.</w:t>
      </w:r>
    </w:p>
    <w:p w:rsidR="00D52ECC" w:rsidRPr="00BC6EAC" w:rsidRDefault="00D52ECC" w:rsidP="00D52ECC">
      <w:pPr>
        <w:pStyle w:val="normal"/>
        <w:numPr>
          <w:ilvl w:val="0"/>
          <w:numId w:val="4"/>
        </w:numPr>
        <w:spacing w:after="0"/>
        <w:rPr>
          <w:rFonts w:ascii="Athiti" w:eastAsia="Athiti" w:hAnsi="Athiti" w:cs="Athiti"/>
          <w:lang w:val="cs-CZ"/>
        </w:rPr>
      </w:pPr>
      <w:r w:rsidRPr="00BC6EAC">
        <w:rPr>
          <w:rFonts w:ascii="Athiti" w:eastAsia="Athiti" w:hAnsi="Athiti" w:cs="Athiti"/>
          <w:lang w:val="cs-CZ"/>
        </w:rPr>
        <w:t xml:space="preserve">Neobsahovat urážlivý nebo emocionálně zabarvený jazyk. </w:t>
      </w:r>
    </w:p>
    <w:p w:rsidR="00D52ECC" w:rsidRPr="00BC6EAC" w:rsidRDefault="00D52ECC" w:rsidP="00D52ECC">
      <w:pPr>
        <w:pStyle w:val="normal"/>
        <w:numPr>
          <w:ilvl w:val="0"/>
          <w:numId w:val="4"/>
        </w:numPr>
        <w:spacing w:after="0"/>
        <w:jc w:val="left"/>
        <w:rPr>
          <w:rFonts w:ascii="Athiti" w:eastAsia="Athiti" w:hAnsi="Athiti" w:cs="Athiti"/>
          <w:sz w:val="22"/>
          <w:szCs w:val="22"/>
          <w:lang w:val="cs-CZ"/>
        </w:rPr>
      </w:pPr>
      <w:r w:rsidRPr="00BC6EAC">
        <w:rPr>
          <w:rFonts w:ascii="Athiti" w:eastAsia="Athiti" w:hAnsi="Athiti" w:cs="Athiti"/>
          <w:lang w:val="cs-CZ"/>
        </w:rPr>
        <w:t>Pokud je oznámení podáno ústně, doporučuje se následné písemné potvrzení nebo záznam.</w:t>
      </w:r>
    </w:p>
    <w:p w:rsidR="00D52ECC" w:rsidRPr="00BC6EAC" w:rsidRDefault="00D52ECC" w:rsidP="00D52ECC">
      <w:pPr>
        <w:pStyle w:val="normal"/>
        <w:numPr>
          <w:ilvl w:val="0"/>
          <w:numId w:val="4"/>
        </w:numPr>
        <w:spacing w:after="0"/>
        <w:jc w:val="left"/>
        <w:rPr>
          <w:rFonts w:ascii="Athiti" w:eastAsia="Athiti" w:hAnsi="Athiti" w:cs="Athiti"/>
          <w:sz w:val="22"/>
          <w:szCs w:val="22"/>
          <w:lang w:val="cs-CZ"/>
        </w:rPr>
      </w:pPr>
      <w:r w:rsidRPr="00BC6EAC">
        <w:rPr>
          <w:rFonts w:ascii="Athiti" w:eastAsia="Athiti" w:hAnsi="Athiti" w:cs="Athiti"/>
          <w:lang w:val="cs-CZ"/>
        </w:rPr>
        <w:t>Oznámení by nemělo být založeno na domněnkách, pomluvách nebo subjektivních dojmech.</w:t>
      </w:r>
    </w:p>
    <w:p w:rsidR="00D52ECC" w:rsidRPr="00BC6EAC" w:rsidRDefault="00D52ECC" w:rsidP="00D52ECC">
      <w:pPr>
        <w:pStyle w:val="normal"/>
        <w:numPr>
          <w:ilvl w:val="0"/>
          <w:numId w:val="4"/>
        </w:numPr>
        <w:spacing w:after="240"/>
        <w:jc w:val="left"/>
        <w:rPr>
          <w:rFonts w:ascii="Arial" w:eastAsia="Arial" w:hAnsi="Arial" w:cs="Arial"/>
          <w:sz w:val="22"/>
          <w:szCs w:val="22"/>
          <w:lang w:val="cs-CZ"/>
        </w:rPr>
      </w:pPr>
      <w:r w:rsidRPr="003F0239">
        <w:rPr>
          <w:rFonts w:ascii="Athiti" w:eastAsia="Athiti" w:hAnsi="Athiti" w:cs="Athiti"/>
          <w:lang w:val="cs-CZ"/>
        </w:rPr>
        <w:t>P</w:t>
      </w:r>
      <w:r w:rsidRPr="00BC6EAC">
        <w:rPr>
          <w:rFonts w:ascii="Athiti" w:eastAsia="Athiti" w:hAnsi="Athiti" w:cs="Athiti"/>
          <w:lang w:val="cs-CZ"/>
        </w:rPr>
        <w:t>okud si oznamovatel není jistý všemi fakty, měl by to výslovně uvést.</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Cílem této části politiky je pomoci oznamovatelům pochopit, jak formulovat podání tak, aby mělo praktický dopad a zároveň bylo v souladu s profesionálními a právními zásadami společnosti.</w:t>
      </w:r>
    </w:p>
    <w:p w:rsidR="00D52ECC" w:rsidRPr="00BC6EAC" w:rsidRDefault="00D52ECC" w:rsidP="00D52ECC">
      <w:pPr>
        <w:pStyle w:val="Nadpis2"/>
        <w:spacing w:after="200"/>
        <w:rPr>
          <w:rFonts w:ascii="Athiti" w:eastAsia="Athiti" w:hAnsi="Athiti" w:cs="Athiti"/>
          <w:lang w:val="cs-CZ"/>
        </w:rPr>
      </w:pPr>
      <w:bookmarkStart w:id="14" w:name="_heading=h.2zt7aa78qpqh" w:colFirst="0" w:colLast="0"/>
      <w:bookmarkEnd w:id="14"/>
      <w:r w:rsidRPr="00BC6EAC">
        <w:rPr>
          <w:rFonts w:ascii="Athiti" w:eastAsia="Athiti" w:hAnsi="Athiti" w:cs="Athiti"/>
          <w:lang w:val="cs-CZ"/>
        </w:rPr>
        <w:lastRenderedPageBreak/>
        <w:t>3.5 Způsob řešení oznámení</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 xml:space="preserve">Osoba, které byl podnět předložen, má odpovědnost buď jej sama prošetřit, nebo jej důvěrně předat jiné kompetentní osobě. V závislosti na povaze věci může být zahájeno i formální šetření. Po přijetí oznámení společnost zajistí jeho odpovídající a důvěrné zpracování v souladu s interními postupy a platnou legislativou. Cílem je provést objektivní šetření, předejít případným škodám a vyvodit nápravná opatření. Osoba, které bylo oznámení adresováno (např. nadřízený, bezpečnostní tým), má povinnost: oznámení řádně zaznamenat, provést prvotní vyhodnocení závažnosti, buď sama případ vyšetřit, nebo jej předat kompetentní osobě/oddělení. Proces šetření: přijetí a registrace oznámení – včetně přidělení interního čísla případu, vyhodnocení důvodnosti oznámení – ověření, zda je třeba zahájit formální šetření, Sběr důkazů a výpovědí – důvěrná analýza všech dostupných informací, závěrečná zpráva a doporučení – vypracování výsledků a návrh opatření, Zajištění nápravných kroků – sankce, změny procesů, školení apod. Komunikace s oznamovatelem: </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 xml:space="preserve">Oznamovatel by měl být: informován o tom, že jeho podnět byl přijat, průběžně (v přiměřeném rozsahu) informován o postupu, seznámen s výsledky, pokud to neporušuje důvěrnost ostatních. </w:t>
      </w:r>
    </w:p>
    <w:p w:rsidR="00D52ECC" w:rsidRPr="00BC6EAC" w:rsidRDefault="00D52ECC" w:rsidP="00D52ECC">
      <w:pPr>
        <w:pStyle w:val="Nadpis4"/>
        <w:keepNext w:val="0"/>
        <w:keepLines w:val="0"/>
        <w:rPr>
          <w:rFonts w:ascii="Athiti" w:eastAsia="Athiti" w:hAnsi="Athiti" w:cs="Athiti"/>
          <w:b w:val="0"/>
          <w:lang w:val="cs-CZ"/>
        </w:rPr>
      </w:pPr>
      <w:bookmarkStart w:id="15" w:name="_heading=h.jj6u8non4kbx" w:colFirst="0" w:colLast="0"/>
      <w:bookmarkEnd w:id="15"/>
      <w:r w:rsidRPr="00BC6EAC">
        <w:rPr>
          <w:rFonts w:ascii="Athiti" w:eastAsia="Athiti" w:hAnsi="Athiti" w:cs="Athiti"/>
          <w:b w:val="0"/>
          <w:lang w:val="cs-CZ"/>
        </w:rPr>
        <w:t>Důvěrnost během šetření: šetření probíhá v režimu maximální důvěrnosti, Informace jsou sdíleny pouze se zapojenými osobami a šetřicím týmem.</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Cílem tohoto postupu je posílit důvěru v mechanismus whistleblowingu, zajistit spravedlivé posouzení a efektivní řešení každého důvěryhodného podnětu.</w:t>
      </w:r>
    </w:p>
    <w:p w:rsidR="00D52ECC" w:rsidRPr="00BC6EAC" w:rsidRDefault="00D52ECC" w:rsidP="00D52ECC">
      <w:pPr>
        <w:pStyle w:val="Nadpis2"/>
        <w:spacing w:after="200"/>
        <w:rPr>
          <w:rFonts w:ascii="Athiti" w:eastAsia="Athiti" w:hAnsi="Athiti" w:cs="Athiti"/>
          <w:lang w:val="cs-CZ"/>
        </w:rPr>
      </w:pPr>
      <w:bookmarkStart w:id="16" w:name="_heading=h.3dzyo58qy9y0" w:colFirst="0" w:colLast="0"/>
      <w:bookmarkEnd w:id="16"/>
      <w:r w:rsidRPr="00BC6EAC">
        <w:rPr>
          <w:rFonts w:ascii="Athiti" w:eastAsia="Athiti" w:hAnsi="Athiti" w:cs="Athiti"/>
          <w:lang w:val="cs-CZ"/>
        </w:rPr>
        <w:t>3.6 Zlomyslná oznámení</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I když je společnost plně oddaná ochraně oznamovatelů a podpory otevřenosti, důležitou součástí férového systému je prevence jeho zneužívání. Tato sekce se proto věnuje tzv. zlomyslným oznámením – tedy těm, která jsou podána: s úmyslem poškodit jinou osobu, vědomě na základě nepravdivých nebo smyšlených údajů, z osobních důvodů, pomsty nebo soutěživosti.</w:t>
      </w:r>
    </w:p>
    <w:p w:rsidR="00D52ECC" w:rsidRPr="00BC6EAC" w:rsidRDefault="00D52ECC" w:rsidP="00D52ECC">
      <w:pPr>
        <w:pStyle w:val="Nadpis4"/>
        <w:keepNext w:val="0"/>
        <w:keepLines w:val="0"/>
        <w:rPr>
          <w:rFonts w:ascii="Athiti" w:eastAsia="Athiti" w:hAnsi="Athiti" w:cs="Athiti"/>
          <w:b w:val="0"/>
          <w:lang w:val="cs-CZ"/>
        </w:rPr>
      </w:pPr>
      <w:bookmarkStart w:id="17" w:name="_heading=h.wn5p5dxvu5rj" w:colFirst="0" w:colLast="0"/>
      <w:bookmarkEnd w:id="17"/>
      <w:r w:rsidRPr="00BC6EAC">
        <w:rPr>
          <w:rFonts w:ascii="Athiti" w:eastAsia="Athiti" w:hAnsi="Athiti" w:cs="Athiti"/>
          <w:b w:val="0"/>
          <w:lang w:val="cs-CZ"/>
        </w:rPr>
        <w:t>Dopady zlomyslných oznámení: Mohou vést k vážnému poškození pověsti, stresu a nedůvěře uvnitř týmu. Oslabují legitimitu systému whistleblowingu. Znemožňují efektivní řešení skutečných problémů. Postup při podezření na zlomyslnost: Každé oznámení bude hodnoceno z hlediska důvěryhodnosti, kontextu a podkladů. Pokud se ukáže, že oznámení bylo podáno s úmyslem klamat nebo škodit, může být zahájeno disciplinární řízení vůči oznamovateli. Možné důsledky pro zlomyslné oznamovatele: formální napomenutí, záznam do personální dokumentace, pozastavení přístupu nebo důvěryhodných pravomocí, ve vážných případech i ukončení pracovního vztahu.</w:t>
      </w:r>
    </w:p>
    <w:p w:rsidR="00D52ECC" w:rsidRPr="00BC6EAC" w:rsidRDefault="00D52ECC" w:rsidP="00D52ECC">
      <w:pPr>
        <w:pStyle w:val="Nadpis4"/>
        <w:keepNext w:val="0"/>
        <w:keepLines w:val="0"/>
        <w:spacing w:after="240"/>
        <w:rPr>
          <w:rFonts w:ascii="Athiti" w:eastAsia="Athiti" w:hAnsi="Athiti" w:cs="Athiti"/>
          <w:b w:val="0"/>
          <w:lang w:val="cs-CZ"/>
        </w:rPr>
      </w:pPr>
      <w:bookmarkStart w:id="18" w:name="_heading=h.dbdz7ds9g0gb" w:colFirst="0" w:colLast="0"/>
      <w:bookmarkEnd w:id="18"/>
      <w:r w:rsidRPr="00BC6EAC">
        <w:rPr>
          <w:rFonts w:ascii="Athiti" w:eastAsia="Athiti" w:hAnsi="Athiti" w:cs="Athiti"/>
          <w:b w:val="0"/>
          <w:lang w:val="cs-CZ"/>
        </w:rPr>
        <w:t>Společnost zároveň deklaruje, že nebude trestat ani kritizovat oznámení, která se ukážou jako nepodložená, pokud byla podána v dobré víře. Rozlišování mezi poctivou chybou a úmyslným klamáním je klíčové pro spravedlivý a vyvážený přístup.</w:t>
      </w:r>
    </w:p>
    <w:p w:rsidR="00D52ECC" w:rsidRPr="00BC6EAC" w:rsidRDefault="00D52ECC" w:rsidP="00D52ECC">
      <w:pPr>
        <w:pStyle w:val="Nadpis1"/>
        <w:rPr>
          <w:rFonts w:ascii="Athiti" w:eastAsia="Athiti" w:hAnsi="Athiti" w:cs="Athiti"/>
          <w:lang w:val="cs-CZ"/>
        </w:rPr>
      </w:pPr>
      <w:bookmarkStart w:id="19" w:name="_heading=h.q0dmwqtuy2re" w:colFirst="0" w:colLast="0"/>
      <w:bookmarkEnd w:id="19"/>
      <w:r w:rsidRPr="00BC6EAC">
        <w:rPr>
          <w:rFonts w:ascii="Athiti" w:eastAsia="Athiti" w:hAnsi="Athiti" w:cs="Athiti"/>
          <w:lang w:val="cs-CZ"/>
        </w:rPr>
        <w:t>4 Komunikace při oznamování</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 xml:space="preserve">Komunikace týkající se oznámení o nekalém jednání musí být vedena odpovědným a strukturovaným způsobem, který chrání oznamovatele i společnost jako celek. Je důležité, aby </w:t>
      </w:r>
      <w:r w:rsidRPr="00BC6EAC">
        <w:rPr>
          <w:rFonts w:ascii="Athiti" w:eastAsia="Athiti" w:hAnsi="Athiti" w:cs="Athiti"/>
          <w:lang w:val="cs-CZ"/>
        </w:rPr>
        <w:lastRenderedPageBreak/>
        <w:t>všichni pracovníci rozuměli rozdílu mezi interními a externími formami komunikace a rizikům s nimi spojenými. Interní komunikace Společnost poskytuje více interních cest, jak bezpečně sdělit podezření na pochybení, mimo jiné:</w:t>
      </w:r>
    </w:p>
    <w:p w:rsidR="00D52ECC" w:rsidRPr="00BC6EAC" w:rsidRDefault="00D52ECC" w:rsidP="00D52ECC">
      <w:pPr>
        <w:pStyle w:val="normal"/>
        <w:numPr>
          <w:ilvl w:val="0"/>
          <w:numId w:val="5"/>
        </w:numPr>
        <w:spacing w:after="0"/>
        <w:rPr>
          <w:rFonts w:ascii="Athiti" w:eastAsia="Athiti" w:hAnsi="Athiti" w:cs="Athiti"/>
          <w:lang w:val="cs-CZ"/>
        </w:rPr>
      </w:pPr>
      <w:r w:rsidRPr="00BC6EAC">
        <w:rPr>
          <w:rFonts w:ascii="Athiti" w:eastAsia="Athiti" w:hAnsi="Athiti" w:cs="Athiti"/>
          <w:lang w:val="cs-CZ"/>
        </w:rPr>
        <w:t>přímá komunikace s nadřízeným nebo pověřenou osobou,</w:t>
      </w:r>
    </w:p>
    <w:p w:rsidR="00D52ECC" w:rsidRPr="00BC6EAC" w:rsidRDefault="00D52ECC" w:rsidP="00D52ECC">
      <w:pPr>
        <w:pStyle w:val="normal"/>
        <w:numPr>
          <w:ilvl w:val="0"/>
          <w:numId w:val="5"/>
        </w:numPr>
        <w:spacing w:after="0"/>
        <w:rPr>
          <w:rFonts w:ascii="Athiti" w:eastAsia="Athiti" w:hAnsi="Athiti" w:cs="Athiti"/>
          <w:lang w:val="cs-CZ"/>
        </w:rPr>
      </w:pPr>
      <w:r w:rsidRPr="00BC6EAC">
        <w:rPr>
          <w:rFonts w:ascii="Athiti" w:eastAsia="Athiti" w:hAnsi="Athiti" w:cs="Athiti"/>
          <w:lang w:val="cs-CZ"/>
        </w:rPr>
        <w:t>využití specializované e-mailové adresy,</w:t>
      </w:r>
    </w:p>
    <w:p w:rsidR="00D52ECC" w:rsidRPr="00BC6EAC" w:rsidRDefault="00D52ECC" w:rsidP="00D52ECC">
      <w:pPr>
        <w:pStyle w:val="normal"/>
        <w:numPr>
          <w:ilvl w:val="0"/>
          <w:numId w:val="5"/>
        </w:numPr>
        <w:spacing w:after="0"/>
        <w:rPr>
          <w:rFonts w:ascii="Athiti" w:eastAsia="Athiti" w:hAnsi="Athiti" w:cs="Athiti"/>
          <w:lang w:val="cs-CZ"/>
        </w:rPr>
      </w:pPr>
      <w:r w:rsidRPr="00BC6EAC">
        <w:rPr>
          <w:rFonts w:ascii="Athiti" w:eastAsia="Athiti" w:hAnsi="Athiti" w:cs="Athiti"/>
          <w:lang w:val="cs-CZ"/>
        </w:rPr>
        <w:t>důvěrný rozhovor s pověřeným pracovníkem (např. CISO, HR, compliance manažer),</w:t>
      </w:r>
    </w:p>
    <w:p w:rsidR="00D52ECC" w:rsidRPr="00BC6EAC" w:rsidRDefault="00D52ECC" w:rsidP="00D52ECC">
      <w:pPr>
        <w:pStyle w:val="normal"/>
        <w:numPr>
          <w:ilvl w:val="0"/>
          <w:numId w:val="5"/>
        </w:numPr>
        <w:spacing w:after="200"/>
        <w:rPr>
          <w:rFonts w:ascii="Athiti" w:eastAsia="Athiti" w:hAnsi="Athiti" w:cs="Athiti"/>
          <w:lang w:val="cs-CZ"/>
        </w:rPr>
      </w:pPr>
      <w:r w:rsidRPr="00BC6EAC">
        <w:rPr>
          <w:rFonts w:ascii="Athiti" w:eastAsia="Athiti" w:hAnsi="Athiti" w:cs="Athiti"/>
          <w:lang w:val="cs-CZ"/>
        </w:rPr>
        <w:t xml:space="preserve">elektronické whistleblowingové schránky, pokud jsou zřízeny. </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 xml:space="preserve">Tyto cesty jsou navrženy tak, aby: </w:t>
      </w:r>
    </w:p>
    <w:p w:rsidR="00D52ECC" w:rsidRPr="00BC6EAC" w:rsidRDefault="00D52ECC" w:rsidP="00D52ECC">
      <w:pPr>
        <w:pStyle w:val="normal"/>
        <w:numPr>
          <w:ilvl w:val="0"/>
          <w:numId w:val="1"/>
        </w:numPr>
        <w:spacing w:after="0"/>
        <w:rPr>
          <w:rFonts w:ascii="Athiti" w:eastAsia="Athiti" w:hAnsi="Athiti" w:cs="Athiti"/>
          <w:lang w:val="cs-CZ"/>
        </w:rPr>
      </w:pPr>
      <w:r w:rsidRPr="00BC6EAC">
        <w:rPr>
          <w:rFonts w:ascii="Athiti" w:eastAsia="Athiti" w:hAnsi="Athiti" w:cs="Athiti"/>
          <w:lang w:val="cs-CZ"/>
        </w:rPr>
        <w:t>chránily anonymitu nebo důvěrnost,</w:t>
      </w:r>
    </w:p>
    <w:p w:rsidR="00D52ECC" w:rsidRPr="00BC6EAC" w:rsidRDefault="00D52ECC" w:rsidP="00D52ECC">
      <w:pPr>
        <w:pStyle w:val="normal"/>
        <w:numPr>
          <w:ilvl w:val="0"/>
          <w:numId w:val="1"/>
        </w:numPr>
        <w:spacing w:after="0"/>
        <w:rPr>
          <w:rFonts w:ascii="Athiti" w:eastAsia="Athiti" w:hAnsi="Athiti" w:cs="Athiti"/>
          <w:lang w:val="cs-CZ"/>
        </w:rPr>
      </w:pPr>
      <w:r w:rsidRPr="00BC6EAC">
        <w:rPr>
          <w:rFonts w:ascii="Athiti" w:eastAsia="Athiti" w:hAnsi="Athiti" w:cs="Athiti"/>
          <w:lang w:val="cs-CZ"/>
        </w:rPr>
        <w:t>zajistily rychlé a kompetentní přijetí oznámení,</w:t>
      </w:r>
    </w:p>
    <w:p w:rsidR="00D52ECC" w:rsidRPr="00BC6EAC" w:rsidRDefault="00D52ECC" w:rsidP="00D52ECC">
      <w:pPr>
        <w:pStyle w:val="normal"/>
        <w:numPr>
          <w:ilvl w:val="0"/>
          <w:numId w:val="1"/>
        </w:numPr>
        <w:spacing w:after="200"/>
        <w:rPr>
          <w:rFonts w:ascii="Athiti" w:eastAsia="Athiti" w:hAnsi="Athiti" w:cs="Athiti"/>
          <w:lang w:val="cs-CZ"/>
        </w:rPr>
      </w:pPr>
      <w:r w:rsidRPr="00BC6EAC">
        <w:rPr>
          <w:rFonts w:ascii="Athiti" w:eastAsia="Athiti" w:hAnsi="Athiti" w:cs="Athiti"/>
          <w:lang w:val="cs-CZ"/>
        </w:rPr>
        <w:t xml:space="preserve">umožnily obousměrnou komunikaci a zpětnou vazbu. </w:t>
      </w:r>
    </w:p>
    <w:p w:rsidR="00D52ECC" w:rsidRPr="00BC6EAC" w:rsidRDefault="00D52ECC" w:rsidP="00D52ECC">
      <w:pPr>
        <w:pStyle w:val="normal"/>
        <w:spacing w:after="200"/>
        <w:rPr>
          <w:rFonts w:ascii="Athiti" w:eastAsia="Athiti" w:hAnsi="Athiti" w:cs="Athiti"/>
          <w:sz w:val="26"/>
          <w:szCs w:val="26"/>
          <w:lang w:val="cs-CZ"/>
        </w:rPr>
      </w:pPr>
      <w:r w:rsidRPr="00BC6EAC">
        <w:rPr>
          <w:rFonts w:ascii="Athiti" w:eastAsia="Athiti" w:hAnsi="Athiti" w:cs="Athiti"/>
          <w:sz w:val="26"/>
          <w:szCs w:val="26"/>
          <w:lang w:val="cs-CZ"/>
        </w:rPr>
        <w:t xml:space="preserve">Externí komunikace Ve výjimečných případech se může oznamovatel obrátit mimo společnost, např. na: regulační orgány, orgány činné v trestním řízení, specializované ombudsmany nebo dozorové instituce. </w:t>
      </w:r>
    </w:p>
    <w:p w:rsidR="00D52ECC" w:rsidRPr="00BC6EAC" w:rsidRDefault="00D52ECC" w:rsidP="00D52ECC">
      <w:pPr>
        <w:pStyle w:val="normal"/>
        <w:spacing w:before="240" w:after="240"/>
        <w:rPr>
          <w:rFonts w:ascii="Athiti" w:eastAsia="Athiti" w:hAnsi="Athiti" w:cs="Athiti"/>
          <w:sz w:val="26"/>
          <w:szCs w:val="26"/>
          <w:lang w:val="cs-CZ"/>
        </w:rPr>
      </w:pPr>
      <w:r w:rsidRPr="00BC6EAC">
        <w:rPr>
          <w:rFonts w:ascii="Athiti" w:eastAsia="Athiti" w:hAnsi="Athiti" w:cs="Athiti"/>
          <w:lang w:val="cs-CZ"/>
        </w:rPr>
        <w:t xml:space="preserve">Nicméně přímé zveřejnění v médiích, na sociálních sítích nebo veřejných fórech bez předchozího využití interních možností je: v rozporu s touto politikou, může být považováno za nepřiměřené jednání, může vést ke snížení právní ochrany oznamovatele nebo k disciplinárnímu řízení. </w:t>
      </w:r>
      <w:r w:rsidRPr="00BC6EAC">
        <w:rPr>
          <w:rFonts w:ascii="Athiti" w:eastAsia="Athiti" w:hAnsi="Athiti" w:cs="Athiti"/>
          <w:sz w:val="26"/>
          <w:szCs w:val="26"/>
          <w:lang w:val="cs-CZ"/>
        </w:rPr>
        <w:t>Význam správné komunikace. Efektivní komunikace zajišťuje: důvěryhodnost procesu, ochranu všech zúčastněných stran, možnost rychlého zásahu v případě závažného pochybení. Zaměstnanci jsou proto povinni: volit přiměřené a bezpečné kanály komunikace, jednat zodpovědně s ohledem na důvěrnost informací, vyhýbat se neověřenému šíření podezření mimo oficiální rámec.</w:t>
      </w:r>
    </w:p>
    <w:p w:rsidR="00D52ECC" w:rsidRPr="00BC6EAC" w:rsidRDefault="00D52ECC" w:rsidP="00D52ECC">
      <w:pPr>
        <w:pStyle w:val="Nadpis1"/>
        <w:rPr>
          <w:rFonts w:ascii="Athiti" w:eastAsia="Athiti" w:hAnsi="Athiti" w:cs="Athiti"/>
          <w:lang w:val="cs-CZ"/>
        </w:rPr>
      </w:pPr>
      <w:bookmarkStart w:id="20" w:name="_heading=h.c3gog5h95bju" w:colFirst="0" w:colLast="0"/>
      <w:bookmarkEnd w:id="20"/>
      <w:r w:rsidRPr="00BC6EAC">
        <w:rPr>
          <w:rFonts w:ascii="Athiti" w:eastAsia="Athiti" w:hAnsi="Athiti" w:cs="Athiti"/>
          <w:lang w:val="cs-CZ"/>
        </w:rPr>
        <w:t>5 Důvěrnost a podpora oznamovatelů</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 xml:space="preserve">Společnost považuje důvěrnost za základní kámen efektivního systému whistleblowingu. Ochrana oznamovatele je nezbytná pro to, aby se lidé cítili bezpečně a byli ochotni sdílet informace o závažných pochybeních. </w:t>
      </w:r>
      <w:r w:rsidRPr="00BC6EAC">
        <w:rPr>
          <w:rFonts w:ascii="Athiti" w:eastAsia="Athiti" w:hAnsi="Athiti" w:cs="Athiti"/>
          <w:sz w:val="26"/>
          <w:szCs w:val="26"/>
          <w:lang w:val="cs-CZ"/>
        </w:rPr>
        <w:t xml:space="preserve">Zásady </w:t>
      </w:r>
      <w:r w:rsidRPr="00BC6EAC">
        <w:rPr>
          <w:rFonts w:ascii="Athiti" w:eastAsia="Athiti" w:hAnsi="Athiti" w:cs="Athiti"/>
          <w:lang w:val="cs-CZ"/>
        </w:rPr>
        <w:t xml:space="preserve">důvěrnosti: Identita oznamovatele bude zachována v maximálně možné míře. Informace z oznámení budou sdíleny pouze s osobami nezbytnými pro jejich šetření. Přístup k údajům je omezen na určené a školené pracovníky. V případě, že důvěrnost nelze z objektivních důvodů zachovat (např. právní požadavky), bude oznamovatel včas informován a zapojen do diskuse o dalším postupu. Ochrana před odvetou Společnost se zavazuje chránit oznamovatele před: propuštěním nebo degradací, diskriminací, šikanou, výsměchem, izolací, přenesením na méně atraktivní pracovní pozice, jakoukoli jinou formou nepřímé nebo přímé odvety. </w:t>
      </w:r>
    </w:p>
    <w:p w:rsidR="00D52ECC" w:rsidRPr="00BC6EAC" w:rsidRDefault="00D52ECC" w:rsidP="00D52ECC">
      <w:pPr>
        <w:pStyle w:val="normal"/>
        <w:spacing w:before="240" w:after="240"/>
        <w:rPr>
          <w:rFonts w:ascii="Athiti" w:eastAsia="Athiti" w:hAnsi="Athiti" w:cs="Athiti"/>
          <w:lang w:val="cs-CZ"/>
        </w:rPr>
      </w:pPr>
      <w:r w:rsidRPr="00BC6EAC">
        <w:rPr>
          <w:rFonts w:ascii="Athiti" w:eastAsia="Athiti" w:hAnsi="Athiti" w:cs="Athiti"/>
          <w:lang w:val="cs-CZ"/>
        </w:rPr>
        <w:t xml:space="preserve">Každý případ podezření na odvetu vůči oznamovateli bude: neprodleně prošetřen, brán vážně bez ohledu na pozici údajného pachatele, řešen v souladu s disciplinárními pravidly společnosti. Nabízená podpora oznamovatelům: Možnost anonymní nebo důvěrné konzultace před podáním </w:t>
      </w:r>
      <w:r w:rsidRPr="00BC6EAC">
        <w:rPr>
          <w:rFonts w:ascii="Athiti" w:eastAsia="Athiti" w:hAnsi="Athiti" w:cs="Athiti"/>
          <w:lang w:val="cs-CZ"/>
        </w:rPr>
        <w:lastRenderedPageBreak/>
        <w:t xml:space="preserve">oznámení. Psychologická podpora v případě stresu nebo negativních reakcí okolí. Ochrana právními prostředky podle příslušné legislativy (např. zákon o ochraně oznamovatelů). </w:t>
      </w:r>
    </w:p>
    <w:p w:rsidR="00D52ECC" w:rsidRPr="00BC6EAC" w:rsidRDefault="00D52ECC" w:rsidP="00D52ECC">
      <w:pPr>
        <w:pStyle w:val="Nadpis3"/>
        <w:keepNext w:val="0"/>
        <w:keepLines w:val="0"/>
        <w:spacing w:before="280" w:after="80"/>
        <w:rPr>
          <w:rFonts w:ascii="Athiti" w:eastAsia="Athiti" w:hAnsi="Athiti" w:cs="Athiti"/>
          <w:color w:val="000000"/>
          <w:lang w:val="cs-CZ"/>
        </w:rPr>
      </w:pPr>
      <w:bookmarkStart w:id="21" w:name="_heading=h.unsb2txmju45" w:colFirst="0" w:colLast="0"/>
      <w:bookmarkEnd w:id="21"/>
      <w:r w:rsidRPr="00BC6EAC">
        <w:rPr>
          <w:rFonts w:ascii="Athiti" w:eastAsia="Athiti" w:hAnsi="Athiti" w:cs="Athiti"/>
          <w:color w:val="000000"/>
          <w:lang w:val="cs-CZ"/>
        </w:rPr>
        <w:t>Kultura ochrany a důvěry: spole4nost aktivně podporuje kulturu, kde je whistleblowing vnímán jako projev odpovědnosti a loajality vůči hodnotám společnosti – nikoli jako ohrožení nebo akt zrady. Vedení společnosti pravidelně komunikuje závazek k ochraně oznamovatelů a podporuje jejich odvahu přispět ke zdravějšímu a transparentnějšímu pracovnímu prostředí.</w:t>
      </w:r>
    </w:p>
    <w:p w:rsidR="00D52ECC" w:rsidRPr="00BC6EAC" w:rsidRDefault="00D52ECC" w:rsidP="00D52ECC">
      <w:pPr>
        <w:pStyle w:val="normal"/>
        <w:spacing w:after="200"/>
        <w:rPr>
          <w:rFonts w:ascii="Athiti" w:eastAsia="Athiti" w:hAnsi="Athiti" w:cs="Athiti"/>
          <w:lang w:val="cs-CZ"/>
        </w:rPr>
      </w:pPr>
      <w:r w:rsidRPr="00BC6EAC">
        <w:rPr>
          <w:rFonts w:ascii="Athiti" w:eastAsia="Athiti" w:hAnsi="Athiti" w:cs="Athiti"/>
          <w:lang w:val="cs-CZ"/>
        </w:rPr>
        <w:t>Oznamování bude zachováno jako důvěrné a totožnost osoby, která podnět podala, nebude zveřejněna s výjimkou těch, kteří se přímo účastní šetření. Pokud by nebylo možné důvěrnost dále zachovat, bude tato skutečnost nejprve projednána s oznamovatelem.</w:t>
      </w:r>
    </w:p>
    <w:p w:rsidR="00D52ECC" w:rsidRPr="00BC6EAC" w:rsidRDefault="00D52ECC" w:rsidP="00D52ECC">
      <w:pPr>
        <w:pStyle w:val="Nadpis1"/>
        <w:keepNext w:val="0"/>
        <w:keepLines w:val="0"/>
        <w:widowControl w:val="0"/>
        <w:spacing w:before="0" w:after="0" w:line="240" w:lineRule="auto"/>
        <w:rPr>
          <w:rFonts w:ascii="Athiti" w:eastAsia="Athiti" w:hAnsi="Athiti" w:cs="Athiti"/>
          <w:lang w:val="cs-CZ"/>
        </w:rPr>
      </w:pPr>
      <w:bookmarkStart w:id="22" w:name="_heading=h.6wdc31ep6u1" w:colFirst="0" w:colLast="0"/>
      <w:bookmarkEnd w:id="22"/>
      <w:r w:rsidRPr="00BC6EAC">
        <w:rPr>
          <w:rFonts w:ascii="Athiti" w:eastAsia="Athiti" w:hAnsi="Athiti" w:cs="Athiti"/>
          <w:lang w:val="cs-CZ"/>
        </w:rPr>
        <w:t>6 ZÁVĚREČNÁ USTANOVENÍ</w:t>
      </w:r>
    </w:p>
    <w:p w:rsidR="00D52ECC" w:rsidRPr="00BC6EAC" w:rsidRDefault="00D52ECC" w:rsidP="00D52ECC">
      <w:pPr>
        <w:pStyle w:val="normal"/>
        <w:widowControl w:val="0"/>
        <w:spacing w:after="0" w:line="240" w:lineRule="auto"/>
        <w:rPr>
          <w:rFonts w:ascii="Athiti" w:eastAsia="Athiti" w:hAnsi="Athiti" w:cs="Athiti"/>
          <w:lang w:val="cs-CZ"/>
        </w:rPr>
      </w:pPr>
      <w:r w:rsidRPr="00BC6EAC">
        <w:rPr>
          <w:rFonts w:ascii="Athiti" w:eastAsia="Athiti" w:hAnsi="Athiti" w:cs="Athiti"/>
          <w:lang w:val="cs-CZ"/>
        </w:rPr>
        <w:t xml:space="preserve">Tyto Zásady budou interně trvale zpřístupněny všem zaměstnancům a pracovníkům Společnosti v interní elektronické složce </w:t>
      </w:r>
      <w:r w:rsidRPr="00BC6EAC">
        <w:rPr>
          <w:rFonts w:ascii="Athiti" w:eastAsia="Athiti" w:hAnsi="Athiti" w:cs="Athiti"/>
          <w:i/>
          <w:lang w:val="cs-CZ"/>
        </w:rPr>
        <w:t>Zásady a postupy společnosti</w:t>
      </w:r>
      <w:r w:rsidRPr="00BC6EAC">
        <w:rPr>
          <w:rFonts w:ascii="Athiti" w:eastAsia="Athiti" w:hAnsi="Athiti" w:cs="Athiti"/>
          <w:lang w:val="cs-CZ"/>
        </w:rPr>
        <w:t xml:space="preserve">. Všichni zaměstnanci a pracovníci budou informováni o tomto předpisu, jeho aktualizacích a platnosti a účinnosti prostřednictvím emailu. </w:t>
      </w:r>
    </w:p>
    <w:p w:rsidR="00D52ECC" w:rsidRPr="00BC6EAC" w:rsidRDefault="00D52ECC" w:rsidP="00D52ECC">
      <w:pPr>
        <w:pStyle w:val="normal"/>
        <w:widowControl w:val="0"/>
        <w:spacing w:after="0" w:line="240" w:lineRule="auto"/>
        <w:rPr>
          <w:rFonts w:ascii="Athiti" w:eastAsia="Athiti" w:hAnsi="Athiti" w:cs="Athiti"/>
          <w:lang w:val="cs-CZ"/>
        </w:rPr>
      </w:pPr>
    </w:p>
    <w:p w:rsidR="00D52ECC" w:rsidRPr="00BC6EAC" w:rsidRDefault="00D52ECC" w:rsidP="00D52ECC">
      <w:pPr>
        <w:pStyle w:val="normal"/>
        <w:widowControl w:val="0"/>
        <w:spacing w:after="0" w:line="240" w:lineRule="auto"/>
        <w:rPr>
          <w:rFonts w:ascii="Athiti" w:eastAsia="Athiti" w:hAnsi="Athiti" w:cs="Athiti"/>
          <w:lang w:val="cs-CZ"/>
        </w:rPr>
      </w:pPr>
      <w:r w:rsidRPr="00BC6EAC">
        <w:rPr>
          <w:rFonts w:ascii="Athiti" w:eastAsia="Athiti" w:hAnsi="Athiti" w:cs="Athiti"/>
          <w:lang w:val="cs-CZ"/>
        </w:rPr>
        <w:t xml:space="preserve">Všichni dotčení zaměstnanci a pracovníci Společnosti jsou povinni se s tímto vnitřním předpisem dopodrobna seznámit. Compliance&amp;AML Officer za tímto účelem zajistí proškolení všech dotčených zaměstnanců a pracovníků Společnosti. </w:t>
      </w:r>
    </w:p>
    <w:p w:rsidR="00D52ECC" w:rsidRPr="00BC6EAC" w:rsidRDefault="00D52ECC" w:rsidP="00D52ECC">
      <w:pPr>
        <w:pStyle w:val="normal"/>
        <w:widowControl w:val="0"/>
        <w:spacing w:after="0" w:line="240" w:lineRule="auto"/>
        <w:rPr>
          <w:rFonts w:ascii="Athiti" w:eastAsia="Athiti" w:hAnsi="Athiti" w:cs="Athiti"/>
          <w:lang w:val="cs-CZ"/>
        </w:rPr>
      </w:pPr>
    </w:p>
    <w:p w:rsidR="00D52ECC" w:rsidRPr="00BC6EAC" w:rsidRDefault="00D52ECC" w:rsidP="00D52ECC">
      <w:pPr>
        <w:pStyle w:val="normal"/>
        <w:widowControl w:val="0"/>
        <w:spacing w:after="0" w:line="240" w:lineRule="auto"/>
        <w:rPr>
          <w:rFonts w:ascii="Athiti" w:eastAsia="Athiti" w:hAnsi="Athiti" w:cs="Athiti"/>
          <w:lang w:val="cs-CZ"/>
        </w:rPr>
      </w:pPr>
      <w:bookmarkStart w:id="23" w:name="_heading=h.cwwxv86mtotb" w:colFirst="0" w:colLast="0"/>
      <w:bookmarkEnd w:id="23"/>
      <w:r w:rsidRPr="00BC6EAC">
        <w:rPr>
          <w:rFonts w:ascii="Athiti" w:eastAsia="Athiti" w:hAnsi="Athiti" w:cs="Athiti"/>
          <w:lang w:val="cs-CZ"/>
        </w:rPr>
        <w:t>Tyto Zásady jsou revidovány minimálně jednou ročně. Tento vnitřní předpis bude revidován také vždy při změně příslušných právních předpisů, zejména nařízení MiCA a jeho prováděcích předpisů, a v případě vydání nebo aktualizace RTS nebo obecných pokynů ESMA či EBA týkajících se vyřizování stížností. Za revizi Zásad a jejich aktuálnost odpovídá Compliance&amp;AML Officer.</w:t>
      </w:r>
    </w:p>
    <w:p w:rsidR="00D52ECC" w:rsidRPr="00BC6EAC" w:rsidRDefault="00D52ECC" w:rsidP="00D52ECC">
      <w:pPr>
        <w:pStyle w:val="normal"/>
        <w:widowControl w:val="0"/>
        <w:spacing w:after="0" w:line="240" w:lineRule="auto"/>
        <w:rPr>
          <w:rFonts w:ascii="Athiti" w:eastAsia="Athiti" w:hAnsi="Athiti" w:cs="Athiti"/>
          <w:lang w:val="cs-CZ"/>
        </w:rPr>
      </w:pPr>
      <w:bookmarkStart w:id="24" w:name="_heading=h.knp0sl5ezil1" w:colFirst="0" w:colLast="0"/>
      <w:bookmarkEnd w:id="24"/>
    </w:p>
    <w:p w:rsidR="00D52ECC" w:rsidRPr="00BC6EAC" w:rsidRDefault="00D52ECC" w:rsidP="00D52ECC">
      <w:pPr>
        <w:pStyle w:val="normal"/>
        <w:widowControl w:val="0"/>
        <w:spacing w:after="0" w:line="240" w:lineRule="auto"/>
        <w:rPr>
          <w:rFonts w:ascii="Athiti" w:eastAsia="Athiti" w:hAnsi="Athiti" w:cs="Athiti"/>
          <w:lang w:val="cs-CZ"/>
        </w:rPr>
      </w:pPr>
      <w:r w:rsidRPr="00BC6EAC">
        <w:rPr>
          <w:rFonts w:ascii="Athiti" w:eastAsia="Athiti" w:hAnsi="Athiti" w:cs="Athiti"/>
          <w:lang w:val="cs-CZ"/>
        </w:rPr>
        <w:t>Tento vnitřní předpis nabývá platnosti a účinnosti ke dni jeho schválení.</w:t>
      </w:r>
    </w:p>
    <w:p w:rsidR="00D52ECC" w:rsidRPr="00BC6EAC" w:rsidRDefault="00D52ECC" w:rsidP="00D52ECC">
      <w:pPr>
        <w:pStyle w:val="normal"/>
        <w:spacing w:after="200"/>
        <w:rPr>
          <w:rFonts w:ascii="Athiti" w:eastAsia="Athiti" w:hAnsi="Athiti" w:cs="Athiti"/>
          <w:highlight w:val="yellow"/>
          <w:lang w:val="cs-CZ"/>
        </w:rPr>
      </w:pPr>
    </w:p>
    <w:p w:rsidR="00D52ECC" w:rsidRPr="00BC6EAC" w:rsidRDefault="00D52ECC" w:rsidP="00D52ECC">
      <w:pPr>
        <w:pStyle w:val="normal"/>
        <w:spacing w:after="200" w:line="240" w:lineRule="auto"/>
        <w:jc w:val="center"/>
        <w:rPr>
          <w:rFonts w:ascii="Athiti" w:eastAsia="Athiti" w:hAnsi="Athiti" w:cs="Athiti"/>
          <w:i/>
          <w:sz w:val="18"/>
          <w:szCs w:val="18"/>
          <w:lang w:val="cs-CZ"/>
        </w:rPr>
      </w:pPr>
      <w:bookmarkStart w:id="25" w:name="_heading=h.pc6joalkbvx4" w:colFirst="0" w:colLast="0"/>
      <w:bookmarkEnd w:id="25"/>
    </w:p>
    <w:p w:rsidR="00D52ECC" w:rsidRPr="00BC6EAC" w:rsidRDefault="00D52ECC" w:rsidP="00D52ECC">
      <w:pPr>
        <w:pStyle w:val="normal"/>
        <w:rPr>
          <w:rFonts w:ascii="Athiti" w:eastAsia="Athiti" w:hAnsi="Athiti" w:cs="Athiti"/>
          <w:lang w:val="cs-CZ"/>
        </w:rPr>
      </w:pPr>
    </w:p>
    <w:p w:rsidR="00B06DB5" w:rsidRPr="00BC6EAC" w:rsidRDefault="00B06DB5">
      <w:pPr>
        <w:rPr>
          <w:lang w:val="cs-CZ"/>
        </w:rPr>
      </w:pPr>
    </w:p>
    <w:sectPr w:rsidR="00B06DB5" w:rsidRPr="00BC6EAC" w:rsidSect="007D321A">
      <w:headerReference w:type="default" r:id="rId7"/>
      <w:footerReference w:type="default" r:id="rId8"/>
      <w:headerReference w:type="first" r:id="rId9"/>
      <w:footerReference w:type="first" r:id="rId10"/>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B1A" w:rsidRDefault="00E24B1A" w:rsidP="009E5BC6">
      <w:pPr>
        <w:spacing w:after="0" w:line="240" w:lineRule="auto"/>
      </w:pPr>
      <w:r>
        <w:separator/>
      </w:r>
    </w:p>
  </w:endnote>
  <w:endnote w:type="continuationSeparator" w:id="1">
    <w:p w:rsidR="00E24B1A" w:rsidRDefault="00E24B1A" w:rsidP="009E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1A" w:rsidRDefault="00D52ECC">
    <w:pPr>
      <w:pStyle w:val="normal"/>
      <w:pBdr>
        <w:top w:val="nil"/>
        <w:left w:val="nil"/>
        <w:bottom w:val="nil"/>
        <w:right w:val="nil"/>
        <w:between w:val="nil"/>
      </w:pBdr>
      <w:tabs>
        <w:tab w:val="center" w:pos="4677"/>
        <w:tab w:val="right" w:pos="9355"/>
      </w:tabs>
      <w:spacing w:after="0" w:line="240" w:lineRule="auto"/>
      <w:jc w:val="center"/>
      <w:rPr>
        <w:color w:val="000000"/>
      </w:rPr>
    </w:pPr>
    <w:r>
      <w:rPr>
        <w:noProof/>
        <w:color w:val="000000"/>
      </w:rPr>
      <w:drawing>
        <wp:inline distT="0" distB="0" distL="0" distR="0">
          <wp:extent cx="5495925" cy="73660"/>
          <wp:effectExtent l="0" t="0" r="0" b="0"/>
          <wp:docPr id="9"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495925" cy="73660"/>
                  </a:xfrm>
                  <a:prstGeom prst="rect">
                    <a:avLst/>
                  </a:prstGeom>
                  <a:ln/>
                </pic:spPr>
              </pic:pic>
            </a:graphicData>
          </a:graphic>
        </wp:inline>
      </w:drawing>
    </w:r>
  </w:p>
  <w:p w:rsidR="007D321A" w:rsidRDefault="009E5BC6">
    <w:pPr>
      <w:pStyle w:val="normal"/>
      <w:pBdr>
        <w:top w:val="nil"/>
        <w:left w:val="nil"/>
        <w:bottom w:val="nil"/>
        <w:right w:val="nil"/>
        <w:between w:val="nil"/>
      </w:pBdr>
      <w:tabs>
        <w:tab w:val="center" w:pos="4677"/>
        <w:tab w:val="right" w:pos="9355"/>
      </w:tabs>
      <w:spacing w:after="0" w:line="240" w:lineRule="auto"/>
      <w:jc w:val="center"/>
      <w:rPr>
        <w:rFonts w:ascii="Athiti" w:eastAsia="Athiti" w:hAnsi="Athiti" w:cs="Athiti"/>
        <w:color w:val="000000"/>
      </w:rPr>
    </w:pPr>
    <w:r>
      <w:rPr>
        <w:rFonts w:ascii="Athiti" w:eastAsia="Athiti" w:hAnsi="Athiti" w:cs="Athiti"/>
        <w:color w:val="000000"/>
      </w:rPr>
      <w:fldChar w:fldCharType="begin"/>
    </w:r>
    <w:r w:rsidR="00D52ECC">
      <w:rPr>
        <w:rFonts w:ascii="Athiti" w:eastAsia="Athiti" w:hAnsi="Athiti" w:cs="Athiti"/>
        <w:color w:val="000000"/>
      </w:rPr>
      <w:instrText>PAGE</w:instrText>
    </w:r>
    <w:r>
      <w:rPr>
        <w:rFonts w:ascii="Athiti" w:eastAsia="Athiti" w:hAnsi="Athiti" w:cs="Athiti"/>
        <w:color w:val="000000"/>
      </w:rPr>
      <w:fldChar w:fldCharType="separate"/>
    </w:r>
    <w:r w:rsidR="003F0239">
      <w:rPr>
        <w:rFonts w:ascii="Athiti" w:eastAsia="Athiti" w:hAnsi="Athiti" w:cs="Athiti"/>
        <w:noProof/>
        <w:color w:val="000000"/>
      </w:rPr>
      <w:t>8</w:t>
    </w:r>
    <w:r>
      <w:rPr>
        <w:rFonts w:ascii="Athiti" w:eastAsia="Athiti" w:hAnsi="Athiti" w:cs="Athiti"/>
        <w:color w:val="000000"/>
      </w:rPr>
      <w:fldChar w:fldCharType="end"/>
    </w:r>
  </w:p>
  <w:p w:rsidR="007D321A" w:rsidRDefault="00E24B1A">
    <w:pPr>
      <w:pStyle w:val="normal"/>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1A" w:rsidRDefault="00E24B1A">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B1A" w:rsidRDefault="00E24B1A" w:rsidP="009E5BC6">
      <w:pPr>
        <w:spacing w:after="0" w:line="240" w:lineRule="auto"/>
      </w:pPr>
      <w:r>
        <w:separator/>
      </w:r>
    </w:p>
  </w:footnote>
  <w:footnote w:type="continuationSeparator" w:id="1">
    <w:p w:rsidR="00E24B1A" w:rsidRDefault="00E24B1A" w:rsidP="009E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1A" w:rsidRDefault="00D52ECC">
    <w:pPr>
      <w:pStyle w:val="normal"/>
    </w:pPr>
    <w:r>
      <w:rPr>
        <w:noProof/>
      </w:rPr>
      <w:drawing>
        <wp:anchor distT="0" distB="0" distL="114300" distR="114300" simplePos="0" relativeHeight="251659264" behindDoc="0" locked="0" layoutInCell="1" allowOverlap="1">
          <wp:simplePos x="0" y="0"/>
          <wp:positionH relativeFrom="page">
            <wp:posOffset>-9522</wp:posOffset>
          </wp:positionH>
          <wp:positionV relativeFrom="page">
            <wp:posOffset>-9522</wp:posOffset>
          </wp:positionV>
          <wp:extent cx="109050" cy="10747050"/>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1A" w:rsidRDefault="00D52ECC">
    <w:pPr>
      <w:pStyle w:val="normal"/>
      <w:jc w:val="right"/>
    </w:pPr>
    <w:r>
      <w:rPr>
        <w:noProof/>
      </w:rPr>
      <w:drawing>
        <wp:anchor distT="0" distB="0" distL="114300" distR="114300" simplePos="0" relativeHeight="251660288" behindDoc="0" locked="0" layoutInCell="1" allowOverlap="1">
          <wp:simplePos x="0" y="0"/>
          <wp:positionH relativeFrom="page">
            <wp:posOffset>-9522</wp:posOffset>
          </wp:positionH>
          <wp:positionV relativeFrom="page">
            <wp:posOffset>-9522</wp:posOffset>
          </wp:positionV>
          <wp:extent cx="109050" cy="1074705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7839"/>
    <w:multiLevelType w:val="multilevel"/>
    <w:tmpl w:val="C884E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946DF7"/>
    <w:multiLevelType w:val="multilevel"/>
    <w:tmpl w:val="C700D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6A4D7A"/>
    <w:multiLevelType w:val="multilevel"/>
    <w:tmpl w:val="418C0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D9F0540"/>
    <w:multiLevelType w:val="multilevel"/>
    <w:tmpl w:val="36885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E4F7AD9"/>
    <w:multiLevelType w:val="multilevel"/>
    <w:tmpl w:val="6764E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2ECC"/>
    <w:rsid w:val="001F0902"/>
    <w:rsid w:val="00267770"/>
    <w:rsid w:val="002C552A"/>
    <w:rsid w:val="003F0239"/>
    <w:rsid w:val="005811F2"/>
    <w:rsid w:val="009D0A5F"/>
    <w:rsid w:val="009E5BC6"/>
    <w:rsid w:val="00B01FD2"/>
    <w:rsid w:val="00B06DB5"/>
    <w:rsid w:val="00BC6EAC"/>
    <w:rsid w:val="00D52ECC"/>
    <w:rsid w:val="00E24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2ECC"/>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D52ECC"/>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D52ECC"/>
    <w:pPr>
      <w:keepNext/>
      <w:keepLines/>
      <w:outlineLvl w:val="1"/>
    </w:pPr>
    <w:rPr>
      <w:rFonts w:ascii="Calibri" w:eastAsia="Calibri" w:hAnsi="Calibri" w:cs="Calibri"/>
      <w:sz w:val="30"/>
      <w:szCs w:val="30"/>
    </w:rPr>
  </w:style>
  <w:style w:type="paragraph" w:styleId="Nadpis3">
    <w:name w:val="heading 3"/>
    <w:basedOn w:val="normal"/>
    <w:next w:val="normal"/>
    <w:link w:val="Nadpis3Char"/>
    <w:rsid w:val="00D52ECC"/>
    <w:pPr>
      <w:keepNext/>
      <w:keepLines/>
      <w:spacing w:before="40" w:after="0"/>
      <w:outlineLvl w:val="2"/>
    </w:pPr>
    <w:rPr>
      <w:rFonts w:ascii="Calibri" w:eastAsia="Calibri" w:hAnsi="Calibri" w:cs="Calibri"/>
      <w:color w:val="1F3863"/>
    </w:rPr>
  </w:style>
  <w:style w:type="paragraph" w:styleId="Nadpis4">
    <w:name w:val="heading 4"/>
    <w:basedOn w:val="normal"/>
    <w:next w:val="normal"/>
    <w:link w:val="Nadpis4Char"/>
    <w:rsid w:val="00D52ECC"/>
    <w:pPr>
      <w:keepNext/>
      <w:keepLines/>
      <w:spacing w:before="240" w:after="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52ECC"/>
    <w:rPr>
      <w:rFonts w:ascii="Calibri" w:eastAsia="Calibri" w:hAnsi="Calibri" w:cs="Calibri"/>
      <w:b/>
      <w:sz w:val="36"/>
      <w:szCs w:val="36"/>
    </w:rPr>
  </w:style>
  <w:style w:type="character" w:customStyle="1" w:styleId="Nadpis2Char">
    <w:name w:val="Nadpis 2 Char"/>
    <w:basedOn w:val="Standardnpsmoodstavce"/>
    <w:link w:val="Nadpis2"/>
    <w:rsid w:val="00D52ECC"/>
    <w:rPr>
      <w:rFonts w:ascii="Calibri" w:eastAsia="Calibri" w:hAnsi="Calibri" w:cs="Calibri"/>
      <w:sz w:val="30"/>
      <w:szCs w:val="30"/>
    </w:rPr>
  </w:style>
  <w:style w:type="character" w:customStyle="1" w:styleId="Nadpis3Char">
    <w:name w:val="Nadpis 3 Char"/>
    <w:basedOn w:val="Standardnpsmoodstavce"/>
    <w:link w:val="Nadpis3"/>
    <w:rsid w:val="00D52ECC"/>
    <w:rPr>
      <w:rFonts w:ascii="Calibri" w:eastAsia="Calibri" w:hAnsi="Calibri" w:cs="Calibri"/>
      <w:color w:val="1F3863"/>
      <w:sz w:val="24"/>
      <w:szCs w:val="24"/>
    </w:rPr>
  </w:style>
  <w:style w:type="character" w:customStyle="1" w:styleId="Nadpis4Char">
    <w:name w:val="Nadpis 4 Char"/>
    <w:basedOn w:val="Standardnpsmoodstavce"/>
    <w:link w:val="Nadpis4"/>
    <w:rsid w:val="00D52ECC"/>
    <w:rPr>
      <w:rFonts w:ascii="Times New Roman" w:eastAsia="Times New Roman" w:hAnsi="Times New Roman" w:cs="Times New Roman"/>
      <w:b/>
      <w:sz w:val="24"/>
      <w:szCs w:val="24"/>
    </w:rPr>
  </w:style>
  <w:style w:type="paragraph" w:customStyle="1" w:styleId="normal">
    <w:name w:val="normal"/>
    <w:rsid w:val="00D52ECC"/>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D52E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2EC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2860</Words>
  <Characters>16304</Characters>
  <Application>Microsoft Office Word</Application>
  <DocSecurity>0</DocSecurity>
  <Lines>135</Lines>
  <Paragraphs>38</Paragraphs>
  <ScaleCrop>false</ScaleCrop>
  <Company/>
  <LinksUpToDate>false</LinksUpToDate>
  <CharactersWithSpaces>19126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2025-07-28T01:22:00Z</dcterms:created>
  <dcterms:modified xsi:type="dcterms:W3CDTF">2025-07-30T02:01:00Z</dcterms:modified>
</cp:coreProperties>
</file>