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5F" w:rsidRPr="002A600B" w:rsidRDefault="0008375F" w:rsidP="0008375F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bookmarkStart w:id="0" w:name="_heading=h.13w2hmv3jvb4" w:colFirst="0" w:colLast="0"/>
      <w:bookmarkEnd w:id="0"/>
    </w:p>
    <w:p w:rsidR="0008375F" w:rsidRPr="002A600B" w:rsidRDefault="0008375F" w:rsidP="0008375F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</w:p>
    <w:p w:rsidR="0008375F" w:rsidRPr="002A600B" w:rsidRDefault="0008375F" w:rsidP="0008375F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</w:p>
    <w:p w:rsidR="0008375F" w:rsidRPr="002A600B" w:rsidRDefault="0008375F" w:rsidP="0008375F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</w:p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  <w:r w:rsidRPr="002A600B">
        <w:rPr>
          <w:rFonts w:ascii="Athiti" w:eastAsia="Athiti" w:hAnsi="Athiti" w:cs="Athiti"/>
          <w:b/>
          <w:sz w:val="48"/>
          <w:szCs w:val="48"/>
          <w:lang w:val="cs-CZ"/>
        </w:rPr>
        <w:t>Plán Kontinuity Podnikání</w:t>
      </w:r>
      <w:r w:rsidRPr="002A600B">
        <w:rPr>
          <w:rFonts w:ascii="Athiti" w:eastAsia="Athiti" w:hAnsi="Athiti" w:cs="Athiti"/>
          <w:color w:val="129887"/>
          <w:lang w:val="cs-CZ"/>
        </w:rPr>
        <w:t xml:space="preserve"> </w:t>
      </w:r>
    </w:p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</w:p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</w:p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</w:p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</w:p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</w:p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</w:p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</w:p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</w:p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</w:p>
    <w:p w:rsidR="0008375F" w:rsidRPr="002A600B" w:rsidRDefault="0008375F" w:rsidP="0008375F">
      <w:pPr>
        <w:pStyle w:val="normal"/>
        <w:jc w:val="left"/>
        <w:rPr>
          <w:rFonts w:ascii="Athiti" w:eastAsia="Athiti" w:hAnsi="Athiti" w:cs="Athiti"/>
          <w:color w:val="129887"/>
          <w:lang w:val="cs-CZ"/>
        </w:rPr>
      </w:pPr>
    </w:p>
    <w:p w:rsidR="0008375F" w:rsidRPr="002A600B" w:rsidRDefault="0008375F" w:rsidP="0008375F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b/>
          <w:sz w:val="22"/>
          <w:szCs w:val="22"/>
          <w:lang w:val="cs-CZ"/>
        </w:rPr>
      </w:pPr>
    </w:p>
    <w:tbl>
      <w:tblPr>
        <w:tblW w:w="5895" w:type="dxa"/>
        <w:tblInd w:w="3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9"/>
        <w:gridCol w:w="2746"/>
      </w:tblGrid>
      <w:tr w:rsidR="0008375F" w:rsidRPr="002A600B" w:rsidTr="00111827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08375F" w:rsidRPr="002A600B" w:rsidRDefault="0008375F" w:rsidP="00111827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Verze:</w:t>
            </w:r>
          </w:p>
        </w:tc>
        <w:tc>
          <w:tcPr>
            <w:tcW w:w="2746" w:type="dxa"/>
          </w:tcPr>
          <w:p w:rsidR="0008375F" w:rsidRPr="002A600B" w:rsidRDefault="0008375F" w:rsidP="00111827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sz w:val="20"/>
                <w:szCs w:val="20"/>
                <w:lang w:val="cs-CZ"/>
              </w:rPr>
              <w:t>1.0</w:t>
            </w:r>
          </w:p>
        </w:tc>
      </w:tr>
      <w:tr w:rsidR="0008375F" w:rsidRPr="002A600B" w:rsidTr="00111827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08375F" w:rsidRPr="002A600B" w:rsidRDefault="0008375F" w:rsidP="00111827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dne:</w:t>
            </w:r>
          </w:p>
        </w:tc>
        <w:tc>
          <w:tcPr>
            <w:tcW w:w="2746" w:type="dxa"/>
          </w:tcPr>
          <w:p w:rsidR="0008375F" w:rsidRPr="002A600B" w:rsidRDefault="00C07DF2" w:rsidP="00111827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  <w:tr w:rsidR="0008375F" w:rsidRPr="002A600B" w:rsidTr="00111827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08375F" w:rsidRPr="002A600B" w:rsidRDefault="0008375F" w:rsidP="00111827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oddělením:</w:t>
            </w:r>
          </w:p>
        </w:tc>
        <w:tc>
          <w:tcPr>
            <w:tcW w:w="2746" w:type="dxa"/>
          </w:tcPr>
          <w:p w:rsidR="0008375F" w:rsidRPr="002A600B" w:rsidRDefault="0008375F" w:rsidP="00111827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sz w:val="20"/>
                <w:szCs w:val="20"/>
                <w:lang w:val="cs-CZ"/>
              </w:rPr>
              <w:t>Compliance</w:t>
            </w:r>
          </w:p>
        </w:tc>
      </w:tr>
      <w:tr w:rsidR="0008375F" w:rsidRPr="002A600B" w:rsidTr="00111827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08375F" w:rsidRPr="002A600B" w:rsidRDefault="0008375F" w:rsidP="00111827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Naposledy aktualizováno:</w:t>
            </w:r>
          </w:p>
        </w:tc>
        <w:tc>
          <w:tcPr>
            <w:tcW w:w="2746" w:type="dxa"/>
          </w:tcPr>
          <w:p w:rsidR="0008375F" w:rsidRPr="002A600B" w:rsidRDefault="00C07DF2" w:rsidP="00111827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</w:tbl>
    <w:p w:rsidR="0008375F" w:rsidRPr="002A600B" w:rsidRDefault="0008375F" w:rsidP="0008375F">
      <w:pPr>
        <w:pStyle w:val="normal"/>
        <w:jc w:val="center"/>
        <w:rPr>
          <w:rFonts w:ascii="Athiti" w:eastAsia="Athiti" w:hAnsi="Athiti" w:cs="Athiti"/>
          <w:color w:val="129887"/>
          <w:lang w:val="cs-CZ"/>
        </w:rPr>
      </w:pPr>
      <w:r w:rsidRPr="002A600B">
        <w:rPr>
          <w:lang w:val="cs-CZ"/>
        </w:rPr>
        <w:br w:type="page"/>
      </w:r>
    </w:p>
    <w:p w:rsidR="0008375F" w:rsidRPr="002A600B" w:rsidRDefault="0008375F" w:rsidP="0008375F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jc w:val="left"/>
        <w:rPr>
          <w:rFonts w:ascii="Athiti" w:eastAsia="Athiti" w:hAnsi="Athiti" w:cs="Athiti"/>
          <w:b/>
          <w:sz w:val="36"/>
          <w:szCs w:val="36"/>
          <w:lang w:val="cs-CZ"/>
        </w:rPr>
      </w:pPr>
      <w:r w:rsidRPr="002A600B">
        <w:rPr>
          <w:rFonts w:ascii="Athiti" w:eastAsia="Athiti" w:hAnsi="Athiti" w:cs="Athiti"/>
          <w:b/>
          <w:sz w:val="36"/>
          <w:szCs w:val="36"/>
          <w:lang w:val="cs-CZ"/>
        </w:rPr>
        <w:lastRenderedPageBreak/>
        <w:t>Obsah</w:t>
      </w:r>
    </w:p>
    <w:sdt>
      <w:sdtPr>
        <w:rPr>
          <w:lang w:val="cs-CZ"/>
        </w:rPr>
        <w:id w:val="143990098"/>
        <w:docPartObj>
          <w:docPartGallery w:val="Table of Contents"/>
          <w:docPartUnique/>
        </w:docPartObj>
      </w:sdtPr>
      <w:sdtContent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r w:rsidRPr="002A600B">
            <w:rPr>
              <w:lang w:val="cs-CZ"/>
            </w:rPr>
            <w:fldChar w:fldCharType="begin"/>
          </w:r>
          <w:r w:rsidR="0008375F" w:rsidRPr="002A600B">
            <w:rPr>
              <w:lang w:val="cs-CZ"/>
            </w:rPr>
            <w:instrText xml:space="preserve"> TOC \h \u \z \t "Heading 1,1,Heading 2,2,Heading 3,3,"</w:instrText>
          </w:r>
          <w:r w:rsidRPr="002A600B">
            <w:rPr>
              <w:lang w:val="cs-CZ"/>
            </w:rPr>
            <w:fldChar w:fldCharType="separate"/>
          </w:r>
          <w:hyperlink w:anchor="_heading=h.3qurtyas1k2s"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1 Úvod</w:t>
            </w:r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3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umzogxs9vwjj"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2 Obecná prohlášení</w:t>
            </w:r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tbb9onhvnzk6"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2.1 Rozsah působnosti</w:t>
            </w:r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ar5grohanlhs"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2.2 Cíle plánu</w:t>
            </w:r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h5pe7wk9rgv3"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2.3 Přezkum plánu</w:t>
            </w:r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idcmk1mzit2r"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2.4 Komunikace plánu</w:t>
            </w:r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6wy057lk23t"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3 Role a odpovědnosti</w:t>
            </w:r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5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ckjxh19vwcr0"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4 Aktivace plánu</w:t>
            </w:r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6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wvfrrb83o09m"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5 Komunikace</w:t>
            </w:r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7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ydqz61su1nrz"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6 Analýza dopadu na podnikání</w:t>
            </w:r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8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biku7i3osexn"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7 Plány kontinuity podnikání</w:t>
            </w:r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9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nx9fcsskanw5"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8 Kontakty</w:t>
            </w:r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10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hyperlink w:anchor="_heading=h.es2d34qrl8fr"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Příloha A</w:t>
            </w:r>
            <w:r w:rsidR="0008375F" w:rsidRPr="002A600B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11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auqcykbathzw"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P1 – Vedoucí vypořádání nemůže zpracovávat požadavky na vypořádání (počítač nebo osoba není schopna provést operaci).</w:t>
            </w:r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11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iaftycrjojfx"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P2 – Primární poskytovatel cloudových služeb je mimo provoz.</w:t>
            </w:r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11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jxthez4rzwbk"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P3 – Místo správce úložiště je mimo provoz.</w:t>
            </w:r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12</w:t>
            </w:r>
          </w:hyperlink>
        </w:p>
        <w:p w:rsidR="0008375F" w:rsidRPr="002A600B" w:rsidRDefault="0030672F" w:rsidP="0008375F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uk33gkanhq1b"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P4 – Obchodní engine je mimo provoz:</w:t>
            </w:r>
            <w:r w:rsidR="0008375F" w:rsidRPr="002A600B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12</w:t>
            </w:r>
          </w:hyperlink>
          <w:r w:rsidRPr="002A600B">
            <w:rPr>
              <w:lang w:val="cs-CZ"/>
            </w:rPr>
            <w:fldChar w:fldCharType="end"/>
          </w:r>
        </w:p>
      </w:sdtContent>
    </w:sdt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546A"/>
          <w:sz w:val="32"/>
          <w:szCs w:val="32"/>
          <w:lang w:val="cs-CZ"/>
        </w:rPr>
      </w:pPr>
      <w:r w:rsidRPr="002A600B">
        <w:rPr>
          <w:lang w:val="cs-CZ"/>
        </w:rPr>
        <w:br w:type="page"/>
      </w:r>
    </w:p>
    <w:p w:rsidR="0008375F" w:rsidRPr="002A600B" w:rsidRDefault="0008375F" w:rsidP="0008375F">
      <w:pPr>
        <w:pStyle w:val="Nadpis1"/>
        <w:rPr>
          <w:rFonts w:ascii="Athiti" w:eastAsia="Athiti" w:hAnsi="Athiti" w:cs="Athiti"/>
          <w:b w:val="0"/>
          <w:lang w:val="cs-CZ"/>
        </w:rPr>
      </w:pPr>
      <w:bookmarkStart w:id="1" w:name="_heading=h.3qurtyas1k2s" w:colFirst="0" w:colLast="0"/>
      <w:bookmarkEnd w:id="1"/>
      <w:r w:rsidRPr="002A600B">
        <w:rPr>
          <w:rFonts w:ascii="Athiti" w:eastAsia="Athiti" w:hAnsi="Athiti" w:cs="Athiti"/>
          <w:lang w:val="cs-CZ"/>
        </w:rPr>
        <w:lastRenderedPageBreak/>
        <w:t>1 Úvod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Účelem tohoto Plánu Kontinuity Podnikání (BCP) je poskytnout komplexní rámec pro budování odolnosti společnosti a zajištění schopnosti reagovat na mimořádné situace, které mohou mít zásadní dopad na provoz společnosti. Plán definuje klíčové principy, odpovědnosti, procesy a nástroje potřebné k minimalizaci následků krizových událostí a umožnění co nejrychlejší obnovy provozu na přijatelnou úroveň.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Kontinuita podnikání je klíčovým prvkem dlouhodobé stability společnosti a její schopnosti plnit své závazky vůči klientům, obchodním partnerům, zaměstnancům a regulatorním orgánům, a to i v podmínkách nepředvídaných krizových situací. Tento plán je navržen tak, aby pokryl široké spektrum možných scénářů, včetně, ale nejen:</w:t>
      </w:r>
    </w:p>
    <w:p w:rsidR="0008375F" w:rsidRPr="002A600B" w:rsidRDefault="0008375F" w:rsidP="0008375F">
      <w:pPr>
        <w:pStyle w:val="normal"/>
        <w:numPr>
          <w:ilvl w:val="0"/>
          <w:numId w:val="9"/>
        </w:numPr>
        <w:spacing w:before="240"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Kybernetických útoků a narušení IT infrastruktury,</w:t>
      </w:r>
    </w:p>
    <w:p w:rsidR="0008375F" w:rsidRPr="002A600B" w:rsidRDefault="0008375F" w:rsidP="0008375F">
      <w:pPr>
        <w:pStyle w:val="normal"/>
        <w:numPr>
          <w:ilvl w:val="0"/>
          <w:numId w:val="9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Výpadků klíčových dodavatelů a technologických služeb,</w:t>
      </w:r>
    </w:p>
    <w:p w:rsidR="0008375F" w:rsidRPr="002A600B" w:rsidRDefault="0008375F" w:rsidP="0008375F">
      <w:pPr>
        <w:pStyle w:val="normal"/>
        <w:numPr>
          <w:ilvl w:val="0"/>
          <w:numId w:val="9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Přírodních katastrof (např. požár, povodeň, zemětřesení),</w:t>
      </w:r>
    </w:p>
    <w:p w:rsidR="0008375F" w:rsidRPr="002A600B" w:rsidRDefault="0008375F" w:rsidP="0008375F">
      <w:pPr>
        <w:pStyle w:val="normal"/>
        <w:numPr>
          <w:ilvl w:val="0"/>
          <w:numId w:val="9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Pandemií a zdravotních krizí,</w:t>
      </w:r>
    </w:p>
    <w:p w:rsidR="0008375F" w:rsidRPr="002A600B" w:rsidRDefault="0008375F" w:rsidP="0008375F">
      <w:pPr>
        <w:pStyle w:val="normal"/>
        <w:numPr>
          <w:ilvl w:val="0"/>
          <w:numId w:val="9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Právních/regulatorních incidentů (např. zamrazení aktiv, regulatorní zásahy),</w:t>
      </w:r>
    </w:p>
    <w:p w:rsidR="0008375F" w:rsidRPr="002A600B" w:rsidRDefault="0008375F" w:rsidP="0008375F">
      <w:pPr>
        <w:pStyle w:val="normal"/>
        <w:numPr>
          <w:ilvl w:val="0"/>
          <w:numId w:val="9"/>
        </w:numPr>
        <w:spacing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Výpadků personálních kapacit (např. dlouhodobá absence klíčového týmu).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Postupy uvedené v tomto dokumentu slouží jako vodítko pro organizaci a realizaci reakce na narušující události. Dokument není statickým souborem instrukcí, ale spíše živým nástrojem, který by měl být pravidelně přehodnocován, aktualizován a přizpůsobován měnícím se podmínkám podnikatelského prostředí a regulatorním požadavkům.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Je důležité si uvědomit, že přesná povaha každé narušující události a její dopad na společnost nelze s absolutní jistotou předvídat. Proto je při rozhodování o konkrétních opatřeních nezbytné používat zdravý rozum, pružně vyhodnocovat aktuální situaci a zohledňovat všechny dostupné informace.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Plán kontinuity podnikání je určen nejen pro vedení společnosti, ale i pro klíčové zaměstnance a externí partnery, kteří hrají zásadní roli v zajištění provozu společnosti. Všichni zúčastnění musí být s tímto plánem seznámeni a chápat svou úlohu v rámci reakce na krizové situace.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Cílem tohoto dokumentu není eliminovat všechna rizika, ale minimalizovat jejich dopad na podnikání společnosti, zajistit rychlou obnovu provozu a ochránit důvěru klientů, partnerů i regulatorních orgánů.</w:t>
      </w:r>
    </w:p>
    <w:p w:rsidR="0008375F" w:rsidRPr="002A600B" w:rsidRDefault="0008375F" w:rsidP="0008375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thiti" w:eastAsia="Athiti" w:hAnsi="Athiti" w:cs="Athiti"/>
          <w:b/>
          <w:color w:val="44546A"/>
          <w:sz w:val="32"/>
          <w:szCs w:val="32"/>
          <w:lang w:val="cs-CZ"/>
        </w:rPr>
      </w:pPr>
      <w:r w:rsidRPr="002A600B">
        <w:rPr>
          <w:lang w:val="cs-CZ"/>
        </w:rPr>
        <w:br w:type="page"/>
      </w:r>
    </w:p>
    <w:p w:rsidR="0008375F" w:rsidRPr="002A600B" w:rsidRDefault="0008375F" w:rsidP="0008375F">
      <w:pPr>
        <w:pStyle w:val="Nadpis1"/>
        <w:rPr>
          <w:rFonts w:ascii="Athiti" w:eastAsia="Athiti" w:hAnsi="Athiti" w:cs="Athiti"/>
          <w:lang w:val="cs-CZ"/>
        </w:rPr>
      </w:pPr>
      <w:bookmarkStart w:id="2" w:name="_heading=h.umzogxs9vwjj" w:colFirst="0" w:colLast="0"/>
      <w:bookmarkEnd w:id="2"/>
      <w:r w:rsidRPr="002A600B">
        <w:rPr>
          <w:rFonts w:ascii="Athiti" w:eastAsia="Athiti" w:hAnsi="Athiti" w:cs="Athiti"/>
          <w:lang w:val="cs-CZ"/>
        </w:rPr>
        <w:lastRenderedPageBreak/>
        <w:t>2 Obecná prohlášení</w:t>
      </w:r>
    </w:p>
    <w:p w:rsidR="0008375F" w:rsidRPr="002A600B" w:rsidRDefault="0008375F" w:rsidP="0008375F">
      <w:pPr>
        <w:pStyle w:val="Nadpis2"/>
        <w:rPr>
          <w:rFonts w:ascii="Athiti" w:eastAsia="Athiti" w:hAnsi="Athiti" w:cs="Athiti"/>
          <w:color w:val="000000"/>
          <w:lang w:val="cs-CZ"/>
        </w:rPr>
      </w:pPr>
      <w:bookmarkStart w:id="3" w:name="_heading=h.tbb9onhvnzk6" w:colFirst="0" w:colLast="0"/>
      <w:bookmarkEnd w:id="3"/>
      <w:r w:rsidRPr="002A600B">
        <w:rPr>
          <w:rFonts w:ascii="Athiti" w:eastAsia="Athiti" w:hAnsi="Athiti" w:cs="Athiti"/>
          <w:lang w:val="cs-CZ"/>
        </w:rPr>
        <w:t>2.1 Rozsah působnosti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Tento dokument se vztahuje na všechny systémy, osoby a procesy, které tvoří informační systémy společnosti. Zahrnuje zejména:</w:t>
      </w:r>
    </w:p>
    <w:p w:rsidR="0008375F" w:rsidRPr="002A600B" w:rsidRDefault="0008375F" w:rsidP="0008375F">
      <w:pPr>
        <w:pStyle w:val="normal"/>
        <w:numPr>
          <w:ilvl w:val="0"/>
          <w:numId w:val="10"/>
        </w:numPr>
        <w:spacing w:before="240"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Členy představenstva, vedoucí pracovníky a management společnosti.</w:t>
      </w:r>
    </w:p>
    <w:p w:rsidR="0008375F" w:rsidRPr="002A600B" w:rsidRDefault="0008375F" w:rsidP="0008375F">
      <w:pPr>
        <w:pStyle w:val="normal"/>
        <w:numPr>
          <w:ilvl w:val="0"/>
          <w:numId w:val="10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Zaměstnance na všech úrovních, kteří přistupují k informačním systémům a datům společnosti.</w:t>
      </w:r>
    </w:p>
    <w:p w:rsidR="0008375F" w:rsidRPr="002A600B" w:rsidRDefault="0008375F" w:rsidP="0008375F">
      <w:pPr>
        <w:pStyle w:val="normal"/>
        <w:numPr>
          <w:ilvl w:val="0"/>
          <w:numId w:val="10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Dodavatele a smluvní pracovníky, kteří poskytují služby nebo mají přístup k systémům společnosti.</w:t>
      </w:r>
    </w:p>
    <w:p w:rsidR="0008375F" w:rsidRPr="002A600B" w:rsidRDefault="0008375F" w:rsidP="0008375F">
      <w:pPr>
        <w:pStyle w:val="normal"/>
        <w:numPr>
          <w:ilvl w:val="0"/>
          <w:numId w:val="10"/>
        </w:numPr>
        <w:spacing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Ostatní třetí strany, například externí IT partnery, poskytovatele cloudových služeb a poradenské společnosti, pokud jim byl udělen přístup k systémům společnosti.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Tento plán se vztahuje na všechny klíčové procesy a systémy nezbytné pro provoz společnosti, včetně infrastruktury, aplikací, dat, fyzických a digitálních aktiv, provozních a administrativních procesů.</w:t>
      </w:r>
    </w:p>
    <w:p w:rsidR="0008375F" w:rsidRPr="002A600B" w:rsidRDefault="0008375F" w:rsidP="0008375F">
      <w:pPr>
        <w:pStyle w:val="Nadpis2"/>
        <w:spacing w:before="240" w:after="240" w:line="240" w:lineRule="auto"/>
        <w:jc w:val="left"/>
        <w:rPr>
          <w:rFonts w:ascii="Athiti" w:eastAsia="Athiti" w:hAnsi="Athiti" w:cs="Athiti"/>
          <w:lang w:val="cs-CZ"/>
        </w:rPr>
      </w:pPr>
      <w:bookmarkStart w:id="4" w:name="_heading=h.ar5grohanlhs" w:colFirst="0" w:colLast="0"/>
      <w:bookmarkEnd w:id="4"/>
      <w:r w:rsidRPr="002A600B">
        <w:rPr>
          <w:rFonts w:ascii="Athiti" w:eastAsia="Athiti" w:hAnsi="Athiti" w:cs="Athiti"/>
          <w:lang w:val="cs-CZ"/>
        </w:rPr>
        <w:t>2.2 Cíle plánu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Cíle tohoto Plánu Kontinuity Podnikání jsou:</w:t>
      </w:r>
    </w:p>
    <w:p w:rsidR="0008375F" w:rsidRPr="002A600B" w:rsidRDefault="0008375F" w:rsidP="0008375F">
      <w:pPr>
        <w:pStyle w:val="normal"/>
        <w:numPr>
          <w:ilvl w:val="0"/>
          <w:numId w:val="8"/>
        </w:numPr>
        <w:spacing w:after="24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Obnovit systémy v rámci přijatelných cílů doby obnovy (RTO): Každý kritický systém má definovaný maximální čas, během kterého musí být obnoven, aby nedošlo k ohrožení činnosti společnosti. Tento plán stanovuje postupy, jak toho dosáhnout.</w:t>
      </w:r>
    </w:p>
    <w:p w:rsidR="0008375F" w:rsidRPr="002A600B" w:rsidRDefault="0008375F" w:rsidP="0008375F">
      <w:pPr>
        <w:pStyle w:val="normal"/>
        <w:numPr>
          <w:ilvl w:val="0"/>
          <w:numId w:val="8"/>
        </w:numPr>
        <w:spacing w:after="24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Zajistit omezené pokračování provozu: I v případě rozsáhlé narušující události je cílem zajistit alespoň základní úroveň provozu (např. komunikaci s klienty, vypořádání transakcí), dokud nebudou obnoveny klíčové systémy.</w:t>
      </w:r>
    </w:p>
    <w:p w:rsidR="0008375F" w:rsidRPr="002A600B" w:rsidRDefault="0008375F" w:rsidP="0008375F">
      <w:pPr>
        <w:pStyle w:val="normal"/>
        <w:numPr>
          <w:ilvl w:val="0"/>
          <w:numId w:val="8"/>
        </w:numPr>
        <w:spacing w:after="24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Poskytnout podrobný popis reakčních kroků: Plán obsahuje jasně definované scénáře, role a odpovědnosti pro jednotlivé typy narušení – například kybernetický útok, selhání infrastruktury, nedostupnost klíčového dodavatele nebo výpadek elektrické energie.</w:t>
      </w:r>
    </w:p>
    <w:p w:rsidR="0008375F" w:rsidRPr="002A600B" w:rsidRDefault="0008375F" w:rsidP="0008375F">
      <w:pPr>
        <w:pStyle w:val="normal"/>
        <w:numPr>
          <w:ilvl w:val="0"/>
          <w:numId w:val="8"/>
        </w:numPr>
        <w:spacing w:after="24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Zachovat bezpečnostní opatření na ochranu informací s klasifikací: I v krizových situacích musí být dodržena pravidla pro práci s citlivými daty – např. šifrování, omezení přístupových práv a zásady pro sdílení informací.</w:t>
      </w:r>
    </w:p>
    <w:p w:rsidR="0008375F" w:rsidRPr="002A600B" w:rsidRDefault="0008375F" w:rsidP="0008375F">
      <w:pPr>
        <w:pStyle w:val="normal"/>
        <w:numPr>
          <w:ilvl w:val="0"/>
          <w:numId w:val="8"/>
        </w:numPr>
        <w:spacing w:after="24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Definovat proces rozhodování: Plán stanovuje, kdo má pravomoc rozhodovat o konkrétních opatřeních během krizové situace, jak budou rozhodnutí dokumentována a jak bude zajištěna jejich rychlá implementace.</w:t>
      </w:r>
    </w:p>
    <w:p w:rsidR="0008375F" w:rsidRPr="002A600B" w:rsidRDefault="0008375F" w:rsidP="0008375F">
      <w:pPr>
        <w:pStyle w:val="normal"/>
        <w:numPr>
          <w:ilvl w:val="0"/>
          <w:numId w:val="8"/>
        </w:numPr>
        <w:spacing w:after="24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Vysvětlit komunikaci uvnitř a navenek: Plán obsahuje pokyny pro vnitrofiremní komunikaci (např. krizový tým, zaměstnanci) a komunikaci s externími partnery, klienty, dodavateli a regulačními orgány.</w:t>
      </w:r>
    </w:p>
    <w:p w:rsidR="0008375F" w:rsidRPr="002A600B" w:rsidRDefault="0008375F" w:rsidP="0008375F">
      <w:pPr>
        <w:pStyle w:val="Nadpis2"/>
        <w:spacing w:before="240" w:after="240" w:line="240" w:lineRule="auto"/>
        <w:jc w:val="left"/>
        <w:rPr>
          <w:rFonts w:ascii="Athiti" w:eastAsia="Athiti" w:hAnsi="Athiti" w:cs="Athiti"/>
          <w:lang w:val="cs-CZ"/>
        </w:rPr>
      </w:pPr>
      <w:bookmarkStart w:id="5" w:name="_heading=h.h5pe7wk9rgv3" w:colFirst="0" w:colLast="0"/>
      <w:bookmarkEnd w:id="5"/>
      <w:r w:rsidRPr="002A600B">
        <w:rPr>
          <w:rFonts w:ascii="Athiti" w:eastAsia="Athiti" w:hAnsi="Athiti" w:cs="Athiti"/>
          <w:lang w:val="cs-CZ"/>
        </w:rPr>
        <w:lastRenderedPageBreak/>
        <w:t>2.3 Přezkum plánu</w:t>
      </w:r>
    </w:p>
    <w:p w:rsidR="0008375F" w:rsidRPr="002A600B" w:rsidRDefault="0008375F" w:rsidP="0008375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Vlastníkem tohoto dokumentu je Chief Information Security Officer (CISO), který zodpovídá za jeho aktuálnost a praktickou použitelnost.</w:t>
      </w:r>
    </w:p>
    <w:p w:rsidR="0008375F" w:rsidRPr="002A600B" w:rsidRDefault="0008375F" w:rsidP="000837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Plán musí být formálně přezkoumán a aktualizován minimálně jednou ročně.</w:t>
      </w:r>
    </w:p>
    <w:p w:rsidR="0008375F" w:rsidRPr="002A600B" w:rsidRDefault="0008375F" w:rsidP="000837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Přezkum by měl zahrnovat zhodnocení aktuálnosti kontaktních údajů, popisů systémů, odpovědností, kritických procesů a aktuálních rizik.</w:t>
      </w:r>
    </w:p>
    <w:p w:rsidR="0008375F" w:rsidRPr="002A600B" w:rsidRDefault="0008375F" w:rsidP="000837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V případě významných změn v infrastruktuře, změn v regulatorních požadavcích, incidentů nebo testování BCP, které odhalí nedostatky, musí být plán bezodkladně revidován.</w:t>
      </w:r>
    </w:p>
    <w:p w:rsidR="0008375F" w:rsidRPr="002A600B" w:rsidRDefault="0008375F" w:rsidP="000837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Každá změna dokumentu musí být zaznamenána v části Historie revizí, která uvádí datum, stručný popis změny a jméno osoby, která změnu provedla.</w:t>
      </w:r>
    </w:p>
    <w:p w:rsidR="0008375F" w:rsidRPr="002A600B" w:rsidRDefault="0008375F" w:rsidP="0008375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Aktualizovaný plán musí být schválen Výborem pro informační bezpečnost a následně potvrzen vrcholovým vedením společnosti.</w:t>
      </w:r>
    </w:p>
    <w:p w:rsidR="0008375F" w:rsidRPr="002A600B" w:rsidRDefault="0008375F" w:rsidP="0008375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thiti" w:eastAsia="Athiti" w:hAnsi="Athiti" w:cs="Athiti"/>
          <w:color w:val="444444"/>
          <w:lang w:val="cs-CZ"/>
        </w:rPr>
      </w:pPr>
    </w:p>
    <w:p w:rsidR="0008375F" w:rsidRPr="002A600B" w:rsidRDefault="0008375F" w:rsidP="0008375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thiti" w:eastAsia="Athiti" w:hAnsi="Athiti" w:cs="Athiti"/>
          <w:color w:val="444444"/>
          <w:lang w:val="cs-CZ"/>
        </w:rPr>
      </w:pPr>
    </w:p>
    <w:p w:rsidR="0008375F" w:rsidRPr="002A600B" w:rsidRDefault="0008375F" w:rsidP="0008375F">
      <w:pPr>
        <w:pStyle w:val="Nadpis2"/>
        <w:spacing w:before="240" w:after="240" w:line="240" w:lineRule="auto"/>
        <w:jc w:val="left"/>
        <w:rPr>
          <w:rFonts w:ascii="Athiti" w:eastAsia="Athiti" w:hAnsi="Athiti" w:cs="Athiti"/>
          <w:color w:val="444444"/>
          <w:lang w:val="cs-CZ"/>
        </w:rPr>
      </w:pPr>
      <w:bookmarkStart w:id="6" w:name="_heading=h.idcmk1mzit2r" w:colFirst="0" w:colLast="0"/>
      <w:bookmarkEnd w:id="6"/>
      <w:r w:rsidRPr="002A600B">
        <w:rPr>
          <w:rFonts w:ascii="Athiti" w:eastAsia="Athiti" w:hAnsi="Athiti" w:cs="Athiti"/>
          <w:lang w:val="cs-CZ"/>
        </w:rPr>
        <w:t>2.4 Komunikace plánu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Nejnovější, schválená verze dokumentu bude interně dostupná všem zaměstnancům a dodavatelům, kteří se podílejí na zajištění kontinuity podnikání. Dokument bude umístěn na zabezpečeném sdíleném úložišti přístupném pouze oprávněným osobám.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O vydání aktualizované verze plánu budou všichni relevantní zaměstnanci a dodavatelé informováni prostřednictvím interních komunikačních kanálů (e-mail, intranet) a formou povinného školení o povědomí o bezpečnosti.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Každý zaměstnanec je povinen se s plánem seznámit, dodržovat jeho zásady a neprodleně hlásit jakékoli podezření na incident nebo narušení, které by mohlo ovlivnit kontinuitu podnikání.</w:t>
      </w: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</w:p>
    <w:p w:rsidR="0008375F" w:rsidRPr="002A600B" w:rsidRDefault="0008375F" w:rsidP="0008375F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 xml:space="preserve"> </w:t>
      </w:r>
    </w:p>
    <w:p w:rsidR="0008375F" w:rsidRPr="002A600B" w:rsidRDefault="0008375F" w:rsidP="0008375F">
      <w:pPr>
        <w:pStyle w:val="Nadpis1"/>
        <w:rPr>
          <w:rFonts w:ascii="Athiti" w:eastAsia="Athiti" w:hAnsi="Athiti" w:cs="Athiti"/>
          <w:lang w:val="cs-CZ"/>
        </w:rPr>
      </w:pPr>
      <w:bookmarkStart w:id="7" w:name="_heading=h.3t5gowuf9eec" w:colFirst="0" w:colLast="0"/>
      <w:bookmarkEnd w:id="7"/>
      <w:r w:rsidRPr="002A600B">
        <w:rPr>
          <w:lang w:val="cs-CZ"/>
        </w:rPr>
        <w:br w:type="page"/>
      </w:r>
    </w:p>
    <w:p w:rsidR="0008375F" w:rsidRPr="002A600B" w:rsidRDefault="0008375F" w:rsidP="0008375F">
      <w:pPr>
        <w:pStyle w:val="Nadpis1"/>
        <w:rPr>
          <w:rFonts w:ascii="Athiti" w:eastAsia="Athiti" w:hAnsi="Athiti" w:cs="Athiti"/>
          <w:lang w:val="cs-CZ"/>
        </w:rPr>
      </w:pPr>
      <w:bookmarkStart w:id="8" w:name="_heading=h.6wy057lk23t" w:colFirst="0" w:colLast="0"/>
      <w:bookmarkEnd w:id="8"/>
      <w:r w:rsidRPr="002A600B">
        <w:rPr>
          <w:rFonts w:ascii="Athiti" w:eastAsia="Athiti" w:hAnsi="Athiti" w:cs="Athiti"/>
          <w:lang w:val="cs-CZ"/>
        </w:rPr>
        <w:lastRenderedPageBreak/>
        <w:t>3 Role a odpovědnosti</w:t>
      </w: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Odpovědnosti rolí v rámci týmu pro reakci na incidenty jsou následující:</w:t>
      </w:r>
    </w:p>
    <w:tbl>
      <w:tblPr>
        <w:tblW w:w="963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2490"/>
        <w:gridCol w:w="7140"/>
      </w:tblGrid>
      <w:tr w:rsidR="0008375F" w:rsidRPr="002A600B" w:rsidTr="00111827">
        <w:trPr>
          <w:cantSplit/>
          <w:trHeight w:val="648"/>
          <w:tblHeader/>
        </w:trPr>
        <w:tc>
          <w:tcPr>
            <w:tcW w:w="2490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ROLE/OBCHODNÍ OBLAST</w:t>
            </w:r>
          </w:p>
        </w:tc>
        <w:tc>
          <w:tcPr>
            <w:tcW w:w="7140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SHRNUTÍ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249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color w:val="444444"/>
                <w:lang w:val="cs-CZ"/>
              </w:rPr>
              <w:t>Krizový Řídicí Tým</w:t>
            </w:r>
          </w:p>
        </w:tc>
        <w:tc>
          <w:tcPr>
            <w:tcW w:w="7140" w:type="dxa"/>
            <w:vAlign w:val="center"/>
          </w:tcPr>
          <w:p w:rsidR="0008375F" w:rsidRPr="002A600B" w:rsidRDefault="0008375F" w:rsidP="0008375F">
            <w:pPr>
              <w:pStyle w:val="normal"/>
              <w:numPr>
                <w:ilvl w:val="0"/>
                <w:numId w:val="11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Provozní zavedení a údržba Plánu Kontinuity Podnikání</w:t>
            </w:r>
          </w:p>
          <w:p w:rsidR="0008375F" w:rsidRPr="002A600B" w:rsidRDefault="0008375F" w:rsidP="0008375F">
            <w:pPr>
              <w:pStyle w:val="normal"/>
              <w:numPr>
                <w:ilvl w:val="0"/>
                <w:numId w:val="11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Řízení zavedení ručních obchodních postupů až do obnovení požadovaných systémů</w:t>
            </w:r>
          </w:p>
          <w:p w:rsidR="0008375F" w:rsidRPr="002A600B" w:rsidRDefault="0008375F" w:rsidP="0008375F">
            <w:pPr>
              <w:pStyle w:val="normal"/>
              <w:numPr>
                <w:ilvl w:val="0"/>
                <w:numId w:val="11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Obnova serverů, operačních systémů, sítí a dalších komponent, na nichž jsou aplikace založeny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249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color w:val="444444"/>
                <w:lang w:val="cs-CZ"/>
              </w:rPr>
              <w:t>Krizový Manažer</w:t>
            </w:r>
          </w:p>
        </w:tc>
        <w:tc>
          <w:tcPr>
            <w:tcW w:w="7140" w:type="dxa"/>
          </w:tcPr>
          <w:p w:rsidR="0008375F" w:rsidRPr="002A600B" w:rsidRDefault="0008375F" w:rsidP="0008375F">
            <w:pPr>
              <w:pStyle w:val="normal"/>
              <w:numPr>
                <w:ilvl w:val="0"/>
                <w:numId w:val="12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Celkové řízení Krizového Řídicího Týmu</w:t>
            </w:r>
          </w:p>
          <w:p w:rsidR="0008375F" w:rsidRPr="002A600B" w:rsidRDefault="0008375F" w:rsidP="0008375F">
            <w:pPr>
              <w:pStyle w:val="normal"/>
              <w:numPr>
                <w:ilvl w:val="0"/>
                <w:numId w:val="12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Rozhoduje, zda zahájit reakci na narušení</w:t>
            </w:r>
          </w:p>
          <w:p w:rsidR="0008375F" w:rsidRPr="002A600B" w:rsidRDefault="0008375F" w:rsidP="0008375F">
            <w:pPr>
              <w:pStyle w:val="normal"/>
              <w:numPr>
                <w:ilvl w:val="0"/>
                <w:numId w:val="12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Svolává Krizový Řídicí Tým</w:t>
            </w:r>
          </w:p>
          <w:p w:rsidR="0008375F" w:rsidRPr="002A600B" w:rsidRDefault="0008375F" w:rsidP="0008375F">
            <w:pPr>
              <w:pStyle w:val="normal"/>
              <w:numPr>
                <w:ilvl w:val="0"/>
                <w:numId w:val="12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Komunikuje s vrcholovým vedením</w:t>
            </w:r>
          </w:p>
          <w:p w:rsidR="0008375F" w:rsidRPr="002A600B" w:rsidRDefault="0008375F" w:rsidP="0008375F">
            <w:pPr>
              <w:pStyle w:val="normal"/>
              <w:numPr>
                <w:ilvl w:val="0"/>
                <w:numId w:val="12"/>
              </w:numPr>
              <w:spacing w:after="0"/>
              <w:jc w:val="left"/>
              <w:rPr>
                <w:rFonts w:ascii="Athiti" w:eastAsia="Athiti" w:hAnsi="Athiti" w:cs="Athiti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Konečný rozhodovatel v případě neshody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249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color w:val="444444"/>
                <w:lang w:val="cs-CZ"/>
              </w:rPr>
              <w:t>Zaměstnanci a Dodavatelé</w:t>
            </w:r>
          </w:p>
        </w:tc>
        <w:tc>
          <w:tcPr>
            <w:tcW w:w="7140" w:type="dxa"/>
          </w:tcPr>
          <w:p w:rsidR="0008375F" w:rsidRPr="002A600B" w:rsidRDefault="0008375F" w:rsidP="00111827">
            <w:pPr>
              <w:pStyle w:val="normal"/>
              <w:numPr>
                <w:ilvl w:val="0"/>
                <w:numId w:val="12"/>
              </w:numPr>
              <w:spacing w:before="120" w:after="120"/>
              <w:jc w:val="left"/>
              <w:rPr>
                <w:rFonts w:ascii="Athiti" w:eastAsia="Athiti" w:hAnsi="Athiti" w:cs="Athiti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Povinen hlásit jakoukoli narušující událost Krizovému Řídicímu Týmu nebo odpovědné osobě ve své organizační jednotce</w:t>
            </w:r>
          </w:p>
        </w:tc>
      </w:tr>
    </w:tbl>
    <w:p w:rsidR="0008375F" w:rsidRPr="002A600B" w:rsidRDefault="0008375F" w:rsidP="0008375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bookmarkStart w:id="9" w:name="_heading=h.mx2dy1shol69" w:colFirst="0" w:colLast="0"/>
      <w:bookmarkEnd w:id="9"/>
    </w:p>
    <w:p w:rsidR="0008375F" w:rsidRPr="002A600B" w:rsidRDefault="0008375F" w:rsidP="0008375F">
      <w:pPr>
        <w:pStyle w:val="normal"/>
        <w:spacing w:after="200" w:line="240" w:lineRule="auto"/>
        <w:jc w:val="center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bookmarkStart w:id="10" w:name="_heading=h.v0bgnercf7z6" w:colFirst="0" w:colLast="0"/>
      <w:bookmarkEnd w:id="10"/>
      <w:r w:rsidRPr="002A600B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t>Tabulka 1: Role a odpovědnosti</w:t>
      </w:r>
    </w:p>
    <w:p w:rsidR="0008375F" w:rsidRPr="002A600B" w:rsidRDefault="0008375F" w:rsidP="0008375F">
      <w:pPr>
        <w:pStyle w:val="normal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Pokud jsou aktivovány plány kontinuity podnikání, je vytvořen pracovní orgán nazvaný Krizový Řídicí Tým, který je oprávněn přijímat veškerá rozhodnutí k řešení situace. Členy Krizového Řídicího Týmu jsou:</w:t>
      </w:r>
    </w:p>
    <w:p w:rsidR="0008375F" w:rsidRPr="002A600B" w:rsidRDefault="0008375F" w:rsidP="0008375F">
      <w:pPr>
        <w:pStyle w:val="normal"/>
        <w:numPr>
          <w:ilvl w:val="0"/>
          <w:numId w:val="7"/>
        </w:numPr>
        <w:spacing w:after="0" w:line="312" w:lineRule="auto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Jednatel společnosti</w:t>
      </w:r>
    </w:p>
    <w:p w:rsidR="0008375F" w:rsidRPr="002A600B" w:rsidRDefault="002A600B" w:rsidP="0008375F">
      <w:pPr>
        <w:pStyle w:val="normal"/>
        <w:numPr>
          <w:ilvl w:val="0"/>
          <w:numId w:val="7"/>
        </w:numPr>
        <w:spacing w:after="0" w:line="312" w:lineRule="auto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Zástupce</w:t>
      </w:r>
      <w:r w:rsidR="0008375F" w:rsidRPr="002A600B">
        <w:rPr>
          <w:rFonts w:ascii="Athiti" w:eastAsia="Athiti" w:hAnsi="Athiti" w:cs="Athiti"/>
          <w:color w:val="444444"/>
          <w:lang w:val="cs-CZ"/>
        </w:rPr>
        <w:t xml:space="preserve"> jednatele</w:t>
      </w:r>
    </w:p>
    <w:p w:rsidR="0008375F" w:rsidRPr="002A600B" w:rsidRDefault="0008375F" w:rsidP="0008375F">
      <w:pPr>
        <w:pStyle w:val="normal"/>
        <w:numPr>
          <w:ilvl w:val="0"/>
          <w:numId w:val="7"/>
        </w:numPr>
        <w:spacing w:after="200" w:line="312" w:lineRule="auto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CTO</w:t>
      </w:r>
    </w:p>
    <w:p w:rsidR="0008375F" w:rsidRPr="002A600B" w:rsidRDefault="0008375F" w:rsidP="0008375F">
      <w:pPr>
        <w:pStyle w:val="normal"/>
        <w:spacing w:after="200" w:line="312" w:lineRule="auto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Krizový Řídicí Tým řídí Krizový Manažer. Funkci Krizového Manažera bude vykonávat generální ředitel (CEO).</w:t>
      </w:r>
      <w:r w:rsidRPr="002A600B">
        <w:rPr>
          <w:lang w:val="cs-CZ"/>
        </w:rPr>
        <w:br w:type="page"/>
      </w:r>
    </w:p>
    <w:p w:rsidR="0008375F" w:rsidRPr="002A600B" w:rsidRDefault="0008375F" w:rsidP="0008375F">
      <w:pPr>
        <w:pStyle w:val="Nadpis1"/>
        <w:spacing w:after="200" w:line="312" w:lineRule="auto"/>
        <w:rPr>
          <w:rFonts w:ascii="Athiti" w:eastAsia="Athiti" w:hAnsi="Athiti" w:cs="Athiti"/>
          <w:lang w:val="cs-CZ"/>
        </w:rPr>
      </w:pPr>
      <w:bookmarkStart w:id="11" w:name="_heading=h.ckjxh19vwcr0" w:colFirst="0" w:colLast="0"/>
      <w:bookmarkEnd w:id="11"/>
      <w:r w:rsidRPr="002A600B">
        <w:rPr>
          <w:rFonts w:ascii="Athiti" w:eastAsia="Athiti" w:hAnsi="Athiti" w:cs="Athiti"/>
          <w:lang w:val="cs-CZ"/>
        </w:rPr>
        <w:lastRenderedPageBreak/>
        <w:t>4 Aktivace plánu</w:t>
      </w: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Plán reakce na incident je automaticky aktivován v případě, že dojde k incidentu nebo pokud potenciální incident ohrožuje jeho činnost. Plán reakce na incident je deaktivován poté, co je incident zadržen nebo odstraněn.</w:t>
      </w: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Následně bude uspořádán úvodní brífink, na kterém Krizový Manažer:</w:t>
      </w:r>
    </w:p>
    <w:p w:rsidR="0008375F" w:rsidRPr="002A600B" w:rsidRDefault="0008375F" w:rsidP="0008375F">
      <w:pPr>
        <w:pStyle w:val="normal"/>
        <w:numPr>
          <w:ilvl w:val="0"/>
          <w:numId w:val="4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Vysvětlit, proč byl plán aktivován</w:t>
      </w:r>
    </w:p>
    <w:p w:rsidR="0008375F" w:rsidRPr="002A600B" w:rsidRDefault="0008375F" w:rsidP="0008375F">
      <w:pPr>
        <w:pStyle w:val="normal"/>
        <w:numPr>
          <w:ilvl w:val="0"/>
          <w:numId w:val="4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Popsat dopad incidentu</w:t>
      </w:r>
    </w:p>
    <w:p w:rsidR="0008375F" w:rsidRPr="002A600B" w:rsidRDefault="0008375F" w:rsidP="0008375F">
      <w:pPr>
        <w:pStyle w:val="normal"/>
        <w:numPr>
          <w:ilvl w:val="0"/>
          <w:numId w:val="4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Nastínit, čeho má tým dosáhnout</w:t>
      </w:r>
    </w:p>
    <w:p w:rsidR="0008375F" w:rsidRPr="002A600B" w:rsidRDefault="0008375F" w:rsidP="0008375F">
      <w:pPr>
        <w:pStyle w:val="normal"/>
        <w:numPr>
          <w:ilvl w:val="0"/>
          <w:numId w:val="4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Přidělit úkoly podle kontrolních seznamů uvedených v plánu</w:t>
      </w:r>
    </w:p>
    <w:p w:rsidR="0008375F" w:rsidRPr="002A600B" w:rsidRDefault="0008375F" w:rsidP="0008375F">
      <w:pPr>
        <w:pStyle w:val="normal"/>
        <w:numPr>
          <w:ilvl w:val="0"/>
          <w:numId w:val="4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Zodpovědět jakékoli otázky týmu</w:t>
      </w:r>
    </w:p>
    <w:p w:rsidR="0008375F" w:rsidRPr="002A600B" w:rsidRDefault="0008375F" w:rsidP="0008375F">
      <w:pPr>
        <w:pStyle w:val="normal"/>
        <w:numPr>
          <w:ilvl w:val="0"/>
          <w:numId w:val="4"/>
        </w:numPr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Stanovit způsob a frekvenci komunikace v týmu</w:t>
      </w: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</w:p>
    <w:p w:rsidR="0008375F" w:rsidRPr="002A600B" w:rsidRDefault="0008375F" w:rsidP="0008375F">
      <w:pPr>
        <w:pStyle w:val="normal"/>
        <w:spacing w:after="0"/>
        <w:rPr>
          <w:rFonts w:ascii="Athiti" w:eastAsia="Athiti" w:hAnsi="Athiti" w:cs="Athiti"/>
          <w:color w:val="444444"/>
          <w:lang w:val="cs-CZ"/>
        </w:rPr>
      </w:pP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</w:p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lang w:val="cs-CZ"/>
        </w:rPr>
      </w:pPr>
      <w:bookmarkStart w:id="12" w:name="_heading=h.7uofhzh37vhl" w:colFirst="0" w:colLast="0"/>
      <w:bookmarkEnd w:id="12"/>
    </w:p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b/>
          <w:sz w:val="36"/>
          <w:szCs w:val="36"/>
          <w:highlight w:val="yellow"/>
          <w:lang w:val="cs-CZ"/>
        </w:rPr>
      </w:pPr>
      <w:bookmarkStart w:id="13" w:name="_heading=h.xqiu13utuh1v" w:colFirst="0" w:colLast="0"/>
      <w:bookmarkEnd w:id="13"/>
      <w:r w:rsidRPr="002A600B">
        <w:rPr>
          <w:lang w:val="cs-CZ"/>
        </w:rPr>
        <w:br w:type="page"/>
      </w:r>
    </w:p>
    <w:p w:rsidR="0008375F" w:rsidRPr="002A600B" w:rsidRDefault="0008375F" w:rsidP="0008375F">
      <w:pPr>
        <w:pStyle w:val="Nadpis1"/>
        <w:spacing w:after="200" w:line="312" w:lineRule="auto"/>
        <w:rPr>
          <w:rFonts w:ascii="Athiti" w:eastAsia="Athiti" w:hAnsi="Athiti" w:cs="Athiti"/>
          <w:lang w:val="cs-CZ"/>
        </w:rPr>
      </w:pPr>
      <w:bookmarkStart w:id="14" w:name="_heading=h.wvfrrb83o09m" w:colFirst="0" w:colLast="0"/>
      <w:bookmarkEnd w:id="14"/>
      <w:r w:rsidRPr="002A600B">
        <w:rPr>
          <w:rFonts w:ascii="Athiti" w:eastAsia="Athiti" w:hAnsi="Athiti" w:cs="Athiti"/>
          <w:lang w:val="cs-CZ"/>
        </w:rPr>
        <w:lastRenderedPageBreak/>
        <w:t>5 Komunikace</w:t>
      </w:r>
    </w:p>
    <w:p w:rsidR="0008375F" w:rsidRPr="002A600B" w:rsidRDefault="0008375F" w:rsidP="000837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Je nezbytné, aby byla zachována efektivní komunikace mezi všemi stranami zapojenými do reakce na narušující událost.</w:t>
      </w: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V případě narušující události budou použita následující komunikační prostředky – ty na vrcholu seznamu se používají jako první, a ty dole pouze pokud předchozí nejsou funkční:</w:t>
      </w:r>
    </w:p>
    <w:p w:rsidR="0008375F" w:rsidRPr="002A600B" w:rsidRDefault="0008375F" w:rsidP="0008375F">
      <w:pPr>
        <w:pStyle w:val="normal"/>
        <w:numPr>
          <w:ilvl w:val="0"/>
          <w:numId w:val="6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firemní Slack kanály</w:t>
      </w:r>
    </w:p>
    <w:p w:rsidR="0008375F" w:rsidRPr="002A600B" w:rsidRDefault="0008375F" w:rsidP="0008375F">
      <w:pPr>
        <w:pStyle w:val="normal"/>
        <w:numPr>
          <w:ilvl w:val="0"/>
          <w:numId w:val="6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E-mail (odeslaný z pracovních nebo soukromých počítačů)</w:t>
      </w:r>
    </w:p>
    <w:p w:rsidR="0008375F" w:rsidRPr="002A600B" w:rsidRDefault="0008375F" w:rsidP="0008375F">
      <w:pPr>
        <w:pStyle w:val="normal"/>
        <w:numPr>
          <w:ilvl w:val="0"/>
          <w:numId w:val="6"/>
        </w:numPr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mobilní telefony (pracovní i soukromé)</w:t>
      </w:r>
    </w:p>
    <w:p w:rsidR="0008375F" w:rsidRPr="002A600B" w:rsidRDefault="0008375F" w:rsidP="000837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Externí komunikace by měla proběhnout co nejdříve poté, co jsou stanoveny rozsah a dopad narušující události, s použitím stručného a jasného jazyka. První externí komunikace jsou směrovány k postiženým stranám nejpozději do 24 hodin.</w:t>
      </w:r>
    </w:p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lang w:val="cs-CZ"/>
        </w:rPr>
      </w:pPr>
      <w:bookmarkStart w:id="15" w:name="_heading=h.wv0lzf4ijof2" w:colFirst="0" w:colLast="0"/>
      <w:bookmarkEnd w:id="15"/>
      <w:r w:rsidRPr="002A600B">
        <w:rPr>
          <w:lang w:val="cs-CZ"/>
        </w:rPr>
        <w:br w:type="page"/>
      </w:r>
    </w:p>
    <w:p w:rsidR="0008375F" w:rsidRPr="002A600B" w:rsidRDefault="0008375F" w:rsidP="0008375F">
      <w:pPr>
        <w:pStyle w:val="Nadpis1"/>
        <w:spacing w:after="200" w:line="312" w:lineRule="auto"/>
        <w:rPr>
          <w:rFonts w:ascii="Athiti" w:eastAsia="Athiti" w:hAnsi="Athiti" w:cs="Athiti"/>
          <w:lang w:val="cs-CZ"/>
        </w:rPr>
      </w:pPr>
      <w:bookmarkStart w:id="16" w:name="_heading=h.ydqz61su1nrz" w:colFirst="0" w:colLast="0"/>
      <w:bookmarkEnd w:id="16"/>
      <w:r w:rsidRPr="002A600B">
        <w:rPr>
          <w:rFonts w:ascii="Athiti" w:eastAsia="Athiti" w:hAnsi="Athiti" w:cs="Athiti"/>
          <w:lang w:val="cs-CZ"/>
        </w:rPr>
        <w:lastRenderedPageBreak/>
        <w:t>6 Analýza dopadu na podnikání</w:t>
      </w: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Analýza dopadu na podnikání (BIA) je proces, který poskytuje lepší porozumění tomu, jak společnost funguje. Také odhaluje dopady ztráty kritických částí firemních procesů.</w:t>
      </w: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Analýza dopadu na podnikání poskytuje:</w:t>
      </w:r>
    </w:p>
    <w:p w:rsidR="0008375F" w:rsidRPr="002A600B" w:rsidRDefault="0008375F" w:rsidP="0008375F">
      <w:pPr>
        <w:pStyle w:val="normal"/>
        <w:numPr>
          <w:ilvl w:val="0"/>
          <w:numId w:val="2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Jasné pochopení nejdůležitějších cílů podniku</w:t>
      </w:r>
    </w:p>
    <w:p w:rsidR="0008375F" w:rsidRPr="002A600B" w:rsidRDefault="0008375F" w:rsidP="0008375F">
      <w:pPr>
        <w:pStyle w:val="normal"/>
        <w:numPr>
          <w:ilvl w:val="0"/>
          <w:numId w:val="2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Řízení rozhodnutí o cílové době obnovy (RTO) a cílovém bodu obnovy (RPO) pro každou funkci</w:t>
      </w:r>
    </w:p>
    <w:p w:rsidR="0008375F" w:rsidRPr="002A600B" w:rsidRDefault="0008375F" w:rsidP="0008375F">
      <w:pPr>
        <w:pStyle w:val="normal"/>
        <w:numPr>
          <w:ilvl w:val="0"/>
          <w:numId w:val="2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Informace o zdrojích, na základě kterých lze stanovit a doporučit vhodnou strategii obnovy</w:t>
      </w:r>
    </w:p>
    <w:p w:rsidR="0008375F" w:rsidRPr="002A600B" w:rsidRDefault="0008375F" w:rsidP="0008375F">
      <w:pPr>
        <w:pStyle w:val="normal"/>
        <w:numPr>
          <w:ilvl w:val="0"/>
          <w:numId w:val="2"/>
        </w:numPr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Přehled závislostí, které existují jak interně, tak externě, a které ovlivňují dosažení cílů</w:t>
      </w: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Hlavní cíle analýzy dopadu na podnikání (BIA) jsou:</w:t>
      </w:r>
    </w:p>
    <w:p w:rsidR="0008375F" w:rsidRPr="002A600B" w:rsidRDefault="0008375F" w:rsidP="0008375F">
      <w:pPr>
        <w:pStyle w:val="normal"/>
        <w:numPr>
          <w:ilvl w:val="0"/>
          <w:numId w:val="3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Stanovit priority cílů podniku</w:t>
      </w:r>
    </w:p>
    <w:p w:rsidR="0008375F" w:rsidRPr="002A600B" w:rsidRDefault="0008375F" w:rsidP="0008375F">
      <w:pPr>
        <w:pStyle w:val="normal"/>
        <w:numPr>
          <w:ilvl w:val="0"/>
          <w:numId w:val="3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Určit klíčové výstupy podniku</w:t>
      </w:r>
    </w:p>
    <w:p w:rsidR="0008375F" w:rsidRPr="002A600B" w:rsidRDefault="0008375F" w:rsidP="0008375F">
      <w:pPr>
        <w:pStyle w:val="normal"/>
        <w:numPr>
          <w:ilvl w:val="0"/>
          <w:numId w:val="3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Identifikovat klíčové zdroje potřebné pro výstupy</w:t>
      </w:r>
    </w:p>
    <w:p w:rsidR="0008375F" w:rsidRPr="002A600B" w:rsidRDefault="0008375F" w:rsidP="0008375F">
      <w:pPr>
        <w:pStyle w:val="normal"/>
        <w:numPr>
          <w:ilvl w:val="0"/>
          <w:numId w:val="3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Stanovit dopad narušení v čase</w:t>
      </w:r>
    </w:p>
    <w:p w:rsidR="0008375F" w:rsidRPr="002A600B" w:rsidRDefault="0008375F" w:rsidP="0008375F">
      <w:pPr>
        <w:pStyle w:val="normal"/>
        <w:numPr>
          <w:ilvl w:val="0"/>
          <w:numId w:val="3"/>
        </w:numPr>
        <w:spacing w:after="0"/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Stanovit časové rámce obnovení kritických operací po narušení</w:t>
      </w:r>
    </w:p>
    <w:p w:rsidR="0008375F" w:rsidRPr="002A600B" w:rsidRDefault="0008375F" w:rsidP="0008375F">
      <w:pPr>
        <w:pStyle w:val="normal"/>
        <w:numPr>
          <w:ilvl w:val="0"/>
          <w:numId w:val="3"/>
        </w:numPr>
        <w:rPr>
          <w:rFonts w:ascii="Athiti" w:eastAsia="Athiti" w:hAnsi="Athiti" w:cs="Athiti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Poskytnout informace, na jejichž základě lze stanovit vhodné strategie obnovy</w:t>
      </w: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Pro posouzení míry dopadu v každé kategorii v registru aktiv bude použit bodovací systém, kde:</w:t>
      </w:r>
    </w:p>
    <w:tbl>
      <w:tblPr>
        <w:tblW w:w="970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185"/>
        <w:gridCol w:w="930"/>
        <w:gridCol w:w="5610"/>
        <w:gridCol w:w="945"/>
        <w:gridCol w:w="1035"/>
      </w:tblGrid>
      <w:tr w:rsidR="0008375F" w:rsidRPr="002A600B" w:rsidTr="00111827">
        <w:trPr>
          <w:cantSplit/>
          <w:trHeight w:val="648"/>
          <w:tblHeader/>
        </w:trPr>
        <w:tc>
          <w:tcPr>
            <w:tcW w:w="118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ÚROVEŇ DOPADU</w:t>
            </w:r>
          </w:p>
        </w:tc>
        <w:tc>
          <w:tcPr>
            <w:tcW w:w="930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STUPEŇ</w:t>
            </w:r>
          </w:p>
        </w:tc>
        <w:tc>
          <w:tcPr>
            <w:tcW w:w="5610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SHRNUTÍ</w:t>
            </w:r>
          </w:p>
        </w:tc>
        <w:tc>
          <w:tcPr>
            <w:tcW w:w="94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RTO</w:t>
            </w:r>
          </w:p>
        </w:tc>
        <w:tc>
          <w:tcPr>
            <w:tcW w:w="103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RPO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118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NÍZKÝ</w:t>
            </w:r>
          </w:p>
        </w:tc>
        <w:tc>
          <w:tcPr>
            <w:tcW w:w="930" w:type="dxa"/>
            <w:shd w:val="clear" w:color="auto" w:fill="D9EAD3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1</w:t>
            </w:r>
          </w:p>
        </w:tc>
        <w:tc>
          <w:tcPr>
            <w:tcW w:w="561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Očekává se, že ztráta nebo nedostupnost služby způsobí drobné provozní nepříjemnosti nebo nebude mít škodlivý dopad</w:t>
            </w:r>
          </w:p>
        </w:tc>
        <w:tc>
          <w:tcPr>
            <w:tcW w:w="94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24h</w:t>
            </w:r>
          </w:p>
        </w:tc>
        <w:tc>
          <w:tcPr>
            <w:tcW w:w="103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48t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118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STŘEDNÍ</w:t>
            </w:r>
          </w:p>
        </w:tc>
        <w:tc>
          <w:tcPr>
            <w:tcW w:w="930" w:type="dxa"/>
            <w:shd w:val="clear" w:color="auto" w:fill="FFF2CC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2</w:t>
            </w:r>
          </w:p>
        </w:tc>
        <w:tc>
          <w:tcPr>
            <w:tcW w:w="561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Ztráta nebo nedostupnost služby by měla významný krátkodobý dopad na provoz nebo cíle. Mohly by nastat finanční ztráty a poškození pověsti.</w:t>
            </w:r>
          </w:p>
        </w:tc>
        <w:tc>
          <w:tcPr>
            <w:tcW w:w="94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2h</w:t>
            </w:r>
          </w:p>
        </w:tc>
        <w:tc>
          <w:tcPr>
            <w:tcW w:w="103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24h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118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VYSOKÝ</w:t>
            </w:r>
          </w:p>
        </w:tc>
        <w:tc>
          <w:tcPr>
            <w:tcW w:w="930" w:type="dxa"/>
            <w:shd w:val="clear" w:color="auto" w:fill="F4CCCC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3</w:t>
            </w:r>
          </w:p>
        </w:tc>
        <w:tc>
          <w:tcPr>
            <w:tcW w:w="561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Ztráta nebo nedostupnost služby by měla vážný okamžitý dopad na dlouhodobé strategické cíle. Možná ztráta kritických dat, která může způsobit vážné finanční ztráty, poškození pověsti a právní kroky.</w:t>
            </w:r>
          </w:p>
        </w:tc>
        <w:tc>
          <w:tcPr>
            <w:tcW w:w="94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1h</w:t>
            </w:r>
          </w:p>
        </w:tc>
        <w:tc>
          <w:tcPr>
            <w:tcW w:w="103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4h</w:t>
            </w:r>
          </w:p>
        </w:tc>
      </w:tr>
    </w:tbl>
    <w:p w:rsidR="0008375F" w:rsidRPr="002A600B" w:rsidRDefault="0008375F" w:rsidP="0008375F">
      <w:pPr>
        <w:pStyle w:val="normal"/>
        <w:spacing w:after="0" w:line="240" w:lineRule="auto"/>
        <w:jc w:val="center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r w:rsidRPr="002A600B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br/>
        <w:t>Tabulka 2: Úroveň dopadu narušení</w:t>
      </w:r>
    </w:p>
    <w:p w:rsidR="0008375F" w:rsidRPr="002A600B" w:rsidRDefault="0008375F" w:rsidP="0008375F">
      <w:pPr>
        <w:pStyle w:val="normal"/>
        <w:spacing w:after="0" w:line="240" w:lineRule="auto"/>
        <w:jc w:val="center"/>
        <w:rPr>
          <w:rFonts w:ascii="Athiti" w:eastAsia="Athiti" w:hAnsi="Athiti" w:cs="Athiti"/>
          <w:lang w:val="cs-CZ"/>
        </w:rPr>
      </w:pPr>
    </w:p>
    <w:p w:rsidR="0008375F" w:rsidRPr="002A600B" w:rsidRDefault="0008375F" w:rsidP="0008375F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Následující funkce byly identifikovány jako nedílná součást kontinuity podnikání a jsou klasifikovány podle interního nebo externího vlastnictví a jejich vztahu k celkové infrastruktuře:</w:t>
      </w:r>
    </w:p>
    <w:p w:rsidR="0008375F" w:rsidRPr="002A600B" w:rsidRDefault="0008375F" w:rsidP="0008375F">
      <w:pPr>
        <w:pStyle w:val="normal"/>
        <w:numPr>
          <w:ilvl w:val="0"/>
          <w:numId w:val="5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proces vypořádání a systém (interní)</w:t>
      </w:r>
    </w:p>
    <w:p w:rsidR="0008375F" w:rsidRPr="002A600B" w:rsidRDefault="0008375F" w:rsidP="0008375F">
      <w:pPr>
        <w:pStyle w:val="normal"/>
        <w:numPr>
          <w:ilvl w:val="0"/>
          <w:numId w:val="5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obchodní engine (interní)</w:t>
      </w:r>
    </w:p>
    <w:p w:rsidR="0008375F" w:rsidRPr="002A600B" w:rsidRDefault="0008375F" w:rsidP="0008375F">
      <w:pPr>
        <w:pStyle w:val="normal"/>
        <w:numPr>
          <w:ilvl w:val="0"/>
          <w:numId w:val="5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jádrová infrastruktura (poskytovatel cloudu, externí)</w:t>
      </w:r>
    </w:p>
    <w:p w:rsidR="0008375F" w:rsidRPr="002A600B" w:rsidRDefault="0008375F" w:rsidP="0008375F">
      <w:pPr>
        <w:pStyle w:val="normal"/>
        <w:numPr>
          <w:ilvl w:val="0"/>
          <w:numId w:val="5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Transakční systém (Správce úložiště, externí)</w:t>
      </w:r>
    </w:p>
    <w:p w:rsidR="0008375F" w:rsidRPr="002A600B" w:rsidRDefault="0008375F" w:rsidP="0008375F">
      <w:pPr>
        <w:pStyle w:val="normal"/>
        <w:numPr>
          <w:ilvl w:val="0"/>
          <w:numId w:val="5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Technický Monitorovací systém (externí)</w:t>
      </w:r>
    </w:p>
    <w:p w:rsidR="0008375F" w:rsidRPr="002A600B" w:rsidRDefault="0008375F" w:rsidP="0008375F">
      <w:pPr>
        <w:pStyle w:val="normal"/>
        <w:numPr>
          <w:ilvl w:val="0"/>
          <w:numId w:val="5"/>
        </w:numPr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Komunikace (messenger, externí)</w:t>
      </w:r>
      <w:r w:rsidRPr="002A600B">
        <w:rPr>
          <w:lang w:val="cs-CZ"/>
        </w:rPr>
        <w:br w:type="page"/>
      </w:r>
    </w:p>
    <w:p w:rsidR="0008375F" w:rsidRPr="002A600B" w:rsidRDefault="0008375F" w:rsidP="0008375F">
      <w:pPr>
        <w:pStyle w:val="Nadpis1"/>
        <w:spacing w:after="200" w:line="312" w:lineRule="auto"/>
        <w:rPr>
          <w:rFonts w:ascii="Athiti" w:eastAsia="Athiti" w:hAnsi="Athiti" w:cs="Athiti"/>
          <w:lang w:val="cs-CZ"/>
        </w:rPr>
      </w:pPr>
      <w:bookmarkStart w:id="17" w:name="_heading=h.biku7i3osexn" w:colFirst="0" w:colLast="0"/>
      <w:bookmarkEnd w:id="17"/>
      <w:r w:rsidRPr="002A600B">
        <w:rPr>
          <w:rFonts w:ascii="Athiti" w:eastAsia="Athiti" w:hAnsi="Athiti" w:cs="Athiti"/>
          <w:lang w:val="cs-CZ"/>
        </w:rPr>
        <w:lastRenderedPageBreak/>
        <w:t>7 Plány kontinuity podnikání</w:t>
      </w:r>
    </w:p>
    <w:p w:rsidR="0008375F" w:rsidRPr="002A600B" w:rsidRDefault="0008375F" w:rsidP="0008375F">
      <w:pPr>
        <w:pStyle w:val="normal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Tento plán kontinuity podnikání je součástí sady postupů, které byly vytvořeny k řešení různých možných situací ovlivňujících společnost.</w:t>
      </w:r>
    </w:p>
    <w:p w:rsidR="0008375F" w:rsidRPr="002A600B" w:rsidRDefault="0008375F" w:rsidP="0008375F">
      <w:pPr>
        <w:pStyle w:val="normal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r w:rsidRPr="002A600B">
        <w:rPr>
          <w:rFonts w:ascii="Athiti" w:eastAsia="Athiti" w:hAnsi="Athiti" w:cs="Athiti"/>
          <w:color w:val="444444"/>
          <w:lang w:val="cs-CZ"/>
        </w:rPr>
        <w:t>V závislosti na povaze a rozsahu nastalého narušení může být nutné provést příslušné scénáře, které jsou popsány v příloze A:</w:t>
      </w:r>
    </w:p>
    <w:tbl>
      <w:tblPr>
        <w:tblW w:w="9630" w:type="dxa"/>
        <w:jc w:val="center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455"/>
        <w:gridCol w:w="3765"/>
        <w:gridCol w:w="4410"/>
      </w:tblGrid>
      <w:tr w:rsidR="0008375F" w:rsidRPr="002A600B" w:rsidTr="00111827">
        <w:trPr>
          <w:cantSplit/>
          <w:trHeight w:val="648"/>
          <w:tblHeader/>
          <w:jc w:val="center"/>
        </w:trPr>
        <w:tc>
          <w:tcPr>
            <w:tcW w:w="145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SCÉNÁŘ</w:t>
            </w:r>
          </w:p>
        </w:tc>
        <w:tc>
          <w:tcPr>
            <w:tcW w:w="376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KATASTROFA</w:t>
            </w:r>
          </w:p>
        </w:tc>
        <w:tc>
          <w:tcPr>
            <w:tcW w:w="4410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SPUŠTĚČ</w:t>
            </w:r>
          </w:p>
        </w:tc>
      </w:tr>
      <w:tr w:rsidR="0008375F" w:rsidRPr="002A600B" w:rsidTr="00111827">
        <w:trPr>
          <w:cantSplit/>
          <w:trHeight w:val="431"/>
          <w:tblHeader/>
          <w:jc w:val="center"/>
        </w:trPr>
        <w:tc>
          <w:tcPr>
            <w:tcW w:w="145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color w:val="444444"/>
                <w:lang w:val="cs-CZ"/>
              </w:rPr>
              <w:t>P1</w:t>
            </w:r>
          </w:p>
        </w:tc>
        <w:tc>
          <w:tcPr>
            <w:tcW w:w="376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Vedoucí vypořádání nemůže zpracovávat požadavky na vypořádání (počítač nebo osoba není schopna provést operaci).</w:t>
            </w:r>
          </w:p>
        </w:tc>
        <w:tc>
          <w:tcPr>
            <w:tcW w:w="441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Vedoucí je nedostupný po dobu 3 hodin nebo hlásí, že není schopen provádět vypořádací operace.</w:t>
            </w:r>
          </w:p>
        </w:tc>
      </w:tr>
      <w:tr w:rsidR="0008375F" w:rsidRPr="002A600B" w:rsidTr="00111827">
        <w:trPr>
          <w:cantSplit/>
          <w:trHeight w:val="431"/>
          <w:tblHeader/>
          <w:jc w:val="center"/>
        </w:trPr>
        <w:tc>
          <w:tcPr>
            <w:tcW w:w="145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color w:val="444444"/>
                <w:lang w:val="cs-CZ"/>
              </w:rPr>
              <w:t>P2</w:t>
            </w:r>
          </w:p>
        </w:tc>
        <w:tc>
          <w:tcPr>
            <w:tcW w:w="376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Primární poskytovatel cloud computingu je mimo provoz.</w:t>
            </w:r>
          </w:p>
        </w:tc>
        <w:tc>
          <w:tcPr>
            <w:tcW w:w="441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Monitorovací systémy upozorňují, že jádrová infrastruktura je mimo provoz.</w:t>
            </w:r>
          </w:p>
        </w:tc>
      </w:tr>
      <w:tr w:rsidR="0008375F" w:rsidRPr="002A600B" w:rsidTr="00111827">
        <w:trPr>
          <w:cantSplit/>
          <w:trHeight w:val="431"/>
          <w:tblHeader/>
          <w:jc w:val="center"/>
        </w:trPr>
        <w:tc>
          <w:tcPr>
            <w:tcW w:w="145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color w:val="444444"/>
                <w:lang w:val="cs-CZ"/>
              </w:rPr>
              <w:t>P3</w:t>
            </w:r>
          </w:p>
        </w:tc>
        <w:tc>
          <w:tcPr>
            <w:tcW w:w="376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Správce úložiště je mimo provoz.</w:t>
            </w:r>
          </w:p>
        </w:tc>
        <w:tc>
          <w:tcPr>
            <w:tcW w:w="441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Vedoucí vypořádání obdržel informaci, že jeden ze správců úložiště je mimo provoz.</w:t>
            </w:r>
          </w:p>
        </w:tc>
      </w:tr>
      <w:tr w:rsidR="0008375F" w:rsidRPr="002A600B" w:rsidTr="00111827">
        <w:trPr>
          <w:cantSplit/>
          <w:trHeight w:val="431"/>
          <w:tblHeader/>
          <w:jc w:val="center"/>
        </w:trPr>
        <w:tc>
          <w:tcPr>
            <w:tcW w:w="145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b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color w:val="444444"/>
                <w:lang w:val="cs-CZ"/>
              </w:rPr>
              <w:t>P4</w:t>
            </w:r>
          </w:p>
        </w:tc>
        <w:tc>
          <w:tcPr>
            <w:tcW w:w="376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Obchodní engine je mimo provoz.</w:t>
            </w:r>
          </w:p>
        </w:tc>
        <w:tc>
          <w:tcPr>
            <w:tcW w:w="441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Monitorovací systémy upozorňují, že systém není schopen provádět operace.</w:t>
            </w:r>
          </w:p>
        </w:tc>
      </w:tr>
    </w:tbl>
    <w:p w:rsidR="0008375F" w:rsidRPr="002A600B" w:rsidRDefault="0008375F" w:rsidP="0008375F">
      <w:pPr>
        <w:pStyle w:val="normal"/>
        <w:spacing w:before="200" w:after="200" w:line="240" w:lineRule="auto"/>
        <w:jc w:val="center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r w:rsidRPr="002A600B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t>Tabulka 3: Postupy reakce na incidenty</w:t>
      </w:r>
    </w:p>
    <w:p w:rsidR="0008375F" w:rsidRPr="002A600B" w:rsidRDefault="0008375F" w:rsidP="0008375F">
      <w:pPr>
        <w:pStyle w:val="normal"/>
        <w:spacing w:before="200" w:after="200" w:line="240" w:lineRule="auto"/>
        <w:jc w:val="left"/>
        <w:rPr>
          <w:rFonts w:ascii="Athiti" w:eastAsia="Athiti" w:hAnsi="Athiti" w:cs="Athiti"/>
          <w:color w:val="444444"/>
          <w:lang w:val="cs-CZ"/>
        </w:rPr>
      </w:pPr>
      <w:bookmarkStart w:id="18" w:name="_heading=h.xguzwk495fzc" w:colFirst="0" w:colLast="0"/>
      <w:bookmarkEnd w:id="18"/>
      <w:r w:rsidRPr="002A600B">
        <w:rPr>
          <w:rFonts w:ascii="Athiti" w:eastAsia="Athiti" w:hAnsi="Athiti" w:cs="Athiti"/>
          <w:color w:val="444444"/>
          <w:lang w:val="cs-CZ"/>
        </w:rPr>
        <w:t>Níže uvedená tabulka ukazuje, jak různé scénáře ovlivňují klíčové funkce a jaký je očekávaný čas k obnovení normálního provozu.</w:t>
      </w:r>
    </w:p>
    <w:tbl>
      <w:tblPr>
        <w:tblW w:w="9750" w:type="dxa"/>
        <w:jc w:val="center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5070"/>
        <w:gridCol w:w="900"/>
        <w:gridCol w:w="810"/>
        <w:gridCol w:w="630"/>
        <w:gridCol w:w="720"/>
        <w:gridCol w:w="795"/>
        <w:gridCol w:w="825"/>
      </w:tblGrid>
      <w:tr w:rsidR="0008375F" w:rsidRPr="002A600B" w:rsidTr="00111827">
        <w:trPr>
          <w:cantSplit/>
          <w:trHeight w:val="648"/>
          <w:tblHeader/>
          <w:jc w:val="center"/>
        </w:trPr>
        <w:tc>
          <w:tcPr>
            <w:tcW w:w="5070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SYSTÉMY</w:t>
            </w:r>
          </w:p>
        </w:tc>
        <w:tc>
          <w:tcPr>
            <w:tcW w:w="900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P1</w:t>
            </w:r>
          </w:p>
        </w:tc>
        <w:tc>
          <w:tcPr>
            <w:tcW w:w="810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P2</w:t>
            </w:r>
          </w:p>
        </w:tc>
        <w:tc>
          <w:tcPr>
            <w:tcW w:w="630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P3</w:t>
            </w:r>
          </w:p>
        </w:tc>
        <w:tc>
          <w:tcPr>
            <w:tcW w:w="720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P4</w:t>
            </w:r>
          </w:p>
        </w:tc>
        <w:tc>
          <w:tcPr>
            <w:tcW w:w="79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RTO, h</w:t>
            </w:r>
          </w:p>
        </w:tc>
        <w:tc>
          <w:tcPr>
            <w:tcW w:w="82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RPO, h</w:t>
            </w:r>
          </w:p>
        </w:tc>
      </w:tr>
      <w:tr w:rsidR="0008375F" w:rsidRPr="002A600B" w:rsidTr="00111827">
        <w:trPr>
          <w:cantSplit/>
          <w:trHeight w:val="431"/>
          <w:tblHeader/>
          <w:jc w:val="center"/>
        </w:trPr>
        <w:tc>
          <w:tcPr>
            <w:tcW w:w="507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Proces a systém vypořádání</w:t>
            </w:r>
          </w:p>
        </w:tc>
        <w:tc>
          <w:tcPr>
            <w:tcW w:w="900" w:type="dxa"/>
            <w:shd w:val="clear" w:color="auto" w:fill="F4CCCC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ano</w:t>
            </w:r>
          </w:p>
        </w:tc>
        <w:tc>
          <w:tcPr>
            <w:tcW w:w="81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630" w:type="dxa"/>
            <w:shd w:val="clear" w:color="auto" w:fill="F4CCCC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ano</w:t>
            </w:r>
          </w:p>
        </w:tc>
        <w:tc>
          <w:tcPr>
            <w:tcW w:w="72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79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2</w:t>
            </w:r>
          </w:p>
        </w:tc>
        <w:tc>
          <w:tcPr>
            <w:tcW w:w="82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0</w:t>
            </w:r>
          </w:p>
        </w:tc>
      </w:tr>
      <w:tr w:rsidR="0008375F" w:rsidRPr="002A600B" w:rsidTr="00111827">
        <w:trPr>
          <w:cantSplit/>
          <w:trHeight w:val="431"/>
          <w:tblHeader/>
          <w:jc w:val="center"/>
        </w:trPr>
        <w:tc>
          <w:tcPr>
            <w:tcW w:w="507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Obchodní engine</w:t>
            </w:r>
          </w:p>
        </w:tc>
        <w:tc>
          <w:tcPr>
            <w:tcW w:w="90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810" w:type="dxa"/>
            <w:shd w:val="clear" w:color="auto" w:fill="F4CCCC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ano</w:t>
            </w:r>
          </w:p>
        </w:tc>
        <w:tc>
          <w:tcPr>
            <w:tcW w:w="630" w:type="dxa"/>
            <w:shd w:val="clear" w:color="auto" w:fill="F4CCCC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ano</w:t>
            </w:r>
          </w:p>
        </w:tc>
        <w:tc>
          <w:tcPr>
            <w:tcW w:w="720" w:type="dxa"/>
            <w:shd w:val="clear" w:color="auto" w:fill="F4CCCC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ano</w:t>
            </w:r>
          </w:p>
        </w:tc>
        <w:tc>
          <w:tcPr>
            <w:tcW w:w="79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1</w:t>
            </w:r>
          </w:p>
        </w:tc>
        <w:tc>
          <w:tcPr>
            <w:tcW w:w="82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0</w:t>
            </w:r>
          </w:p>
        </w:tc>
      </w:tr>
      <w:tr w:rsidR="0008375F" w:rsidRPr="002A600B" w:rsidTr="00111827">
        <w:trPr>
          <w:cantSplit/>
          <w:trHeight w:val="431"/>
          <w:tblHeader/>
          <w:jc w:val="center"/>
        </w:trPr>
        <w:tc>
          <w:tcPr>
            <w:tcW w:w="507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Jádrová infrastruktura</w:t>
            </w:r>
          </w:p>
        </w:tc>
        <w:tc>
          <w:tcPr>
            <w:tcW w:w="90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810" w:type="dxa"/>
            <w:shd w:val="clear" w:color="auto" w:fill="F4CCCC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ano</w:t>
            </w:r>
          </w:p>
        </w:tc>
        <w:tc>
          <w:tcPr>
            <w:tcW w:w="63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72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79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1</w:t>
            </w:r>
          </w:p>
        </w:tc>
        <w:tc>
          <w:tcPr>
            <w:tcW w:w="82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24</w:t>
            </w:r>
          </w:p>
        </w:tc>
      </w:tr>
      <w:tr w:rsidR="0008375F" w:rsidRPr="002A600B" w:rsidTr="00111827">
        <w:trPr>
          <w:cantSplit/>
          <w:trHeight w:val="431"/>
          <w:tblHeader/>
          <w:jc w:val="center"/>
        </w:trPr>
        <w:tc>
          <w:tcPr>
            <w:tcW w:w="507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Technický monitorovací systém</w:t>
            </w:r>
          </w:p>
        </w:tc>
        <w:tc>
          <w:tcPr>
            <w:tcW w:w="90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81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63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72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79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1</w:t>
            </w:r>
          </w:p>
        </w:tc>
        <w:tc>
          <w:tcPr>
            <w:tcW w:w="82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24</w:t>
            </w:r>
          </w:p>
        </w:tc>
      </w:tr>
      <w:tr w:rsidR="0008375F" w:rsidRPr="002A600B" w:rsidTr="00111827">
        <w:trPr>
          <w:cantSplit/>
          <w:trHeight w:val="431"/>
          <w:tblHeader/>
          <w:jc w:val="center"/>
        </w:trPr>
        <w:tc>
          <w:tcPr>
            <w:tcW w:w="5070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Komunikace</w:t>
            </w:r>
          </w:p>
        </w:tc>
        <w:tc>
          <w:tcPr>
            <w:tcW w:w="90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81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63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720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ne</w:t>
            </w:r>
          </w:p>
        </w:tc>
        <w:tc>
          <w:tcPr>
            <w:tcW w:w="79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1</w:t>
            </w:r>
          </w:p>
        </w:tc>
        <w:tc>
          <w:tcPr>
            <w:tcW w:w="82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4</w:t>
            </w:r>
          </w:p>
        </w:tc>
      </w:tr>
    </w:tbl>
    <w:p w:rsidR="0008375F" w:rsidRPr="002A600B" w:rsidRDefault="0008375F" w:rsidP="0008375F">
      <w:pPr>
        <w:pStyle w:val="normal"/>
        <w:spacing w:before="200" w:after="200" w:line="240" w:lineRule="auto"/>
        <w:jc w:val="center"/>
        <w:rPr>
          <w:rFonts w:ascii="Athiti" w:eastAsia="Athiti" w:hAnsi="Athiti" w:cs="Athiti"/>
          <w:color w:val="444444"/>
          <w:lang w:val="cs-CZ"/>
        </w:rPr>
      </w:pPr>
      <w:bookmarkStart w:id="19" w:name="_heading=h.5hw92zlegd4w" w:colFirst="0" w:colLast="0"/>
      <w:bookmarkEnd w:id="19"/>
      <w:r w:rsidRPr="002A600B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t>Tabulka 4: Dopad na podnikání</w:t>
      </w:r>
    </w:p>
    <w:p w:rsidR="0008375F" w:rsidRPr="002A600B" w:rsidRDefault="0008375F" w:rsidP="0008375F">
      <w:pPr>
        <w:pStyle w:val="normal"/>
        <w:spacing w:before="200" w:after="200" w:line="240" w:lineRule="auto"/>
        <w:jc w:val="left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bookmarkStart w:id="20" w:name="_heading=h.pefx2vquf85v" w:colFirst="0" w:colLast="0"/>
      <w:bookmarkEnd w:id="20"/>
      <w:r w:rsidRPr="002A600B">
        <w:rPr>
          <w:lang w:val="cs-CZ"/>
        </w:rPr>
        <w:br w:type="page"/>
      </w:r>
    </w:p>
    <w:p w:rsidR="0008375F" w:rsidRPr="002A600B" w:rsidRDefault="0008375F" w:rsidP="0008375F">
      <w:pPr>
        <w:pStyle w:val="Nadpis1"/>
        <w:jc w:val="right"/>
        <w:rPr>
          <w:rFonts w:ascii="Athiti" w:eastAsia="Athiti" w:hAnsi="Athiti" w:cs="Athiti"/>
          <w:lang w:val="cs-CZ"/>
        </w:rPr>
      </w:pPr>
      <w:bookmarkStart w:id="21" w:name="_heading=h.es2d34qrl8fr" w:colFirst="0" w:colLast="0"/>
      <w:bookmarkEnd w:id="21"/>
      <w:r w:rsidRPr="002A600B">
        <w:rPr>
          <w:rFonts w:ascii="Athiti" w:eastAsia="Athiti" w:hAnsi="Athiti" w:cs="Athiti"/>
          <w:lang w:val="cs-CZ"/>
        </w:rPr>
        <w:lastRenderedPageBreak/>
        <w:t>Příloha A</w:t>
      </w:r>
    </w:p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bookmarkStart w:id="22" w:name="_heading=h.auqcykbathzw" w:colFirst="0" w:colLast="0"/>
      <w:bookmarkEnd w:id="22"/>
      <w:r w:rsidRPr="002A600B">
        <w:rPr>
          <w:rFonts w:ascii="Athiti" w:eastAsia="Athiti" w:hAnsi="Athiti" w:cs="Athiti"/>
          <w:lang w:val="cs-CZ"/>
        </w:rPr>
        <w:t>P1 – Vedoucí vypořádání nemůže zpracovávat požadavky na vypořádání (počítač nebo osoba není schopna provést operaci).</w:t>
      </w:r>
    </w:p>
    <w:tbl>
      <w:tblPr>
        <w:tblW w:w="963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675"/>
        <w:gridCol w:w="8955"/>
      </w:tblGrid>
      <w:tr w:rsidR="0008375F" w:rsidRPr="002A600B" w:rsidTr="00111827">
        <w:trPr>
          <w:cantSplit/>
          <w:trHeight w:val="648"/>
          <w:tblHeader/>
        </w:trPr>
        <w:tc>
          <w:tcPr>
            <w:tcW w:w="67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N</w:t>
            </w:r>
          </w:p>
        </w:tc>
        <w:tc>
          <w:tcPr>
            <w:tcW w:w="895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ÚKOL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1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Pokud je Vedoucí vypořádání nedostupný po dobu 3 hodin bez oznámení nebo hlásí, že jeho/její počítač je ztracen/nefunkční, pak nastává daný scénář.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2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Ředitel provozu informuje tým o problému prostřednictvím firemního messengeru.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3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Ředitel provozu zajistí dočasné zablokování přístupu vedoucího vypořádání.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4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Ředitel provozu opětovně povolí přístup k místům správce úložiště a provede vypořádací proceduru (pokud je to nutné).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5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Ředitel provozu uzavře scénář s oznámením týmu.</w:t>
            </w:r>
          </w:p>
        </w:tc>
      </w:tr>
    </w:tbl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lang w:val="cs-CZ"/>
        </w:rPr>
      </w:pPr>
      <w:bookmarkStart w:id="23" w:name="_heading=h.91th45rohq45" w:colFirst="0" w:colLast="0"/>
      <w:bookmarkEnd w:id="23"/>
    </w:p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bookmarkStart w:id="24" w:name="_heading=h.iaftycrjojfx" w:colFirst="0" w:colLast="0"/>
      <w:bookmarkEnd w:id="24"/>
      <w:r w:rsidRPr="002A600B">
        <w:rPr>
          <w:rFonts w:ascii="Athiti" w:eastAsia="Athiti" w:hAnsi="Athiti" w:cs="Athiti"/>
          <w:lang w:val="cs-CZ"/>
        </w:rPr>
        <w:t>P2 – Primární poskytovatel cloudových služeb je mimo provoz.</w:t>
      </w:r>
    </w:p>
    <w:tbl>
      <w:tblPr>
        <w:tblW w:w="963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675"/>
        <w:gridCol w:w="8955"/>
      </w:tblGrid>
      <w:tr w:rsidR="0008375F" w:rsidRPr="002A600B" w:rsidTr="00111827">
        <w:trPr>
          <w:cantSplit/>
          <w:trHeight w:val="648"/>
          <w:tblHeader/>
        </w:trPr>
        <w:tc>
          <w:tcPr>
            <w:tcW w:w="67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N</w:t>
            </w:r>
          </w:p>
        </w:tc>
        <w:tc>
          <w:tcPr>
            <w:tcW w:w="895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ÚKOL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1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Odpovědná osoba za IT (IT) obdrží oznámení z monitorovacího systému, týmu DevOps nebo z jiných zdrojů.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2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informuje tým prostřednictvím firemního messengeru a vytvoří položku incidentu v JIRA trackeru.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3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aktivuje sekundární produkční server umístěný u nezávislého poskytovatele cloudových služeb (nebo v jiné dostupnostní zóně).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4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ověří, že sekundární server má přístup k replikaci v reálném čase (zálohování v reálném čase) produkční databáze.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5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spustí moduly a zkontroluje stav.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6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Pokud je stav v pořádku, IT zajistí, že primární server nebude spuštěn po návratu poskytovatele do provozu.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7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Pokud je problém vyřešen, IT informuje tým a zajistí, že klienti jsou také informováni.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8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aktualizuje položku incidentu v JIRA s podrobnostmi.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sz w:val="20"/>
                <w:szCs w:val="20"/>
                <w:lang w:val="cs-CZ"/>
              </w:rPr>
              <w:t>9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uzavře scénář.</w:t>
            </w:r>
          </w:p>
        </w:tc>
      </w:tr>
    </w:tbl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lang w:val="cs-CZ"/>
        </w:rPr>
      </w:pPr>
      <w:bookmarkStart w:id="25" w:name="_heading=h.3wwb24qeh6jn" w:colFirst="0" w:colLast="0"/>
      <w:bookmarkEnd w:id="25"/>
    </w:p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lang w:val="cs-CZ"/>
        </w:rPr>
      </w:pPr>
      <w:bookmarkStart w:id="26" w:name="_heading=h.lx1nq14aneci" w:colFirst="0" w:colLast="0"/>
      <w:bookmarkEnd w:id="26"/>
      <w:r w:rsidRPr="002A600B">
        <w:rPr>
          <w:lang w:val="cs-CZ"/>
        </w:rPr>
        <w:br w:type="page"/>
      </w:r>
    </w:p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bookmarkStart w:id="27" w:name="_heading=h.jxthez4rzwbk" w:colFirst="0" w:colLast="0"/>
      <w:bookmarkEnd w:id="27"/>
      <w:r w:rsidRPr="002A600B">
        <w:rPr>
          <w:rFonts w:ascii="Athiti" w:eastAsia="Athiti" w:hAnsi="Athiti" w:cs="Athiti"/>
          <w:lang w:val="cs-CZ"/>
        </w:rPr>
        <w:lastRenderedPageBreak/>
        <w:t>P3 – Místo správce úložiště je mimo provoz.</w:t>
      </w:r>
    </w:p>
    <w:tbl>
      <w:tblPr>
        <w:tblW w:w="963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675"/>
        <w:gridCol w:w="8955"/>
      </w:tblGrid>
      <w:tr w:rsidR="0008375F" w:rsidRPr="002A600B" w:rsidTr="00111827">
        <w:trPr>
          <w:cantSplit/>
          <w:trHeight w:val="648"/>
          <w:tblHeader/>
        </w:trPr>
        <w:tc>
          <w:tcPr>
            <w:tcW w:w="67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N</w:t>
            </w:r>
          </w:p>
        </w:tc>
        <w:tc>
          <w:tcPr>
            <w:tcW w:w="895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ÚKOL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1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SO informuje tým prostřednictvím firemního messengeru.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2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SO provede potřebné převody zůstatků k pokrytí potřeb.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3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SO pokračuje v vypořádání prostřednictvím jiného správce.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4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Když SO obdrží informaci, že správce je opět v provozu, uzavře scénář a informuje tým.</w:t>
            </w:r>
          </w:p>
        </w:tc>
      </w:tr>
    </w:tbl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sz w:val="24"/>
          <w:szCs w:val="24"/>
          <w:lang w:val="cs-CZ"/>
        </w:rPr>
      </w:pPr>
      <w:bookmarkStart w:id="28" w:name="_heading=h.lgimlzyevoa" w:colFirst="0" w:colLast="0"/>
      <w:bookmarkEnd w:id="28"/>
    </w:p>
    <w:p w:rsidR="0008375F" w:rsidRPr="002A600B" w:rsidRDefault="0008375F" w:rsidP="0008375F">
      <w:pPr>
        <w:pStyle w:val="Nadpis2"/>
        <w:rPr>
          <w:rFonts w:ascii="Athiti" w:eastAsia="Athiti" w:hAnsi="Athiti" w:cs="Athiti"/>
          <w:sz w:val="24"/>
          <w:szCs w:val="24"/>
          <w:lang w:val="cs-CZ"/>
        </w:rPr>
      </w:pPr>
      <w:bookmarkStart w:id="29" w:name="_heading=h.uk33gkanhq1b" w:colFirst="0" w:colLast="0"/>
      <w:bookmarkEnd w:id="29"/>
      <w:r w:rsidRPr="002A600B">
        <w:rPr>
          <w:rFonts w:ascii="Athiti" w:eastAsia="Athiti" w:hAnsi="Athiti" w:cs="Athiti"/>
          <w:sz w:val="24"/>
          <w:szCs w:val="24"/>
          <w:lang w:val="cs-CZ"/>
        </w:rPr>
        <w:t>P4 – Obchodní engine je mimo provoz:</w:t>
      </w:r>
    </w:p>
    <w:tbl>
      <w:tblPr>
        <w:tblW w:w="963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675"/>
        <w:gridCol w:w="8955"/>
      </w:tblGrid>
      <w:tr w:rsidR="0008375F" w:rsidRPr="002A600B" w:rsidTr="00111827">
        <w:trPr>
          <w:cantSplit/>
          <w:trHeight w:val="648"/>
          <w:tblHeader/>
        </w:trPr>
        <w:tc>
          <w:tcPr>
            <w:tcW w:w="67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N</w:t>
            </w:r>
          </w:p>
        </w:tc>
        <w:tc>
          <w:tcPr>
            <w:tcW w:w="8955" w:type="dxa"/>
            <w:shd w:val="clear" w:color="auto" w:fill="FFE599"/>
            <w:vAlign w:val="center"/>
          </w:tcPr>
          <w:p w:rsidR="0008375F" w:rsidRPr="002A600B" w:rsidRDefault="0008375F" w:rsidP="00111827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2A600B">
              <w:rPr>
                <w:rFonts w:ascii="Athiti" w:eastAsia="Athiti" w:hAnsi="Athiti" w:cs="Athiti"/>
                <w:b/>
                <w:lang w:val="cs-CZ"/>
              </w:rPr>
              <w:t>ÚKOL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1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Odpovědná osoba z IT obdrží oznámení od monitorovacího systému, DevOps týmu nebo od klienta.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2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informuje tým prostřednictvím firemního messengeru a vytvoří incident v JIRA trackeru.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3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logicky zastaví obchodní/kótovací roboty.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4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se přihlásí do produkčního prostředí a zkontroluje stav částí obchodního engine.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5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identifikuje problém a v případě potřeby restartuje moduly.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6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spustí roboty a zkontroluje jejich stav pomocí monitorování.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7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Pokud je problém vyřešen, IT informuje tým a zajistí, aby byli informováni i klienti.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8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aktualizuje položku incidentu v JIRA s podrobnostmi.</w:t>
            </w:r>
          </w:p>
        </w:tc>
      </w:tr>
      <w:tr w:rsidR="0008375F" w:rsidRPr="002A600B" w:rsidTr="00111827">
        <w:trPr>
          <w:cantSplit/>
          <w:trHeight w:val="431"/>
          <w:tblHeader/>
        </w:trPr>
        <w:tc>
          <w:tcPr>
            <w:tcW w:w="675" w:type="dxa"/>
            <w:vAlign w:val="center"/>
          </w:tcPr>
          <w:p w:rsidR="0008375F" w:rsidRPr="002A600B" w:rsidRDefault="0008375F" w:rsidP="00111827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9</w:t>
            </w:r>
          </w:p>
        </w:tc>
        <w:tc>
          <w:tcPr>
            <w:tcW w:w="8955" w:type="dxa"/>
            <w:vAlign w:val="center"/>
          </w:tcPr>
          <w:p w:rsidR="0008375F" w:rsidRPr="002A600B" w:rsidRDefault="0008375F" w:rsidP="00111827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2A600B">
              <w:rPr>
                <w:rFonts w:ascii="Athiti" w:eastAsia="Athiti" w:hAnsi="Athiti" w:cs="Athiti"/>
                <w:color w:val="444444"/>
                <w:lang w:val="cs-CZ"/>
              </w:rPr>
              <w:t>IT uzavře scénář.</w:t>
            </w:r>
          </w:p>
        </w:tc>
      </w:tr>
    </w:tbl>
    <w:p w:rsidR="0008375F" w:rsidRPr="002A600B" w:rsidRDefault="0008375F" w:rsidP="0008375F">
      <w:pPr>
        <w:pStyle w:val="Nadpis2"/>
        <w:spacing w:after="200" w:line="312" w:lineRule="auto"/>
        <w:rPr>
          <w:rFonts w:ascii="Athiti" w:eastAsia="Athiti" w:hAnsi="Athiti" w:cs="Athiti"/>
          <w:lang w:val="cs-CZ"/>
        </w:rPr>
      </w:pPr>
      <w:bookmarkStart w:id="30" w:name="_heading=h.1ggnaa7zg0wf" w:colFirst="0" w:colLast="0"/>
      <w:bookmarkEnd w:id="30"/>
    </w:p>
    <w:p w:rsidR="00B06DB5" w:rsidRPr="002A600B" w:rsidRDefault="00B06DB5">
      <w:pPr>
        <w:rPr>
          <w:lang w:val="cs-CZ"/>
        </w:rPr>
      </w:pPr>
    </w:p>
    <w:sectPr w:rsidR="00B06DB5" w:rsidRPr="002A600B" w:rsidSect="001E420C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659" w:rsidRDefault="00FC2659" w:rsidP="001E6B6B">
      <w:pPr>
        <w:spacing w:after="0" w:line="240" w:lineRule="auto"/>
      </w:pPr>
      <w:r>
        <w:separator/>
      </w:r>
    </w:p>
  </w:endnote>
  <w:endnote w:type="continuationSeparator" w:id="1">
    <w:p w:rsidR="00FC2659" w:rsidRDefault="00FC2659" w:rsidP="001E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20C" w:rsidRDefault="000837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524500" cy="102235"/>
          <wp:effectExtent l="0" t="0" r="0" b="0"/>
          <wp:docPr id="14" name="image1.png" descr="Light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ght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0" cy="102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420C" w:rsidRDefault="0030672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thiti" w:eastAsia="Athiti" w:hAnsi="Athiti" w:cs="Athiti"/>
        <w:color w:val="000000"/>
      </w:rPr>
    </w:pPr>
    <w:r>
      <w:rPr>
        <w:rFonts w:ascii="Athiti" w:eastAsia="Athiti" w:hAnsi="Athiti" w:cs="Athiti"/>
        <w:color w:val="000000"/>
      </w:rPr>
      <w:fldChar w:fldCharType="begin"/>
    </w:r>
    <w:r w:rsidR="0008375F">
      <w:rPr>
        <w:rFonts w:ascii="Athiti" w:eastAsia="Athiti" w:hAnsi="Athiti" w:cs="Athiti"/>
        <w:color w:val="000000"/>
      </w:rPr>
      <w:instrText>PAGE</w:instrText>
    </w:r>
    <w:r>
      <w:rPr>
        <w:rFonts w:ascii="Athiti" w:eastAsia="Athiti" w:hAnsi="Athiti" w:cs="Athiti"/>
        <w:color w:val="000000"/>
      </w:rPr>
      <w:fldChar w:fldCharType="separate"/>
    </w:r>
    <w:r w:rsidR="00C07DF2">
      <w:rPr>
        <w:rFonts w:ascii="Athiti" w:eastAsia="Athiti" w:hAnsi="Athiti" w:cs="Athiti"/>
        <w:noProof/>
        <w:color w:val="000000"/>
      </w:rPr>
      <w:t>8</w:t>
    </w:r>
    <w:r>
      <w:rPr>
        <w:rFonts w:ascii="Athiti" w:eastAsia="Athiti" w:hAnsi="Athiti" w:cs="Athiti"/>
        <w:color w:val="000000"/>
      </w:rPr>
      <w:fldChar w:fldCharType="end"/>
    </w:r>
  </w:p>
  <w:p w:rsidR="001E420C" w:rsidRDefault="00FC265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659" w:rsidRDefault="00FC2659" w:rsidP="001E6B6B">
      <w:pPr>
        <w:spacing w:after="0" w:line="240" w:lineRule="auto"/>
      </w:pPr>
      <w:r>
        <w:separator/>
      </w:r>
    </w:p>
  </w:footnote>
  <w:footnote w:type="continuationSeparator" w:id="1">
    <w:p w:rsidR="00FC2659" w:rsidRDefault="00FC2659" w:rsidP="001E6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20C" w:rsidRDefault="00FC2659">
    <w:pPr>
      <w:pStyle w:val="normal"/>
      <w:jc w:val="right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20C" w:rsidRDefault="0008375F">
    <w:pPr>
      <w:pStyle w:val="normal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-23803</wp:posOffset>
          </wp:positionH>
          <wp:positionV relativeFrom="page">
            <wp:posOffset>-23803</wp:posOffset>
          </wp:positionV>
          <wp:extent cx="137625" cy="15610607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25" cy="15610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B1F"/>
    <w:multiLevelType w:val="multilevel"/>
    <w:tmpl w:val="A9D6023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8A266CF"/>
    <w:multiLevelType w:val="multilevel"/>
    <w:tmpl w:val="E58CC4E2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CD462DA"/>
    <w:multiLevelType w:val="multilevel"/>
    <w:tmpl w:val="46744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2BA0D7A"/>
    <w:multiLevelType w:val="multilevel"/>
    <w:tmpl w:val="4ACE4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30D07E1"/>
    <w:multiLevelType w:val="multilevel"/>
    <w:tmpl w:val="00CCD884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DB77603"/>
    <w:multiLevelType w:val="multilevel"/>
    <w:tmpl w:val="2A2AE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2CB596D"/>
    <w:multiLevelType w:val="multilevel"/>
    <w:tmpl w:val="C41E268C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8BA78EA"/>
    <w:multiLevelType w:val="multilevel"/>
    <w:tmpl w:val="D8E08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12407F9"/>
    <w:multiLevelType w:val="multilevel"/>
    <w:tmpl w:val="0230627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331392B"/>
    <w:multiLevelType w:val="multilevel"/>
    <w:tmpl w:val="E9645512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6933B32"/>
    <w:multiLevelType w:val="multilevel"/>
    <w:tmpl w:val="7658A806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B484E88"/>
    <w:multiLevelType w:val="multilevel"/>
    <w:tmpl w:val="F2D43D5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75F"/>
    <w:rsid w:val="0008375F"/>
    <w:rsid w:val="001E6B6B"/>
    <w:rsid w:val="001F0902"/>
    <w:rsid w:val="002A600B"/>
    <w:rsid w:val="0030672F"/>
    <w:rsid w:val="00AF598D"/>
    <w:rsid w:val="00B06DB5"/>
    <w:rsid w:val="00B84F11"/>
    <w:rsid w:val="00C07DF2"/>
    <w:rsid w:val="00FC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75F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al"/>
    <w:next w:val="normal"/>
    <w:link w:val="Nadpis1Char"/>
    <w:rsid w:val="0008375F"/>
    <w:pPr>
      <w:keepNext/>
      <w:keepLines/>
      <w:spacing w:before="360" w:after="240"/>
      <w:outlineLvl w:val="0"/>
    </w:pPr>
    <w:rPr>
      <w:rFonts w:ascii="Calibri" w:eastAsia="Calibri" w:hAnsi="Calibri" w:cs="Calibri"/>
      <w:b/>
      <w:sz w:val="36"/>
      <w:szCs w:val="36"/>
    </w:rPr>
  </w:style>
  <w:style w:type="paragraph" w:styleId="Nadpis2">
    <w:name w:val="heading 2"/>
    <w:basedOn w:val="normal"/>
    <w:next w:val="normal"/>
    <w:link w:val="Nadpis2Char"/>
    <w:rsid w:val="0008375F"/>
    <w:pPr>
      <w:keepNext/>
      <w:keepLines/>
      <w:outlineLvl w:val="1"/>
    </w:pPr>
    <w:rPr>
      <w:rFonts w:ascii="Calibri" w:eastAsia="Calibri" w:hAnsi="Calibri" w:cs="Calibri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375F"/>
    <w:rPr>
      <w:rFonts w:ascii="Calibri" w:eastAsia="Calibri" w:hAnsi="Calibri" w:cs="Calibri"/>
      <w:b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08375F"/>
    <w:rPr>
      <w:rFonts w:ascii="Calibri" w:eastAsia="Calibri" w:hAnsi="Calibri" w:cs="Calibri"/>
      <w:sz w:val="30"/>
      <w:szCs w:val="30"/>
    </w:rPr>
  </w:style>
  <w:style w:type="paragraph" w:customStyle="1" w:styleId="normal">
    <w:name w:val="normal"/>
    <w:rsid w:val="0008375F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7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2303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3</cp:revision>
  <dcterms:created xsi:type="dcterms:W3CDTF">2025-07-25T00:03:00Z</dcterms:created>
  <dcterms:modified xsi:type="dcterms:W3CDTF">2025-07-30T02:24:00Z</dcterms:modified>
</cp:coreProperties>
</file>