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2E" w:rsidRPr="00CB2E1A" w:rsidRDefault="0078272E" w:rsidP="0078272E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  <w:r w:rsidRPr="00CB2E1A">
        <w:rPr>
          <w:lang w:val="cs-CZ"/>
        </w:rPr>
        <w:br w:type="page"/>
      </w:r>
    </w:p>
    <w:p w:rsidR="0078272E" w:rsidRPr="00CB2E1A" w:rsidRDefault="0078272E" w:rsidP="0078272E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78272E" w:rsidRPr="00CB2E1A" w:rsidRDefault="0078272E" w:rsidP="0078272E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78272E" w:rsidRPr="00CB2E1A" w:rsidRDefault="0078272E" w:rsidP="0078272E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78272E" w:rsidRPr="00CB2E1A" w:rsidRDefault="0078272E" w:rsidP="0078272E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78272E" w:rsidRPr="00CB2E1A" w:rsidRDefault="0078272E" w:rsidP="0078272E">
      <w:pPr>
        <w:pStyle w:val="normal"/>
        <w:jc w:val="center"/>
        <w:rPr>
          <w:rFonts w:ascii="Athiti" w:eastAsia="Athiti" w:hAnsi="Athiti" w:cs="Athiti"/>
          <w:sz w:val="18"/>
          <w:szCs w:val="18"/>
          <w:lang w:val="cs-CZ"/>
        </w:rPr>
      </w:pPr>
      <w:r w:rsidRPr="00CB2E1A">
        <w:rPr>
          <w:rFonts w:ascii="Athiti" w:eastAsia="Athiti" w:hAnsi="Athiti" w:cs="Athiti"/>
          <w:b/>
          <w:noProof/>
          <w:sz w:val="48"/>
          <w:szCs w:val="48"/>
          <w:lang w:val="cs-CZ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4923000</wp:posOffset>
            </wp:positionH>
            <wp:positionV relativeFrom="page">
              <wp:posOffset>10782302</wp:posOffset>
            </wp:positionV>
            <wp:extent cx="2608898" cy="393796"/>
            <wp:effectExtent l="0" t="0" r="0" b="0"/>
            <wp:wrapSquare wrapText="bothSides" distT="114300" distB="11430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 t="21697" b="21697"/>
                    <a:stretch>
                      <a:fillRect/>
                    </a:stretch>
                  </pic:blipFill>
                  <pic:spPr>
                    <a:xfrm>
                      <a:off x="0" y="0"/>
                      <a:ext cx="2608898" cy="393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B2E1A">
        <w:rPr>
          <w:rFonts w:ascii="Athiti" w:eastAsia="Athiti" w:hAnsi="Athiti" w:cs="Athiti"/>
          <w:b/>
          <w:sz w:val="48"/>
          <w:szCs w:val="48"/>
          <w:lang w:val="cs-CZ"/>
        </w:rPr>
        <w:t>Plán reakce na incidenty</w:t>
      </w:r>
    </w:p>
    <w:tbl>
      <w:tblPr>
        <w:tblpPr w:leftFromText="180" w:rightFromText="180" w:topFromText="180" w:bottomFromText="180" w:vertAnchor="text" w:horzAnchor="page" w:tblpX="5556" w:tblpY="5507"/>
        <w:tblW w:w="5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78272E" w:rsidRPr="00CB2E1A" w:rsidTr="001E6C0F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78272E" w:rsidRPr="00CB2E1A" w:rsidRDefault="0078272E" w:rsidP="001E6C0F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Verze:</w:t>
            </w:r>
          </w:p>
        </w:tc>
        <w:tc>
          <w:tcPr>
            <w:tcW w:w="2746" w:type="dxa"/>
          </w:tcPr>
          <w:p w:rsidR="0078272E" w:rsidRPr="00CB2E1A" w:rsidRDefault="0078272E" w:rsidP="001E6C0F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sz w:val="20"/>
                <w:szCs w:val="20"/>
                <w:lang w:val="cs-CZ"/>
              </w:rPr>
              <w:t>1.0</w:t>
            </w:r>
          </w:p>
        </w:tc>
      </w:tr>
      <w:tr w:rsidR="0078272E" w:rsidRPr="00CB2E1A" w:rsidTr="001E6C0F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78272E" w:rsidRPr="00CB2E1A" w:rsidRDefault="0078272E" w:rsidP="001E6C0F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78272E" w:rsidRPr="00CB2E1A" w:rsidRDefault="00CB2E1A" w:rsidP="001E6C0F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  <w:tr w:rsidR="0078272E" w:rsidRPr="00CB2E1A" w:rsidTr="001E6C0F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78272E" w:rsidRPr="00CB2E1A" w:rsidRDefault="0078272E" w:rsidP="001E6C0F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78272E" w:rsidRPr="00CB2E1A" w:rsidRDefault="0078272E" w:rsidP="001E6C0F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sz w:val="20"/>
                <w:szCs w:val="20"/>
                <w:lang w:val="cs-CZ"/>
              </w:rPr>
              <w:t>Compliance</w:t>
            </w:r>
          </w:p>
        </w:tc>
      </w:tr>
      <w:tr w:rsidR="0078272E" w:rsidRPr="00CB2E1A" w:rsidTr="001E6C0F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78272E" w:rsidRPr="00CB2E1A" w:rsidRDefault="0078272E" w:rsidP="001E6C0F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78272E" w:rsidRPr="00CB2E1A" w:rsidRDefault="00CB2E1A" w:rsidP="001E6C0F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</w:tbl>
    <w:p w:rsidR="0078272E" w:rsidRPr="00CB2E1A" w:rsidRDefault="0078272E" w:rsidP="0078272E">
      <w:pPr>
        <w:pStyle w:val="normal"/>
        <w:spacing w:before="240" w:after="240" w:line="240" w:lineRule="auto"/>
        <w:jc w:val="left"/>
        <w:rPr>
          <w:rFonts w:ascii="Athiti" w:eastAsia="Athiti" w:hAnsi="Athiti" w:cs="Athiti"/>
          <w:sz w:val="18"/>
          <w:szCs w:val="18"/>
          <w:lang w:val="cs-CZ"/>
        </w:rPr>
      </w:pPr>
      <w:r w:rsidRPr="00CB2E1A">
        <w:rPr>
          <w:lang w:val="cs-CZ"/>
        </w:rPr>
        <w:br w:type="page"/>
      </w:r>
    </w:p>
    <w:p w:rsidR="0078272E" w:rsidRPr="00CB2E1A" w:rsidRDefault="0078272E" w:rsidP="0078272E">
      <w:pPr>
        <w:pStyle w:val="normal"/>
        <w:jc w:val="left"/>
        <w:rPr>
          <w:rFonts w:ascii="Athiti" w:eastAsia="Athiti" w:hAnsi="Athiti" w:cs="Athiti"/>
          <w:color w:val="444444"/>
          <w:sz w:val="20"/>
          <w:szCs w:val="20"/>
          <w:lang w:val="cs-CZ"/>
        </w:rPr>
      </w:pPr>
    </w:p>
    <w:p w:rsidR="0078272E" w:rsidRPr="00CB2E1A" w:rsidRDefault="0078272E" w:rsidP="0078272E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r w:rsidRPr="00CB2E1A">
        <w:rPr>
          <w:rFonts w:ascii="Athiti" w:eastAsia="Athiti" w:hAnsi="Athiti" w:cs="Athiti"/>
          <w:b/>
          <w:sz w:val="36"/>
          <w:szCs w:val="36"/>
          <w:lang w:val="cs-CZ"/>
        </w:rPr>
        <w:t>Obsah</w:t>
      </w:r>
    </w:p>
    <w:sdt>
      <w:sdtPr>
        <w:rPr>
          <w:lang w:val="cs-CZ"/>
        </w:rPr>
        <w:id w:val="338462595"/>
        <w:docPartObj>
          <w:docPartGallery w:val="Table of Contents"/>
          <w:docPartUnique/>
        </w:docPartObj>
      </w:sdtPr>
      <w:sdtContent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r w:rsidRPr="00CB2E1A">
            <w:rPr>
              <w:lang w:val="cs-CZ"/>
            </w:rPr>
            <w:fldChar w:fldCharType="begin"/>
          </w:r>
          <w:r w:rsidR="0078272E" w:rsidRPr="00CB2E1A">
            <w:rPr>
              <w:lang w:val="cs-CZ"/>
            </w:rPr>
            <w:instrText xml:space="preserve"> TOC \h \u \z \t "Heading 1,1,Heading 2,2,Heading 3,3,"</w:instrText>
          </w:r>
          <w:r w:rsidRPr="00CB2E1A">
            <w:rPr>
              <w:lang w:val="cs-CZ"/>
            </w:rPr>
            <w:fldChar w:fldCharType="separate"/>
          </w:r>
          <w:hyperlink w:anchor="_heading=h.ckmlbwjrjy0m">
            <w:r w:rsidR="0078272E" w:rsidRPr="00CB2E1A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Pojmy a definice</w:t>
            </w:r>
            <w:r w:rsidR="0078272E" w:rsidRPr="00CB2E1A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3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yqt0y456imj9"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>1 Úvod</w:t>
            </w:r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4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71nw6gai2fxm"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>2 Obecná ustanovení</w:t>
            </w:r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5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auznkrbqri8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2.1 Rozsah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5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xdp7pef20w9o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2.2 Revize politiky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5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34i5nfuvvf73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2.3 Komunikace politiky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5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xc4uiv1sne3h"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>3 Reakce na incidenty</w:t>
            </w:r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6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ey7y03g56m2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3.1 Role a odpovědnosti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6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fskf0owop847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3.2 Postup reakce na incident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7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mv0aspwcz3kf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3.2.1 Detekce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7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se5duyzgeqmt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3.2.2 Analýza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7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c0rgqee5ih7d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3.2.3 Zadržení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8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5sigiz8yjogn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3.2.4 Eliminace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8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hvmxv8wd1ns5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3.2.5 Obnova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8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ntd9ayrkkyv1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3.2.6 Analýza a aktivity po incidentu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9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o91mjq5wl3ps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3.3 Komunikace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9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hbz9bvh95s6t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3.4 Postupy reakce na incidenty (playbooks)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9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vymonhehizn">
            <w:r w:rsidR="0078272E" w:rsidRPr="00CB2E1A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4 Závěrečná ustanovení</w:t>
            </w:r>
            <w:r w:rsidR="0078272E" w:rsidRPr="00CB2E1A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lu863o254ywy"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4.1 Povinnost dodržování</w:t>
            </w:r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hm6u4ag58gwz"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4.2 Revize a aktualizace</w:t>
            </w:r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zdlpjp2u05g7"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4.3 Porušení pravidel</w:t>
            </w:r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nampotgjyx6t"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4.4 Kontaktní informace</w:t>
            </w:r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52ze0llfl2zl"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4.5 Účinnost</w:t>
            </w:r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izvf9oj5sbt"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>Příloha A</w:t>
            </w:r>
            <w:r w:rsidR="0078272E" w:rsidRPr="00CB2E1A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11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38m3bptjf5ou"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P1 Phishing</w:t>
            </w:r>
            <w:r w:rsidR="0078272E" w:rsidRPr="00CB2E1A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11</w:t>
            </w:r>
          </w:hyperlink>
        </w:p>
        <w:p w:rsidR="0078272E" w:rsidRPr="00CB2E1A" w:rsidRDefault="000B5261" w:rsidP="0078272E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tpcxkybxnvgt"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>P2 Malware</w:t>
            </w:r>
            <w:r w:rsidR="0078272E" w:rsidRPr="00CB2E1A">
              <w:rPr>
                <w:rFonts w:ascii="Athiti" w:eastAsia="Athiti" w:hAnsi="Athiti" w:cs="Athiti"/>
                <w:color w:val="000000"/>
                <w:lang w:val="cs-CZ"/>
              </w:rPr>
              <w:tab/>
              <w:t>12</w:t>
            </w:r>
          </w:hyperlink>
          <w:r w:rsidRPr="00CB2E1A">
            <w:rPr>
              <w:lang w:val="cs-CZ"/>
            </w:rPr>
            <w:fldChar w:fldCharType="end"/>
          </w:r>
        </w:p>
      </w:sdtContent>
    </w:sdt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546A"/>
          <w:sz w:val="32"/>
          <w:szCs w:val="32"/>
          <w:lang w:val="cs-CZ"/>
        </w:rPr>
      </w:pPr>
      <w:r w:rsidRPr="00CB2E1A">
        <w:rPr>
          <w:lang w:val="cs-CZ"/>
        </w:rPr>
        <w:br w:type="page"/>
      </w:r>
    </w:p>
    <w:p w:rsidR="0078272E" w:rsidRPr="00CB2E1A" w:rsidRDefault="0078272E" w:rsidP="0078272E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sz w:val="28"/>
          <w:szCs w:val="28"/>
          <w:lang w:val="cs-CZ"/>
        </w:rPr>
      </w:pPr>
      <w:bookmarkStart w:id="0" w:name="_heading=h.ckmlbwjrjy0m" w:colFirst="0" w:colLast="0"/>
      <w:bookmarkEnd w:id="0"/>
      <w:r w:rsidRPr="00CB2E1A">
        <w:rPr>
          <w:rFonts w:ascii="Athiti" w:eastAsia="Athiti" w:hAnsi="Athiti" w:cs="Athiti"/>
          <w:sz w:val="28"/>
          <w:szCs w:val="28"/>
          <w:lang w:val="cs-CZ"/>
        </w:rPr>
        <w:lastRenderedPageBreak/>
        <w:t>Pojmy a definice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lang w:val="cs-CZ"/>
        </w:rPr>
      </w:pPr>
    </w:p>
    <w:tbl>
      <w:tblPr>
        <w:tblW w:w="944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510"/>
        <w:gridCol w:w="6935"/>
      </w:tblGrid>
      <w:tr w:rsidR="0078272E" w:rsidRPr="00CB2E1A" w:rsidTr="001E6C0F">
        <w:trPr>
          <w:cantSplit/>
          <w:trHeight w:val="51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Pojem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Bezpečnostní incident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Událost, která má nebo může mít negativní dopad na informační bezpečnost společnosti.</w:t>
            </w:r>
          </w:p>
        </w:tc>
      </w:tr>
      <w:tr w:rsidR="0078272E" w:rsidRPr="00CB2E1A" w:rsidTr="001E6C0F">
        <w:trPr>
          <w:cantSplit/>
          <w:trHeight w:val="51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Incident Response (IR)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Proces detekce, analýzy, zadržení, eliminace a obnovy po incidentu.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Phishing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Typ útoku využívající podvodné e-maily ke krádeži údajů nebo infikování systémů.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Malware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Škodlivý software, který narušuje funkčnost systému nebo ohrožuje informace.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Playbook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Předem definovaný scénář kroků, které je třeba provést při určitém typu incidentu.</w:t>
            </w:r>
          </w:p>
        </w:tc>
      </w:tr>
      <w:tr w:rsidR="0078272E" w:rsidRPr="00CB2E1A" w:rsidTr="001E6C0F">
        <w:trPr>
          <w:cantSplit/>
          <w:trHeight w:val="51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Společnost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CB2E1A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>
              <w:rPr>
                <w:rFonts w:ascii="Athiti" w:eastAsia="Athiti" w:hAnsi="Athiti" w:cs="Athiti"/>
                <w:lang w:val="cs-CZ"/>
              </w:rPr>
              <w:t xml:space="preserve">ZMAN - KESEF s.r.o. </w:t>
            </w:r>
            <w:r w:rsidR="0078272E" w:rsidRPr="00CB2E1A">
              <w:rPr>
                <w:rFonts w:ascii="Athiti" w:eastAsia="Athiti" w:hAnsi="Athiti" w:cs="Athiti"/>
                <w:lang w:val="cs-CZ"/>
              </w:rPr>
              <w:t>(pokud není uvedeno jinak).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CISO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Chief Information Security Officer – osoba zodpovědná za řízení informační bezpečnosti.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ISMS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Information Security Management System – systém řízení informační bezpečnosti podle normy ISO/IEC 27001.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Incident Response Team (IRT)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Skupina osob odpovědných za plánování, koordinaci a řešení bezpečnostních incidentů.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Únik dat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Neoprávněné zveřejnění, zpřístupnění nebo ztráta důvěrných informací.</w:t>
            </w:r>
          </w:p>
        </w:tc>
      </w:tr>
      <w:tr w:rsidR="0078272E" w:rsidRPr="00CB2E1A" w:rsidTr="001E6C0F">
        <w:trPr>
          <w:cantSplit/>
          <w:trHeight w:val="51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Zranitelnost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Slabé místo systému, které může být zneužito hrozbou.</w:t>
            </w:r>
          </w:p>
        </w:tc>
      </w:tr>
      <w:tr w:rsidR="0078272E" w:rsidRPr="00CB2E1A" w:rsidTr="001E6C0F">
        <w:trPr>
          <w:cantSplit/>
          <w:trHeight w:val="51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Hrozba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Potenciální příčina incidentu, která může využít zranitelnost systému.</w:t>
            </w:r>
          </w:p>
        </w:tc>
      </w:tr>
      <w:tr w:rsidR="0078272E" w:rsidRPr="00CB2E1A" w:rsidTr="001E6C0F">
        <w:trPr>
          <w:cantSplit/>
          <w:trHeight w:val="51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Riziko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Kombinace pravděpodobnosti výskytu hrozby a dopadu na systém.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lastRenderedPageBreak/>
              <w:t>Zásady bezpečnosti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Soubor pravidel a pokynů, které definují požadavky na zajištění bezpečnosti informací.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Kritická služba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Služba, jejíž přerušení by mohlo mít významný negativní dopad na činnost organizace.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Forenzní analýza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Proces sběru, uchování a analýzy důkazů z IT systémů za účelem zjištění příčiny incidentu a jeho průběhu.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Business Continuity Plan (BCP)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Plán kontinuity činností společnosti, který popisuje postupy obnovy klíčových procesů po incidentu.</w:t>
            </w:r>
          </w:p>
        </w:tc>
      </w:tr>
      <w:tr w:rsidR="0078272E" w:rsidRPr="00CB2E1A" w:rsidTr="001E6C0F">
        <w:trPr>
          <w:cantSplit/>
          <w:trHeight w:val="51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GDPR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Obecné nařízení o ochraně osobních údajů (EU) 2016/679.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DORA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Nařízení EU o digitální provozní odolnosti finančního sektoru (2022/2554).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SOC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Security Operations Center – tým odpovědný za monitorování a ochranu IT infrastruktury organizace.</w:t>
            </w:r>
          </w:p>
        </w:tc>
      </w:tr>
      <w:tr w:rsidR="0078272E" w:rsidRPr="00CB2E1A" w:rsidTr="001E6C0F">
        <w:trPr>
          <w:cantSplit/>
          <w:trHeight w:val="785"/>
          <w:tblHeader/>
        </w:trPr>
        <w:tc>
          <w:tcPr>
            <w:tcW w:w="25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SIEM</w:t>
            </w:r>
          </w:p>
        </w:tc>
        <w:tc>
          <w:tcPr>
            <w:tcW w:w="693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72E" w:rsidRPr="00CB2E1A" w:rsidRDefault="0078272E" w:rsidP="001E6C0F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lang w:val="cs-CZ"/>
              </w:rPr>
              <w:t>Security Information and Event Management – systém pro sběr, analýzu a korelaci bezpečnostních událostí.</w:t>
            </w:r>
          </w:p>
        </w:tc>
      </w:tr>
    </w:tbl>
    <w:p w:rsidR="0078272E" w:rsidRPr="00CB2E1A" w:rsidRDefault="0078272E" w:rsidP="0078272E">
      <w:pPr>
        <w:pStyle w:val="Nadpis1"/>
        <w:rPr>
          <w:rFonts w:ascii="Athiti" w:eastAsia="Athiti" w:hAnsi="Athiti" w:cs="Athiti"/>
          <w:b w:val="0"/>
          <w:color w:val="000000"/>
          <w:lang w:val="cs-CZ"/>
        </w:rPr>
      </w:pPr>
      <w:bookmarkStart w:id="1" w:name="_heading=h.yqt0y456imj9" w:colFirst="0" w:colLast="0"/>
      <w:bookmarkEnd w:id="1"/>
      <w:r w:rsidRPr="00CB2E1A">
        <w:rPr>
          <w:rFonts w:ascii="Athiti" w:eastAsia="Athiti" w:hAnsi="Athiti" w:cs="Athiti"/>
          <w:color w:val="000000"/>
          <w:lang w:val="cs-CZ"/>
        </w:rPr>
        <w:t xml:space="preserve">1 </w:t>
      </w:r>
      <w:r w:rsidRPr="00CB2E1A">
        <w:rPr>
          <w:rFonts w:ascii="Athiti" w:eastAsia="Athiti" w:hAnsi="Athiti" w:cs="Athiti"/>
          <w:lang w:val="cs-CZ"/>
        </w:rPr>
        <w:t>Úvod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Tento dokument představuje komplexní </w:t>
      </w:r>
      <w:r w:rsidRPr="00CB2E1A">
        <w:rPr>
          <w:rFonts w:ascii="Athiti" w:eastAsia="Athiti" w:hAnsi="Athiti" w:cs="Athiti"/>
          <w:b/>
          <w:color w:val="444444"/>
          <w:lang w:val="cs-CZ"/>
        </w:rPr>
        <w:t>Plán reakce na bezpečnostní incidenty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 (dále jen „Plán“), který je závazný pro všechny zaměstnance, externí dodavatele, partnery a další třetí strany, které mají přístup k systémům, datům a informačním aktivům společnosti (dále jen „společnost“). Plán definuje jednotný a systematický postup pro identifikaci, analýzu, zadržení, eliminaci a obnovu po incidentech, které by mohly narušit </w:t>
      </w:r>
      <w:r w:rsidRPr="00CB2E1A">
        <w:rPr>
          <w:rFonts w:ascii="Athiti" w:eastAsia="Athiti" w:hAnsi="Athiti" w:cs="Athiti"/>
          <w:b/>
          <w:color w:val="444444"/>
          <w:lang w:val="cs-CZ"/>
        </w:rPr>
        <w:t>dostupnost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, </w:t>
      </w:r>
      <w:r w:rsidRPr="00CB2E1A">
        <w:rPr>
          <w:rFonts w:ascii="Athiti" w:eastAsia="Athiti" w:hAnsi="Athiti" w:cs="Athiti"/>
          <w:b/>
          <w:color w:val="444444"/>
          <w:lang w:val="cs-CZ"/>
        </w:rPr>
        <w:t>integritu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 nebo </w:t>
      </w:r>
      <w:r w:rsidRPr="00CB2E1A">
        <w:rPr>
          <w:rFonts w:ascii="Athiti" w:eastAsia="Athiti" w:hAnsi="Athiti" w:cs="Athiti"/>
          <w:b/>
          <w:color w:val="444444"/>
          <w:lang w:val="cs-CZ"/>
        </w:rPr>
        <w:t>důvěrnost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 informací a IT systémů společnosti.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Cílem Plánu je:</w:t>
      </w:r>
    </w:p>
    <w:p w:rsidR="0078272E" w:rsidRPr="00CB2E1A" w:rsidRDefault="0078272E" w:rsidP="0078272E">
      <w:pPr>
        <w:pStyle w:val="normal"/>
        <w:numPr>
          <w:ilvl w:val="0"/>
          <w:numId w:val="15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zajistit rychlou, efektivní a koordinovanou reakci na všechny typy bezpečnostních incidentů,</w:t>
      </w:r>
    </w:p>
    <w:p w:rsidR="0078272E" w:rsidRPr="00CB2E1A" w:rsidRDefault="0078272E" w:rsidP="0078272E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minimalizovat dopady incidentů na provozní činnost, reputaci společnosti, obchodní partnery, zákazníky a další zúčastněné strany,</w:t>
      </w:r>
    </w:p>
    <w:p w:rsidR="0078272E" w:rsidRPr="00CB2E1A" w:rsidRDefault="0078272E" w:rsidP="0078272E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chránit integritu důkazního materiálu pro účely interní analýzy, případného forenzního šetření nebo právních kroků,</w:t>
      </w:r>
    </w:p>
    <w:p w:rsidR="0078272E" w:rsidRPr="00CB2E1A" w:rsidRDefault="0078272E" w:rsidP="0078272E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podporovat dodržování legislativních a regulatorních požadavků, zejména v oblasti ochrany osobních údajů (např. GDPR), kybernetické bezpečnosti a dalších relevantních předpisů,</w:t>
      </w:r>
    </w:p>
    <w:p w:rsidR="0078272E" w:rsidRPr="00CB2E1A" w:rsidRDefault="0078272E" w:rsidP="0078272E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lastRenderedPageBreak/>
        <w:t>zvýšit odolnost společnosti proti současným i budoucím kybernetickým hrozbám prostřednictvím procesu neustálého zlepšování bezpečnostních postupů a opatření,</w:t>
      </w:r>
    </w:p>
    <w:p w:rsidR="0078272E" w:rsidRPr="00CB2E1A" w:rsidRDefault="0078272E" w:rsidP="0078272E">
      <w:pPr>
        <w:pStyle w:val="normal"/>
        <w:numPr>
          <w:ilvl w:val="0"/>
          <w:numId w:val="15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posílit povědomí všech zúčastněných stran o důležitosti informační bezpečnosti a jejich rolích a odpovědnostech při prevenci a řešení incidentů.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Tento Plán je nedílnou součástí systému řízení informační bezpečnosti společnosti (</w:t>
      </w:r>
      <w:r w:rsidRPr="00CB2E1A">
        <w:rPr>
          <w:rFonts w:ascii="Athiti" w:eastAsia="Athiti" w:hAnsi="Athiti" w:cs="Athiti"/>
          <w:b/>
          <w:color w:val="444444"/>
          <w:lang w:val="cs-CZ"/>
        </w:rPr>
        <w:t>ISMS</w:t>
      </w:r>
      <w:r w:rsidRPr="00CB2E1A">
        <w:rPr>
          <w:rFonts w:ascii="Athiti" w:eastAsia="Athiti" w:hAnsi="Athiti" w:cs="Athiti"/>
          <w:color w:val="444444"/>
          <w:lang w:val="cs-CZ"/>
        </w:rPr>
        <w:t>) a je v souladu s mezinárodními standardy a osvědčenými postupy, zejména:</w:t>
      </w:r>
    </w:p>
    <w:p w:rsidR="0078272E" w:rsidRPr="00CB2E1A" w:rsidRDefault="0078272E" w:rsidP="0078272E">
      <w:pPr>
        <w:pStyle w:val="normal"/>
        <w:numPr>
          <w:ilvl w:val="0"/>
          <w:numId w:val="1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b/>
          <w:color w:val="444444"/>
          <w:lang w:val="cs-CZ"/>
        </w:rPr>
        <w:t>ISO/IEC 27001 – Systém managementu informační bezpečnosti</w:t>
      </w:r>
      <w:r w:rsidRPr="00CB2E1A">
        <w:rPr>
          <w:rFonts w:ascii="Athiti" w:eastAsia="Athiti" w:hAnsi="Athiti" w:cs="Athiti"/>
          <w:color w:val="444444"/>
          <w:lang w:val="cs-CZ"/>
        </w:rPr>
        <w:t>, a</w:t>
      </w:r>
    </w:p>
    <w:p w:rsidR="0078272E" w:rsidRPr="00CB2E1A" w:rsidRDefault="0078272E" w:rsidP="0078272E">
      <w:pPr>
        <w:pStyle w:val="normal"/>
        <w:numPr>
          <w:ilvl w:val="0"/>
          <w:numId w:val="1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b/>
          <w:color w:val="444444"/>
          <w:lang w:val="cs-CZ"/>
        </w:rPr>
        <w:t>ISO/IEC 27035 – Řízení incidentů informační bezpečnosti</w:t>
      </w:r>
      <w:r w:rsidRPr="00CB2E1A">
        <w:rPr>
          <w:rFonts w:ascii="Athiti" w:eastAsia="Athiti" w:hAnsi="Athiti" w:cs="Athiti"/>
          <w:color w:val="444444"/>
          <w:lang w:val="cs-CZ"/>
        </w:rPr>
        <w:t>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Plán stanovuje:</w:t>
      </w:r>
    </w:p>
    <w:p w:rsidR="0078272E" w:rsidRPr="00CB2E1A" w:rsidRDefault="0078272E" w:rsidP="0078272E">
      <w:pPr>
        <w:pStyle w:val="normal"/>
        <w:numPr>
          <w:ilvl w:val="0"/>
          <w:numId w:val="3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jasnou strukturu odpovědností a rolí při řízení incidentů,</w:t>
      </w:r>
    </w:p>
    <w:p w:rsidR="0078272E" w:rsidRPr="00CB2E1A" w:rsidRDefault="0078272E" w:rsidP="0078272E">
      <w:pPr>
        <w:pStyle w:val="normal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přesný postup při detekci, hodnocení, zadržení, odstranění a obnově po incidentech,</w:t>
      </w:r>
    </w:p>
    <w:p w:rsidR="0078272E" w:rsidRPr="00CB2E1A" w:rsidRDefault="0078272E" w:rsidP="0078272E">
      <w:pPr>
        <w:pStyle w:val="normal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zásady dokumentace incidentů a uchování důkazů,</w:t>
      </w:r>
    </w:p>
    <w:p w:rsidR="0078272E" w:rsidRPr="00CB2E1A" w:rsidRDefault="0078272E" w:rsidP="0078272E">
      <w:pPr>
        <w:pStyle w:val="normal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pravidla komunikace během incidentu – interní i externí,</w:t>
      </w:r>
    </w:p>
    <w:p w:rsidR="0078272E" w:rsidRPr="00CB2E1A" w:rsidRDefault="0078272E" w:rsidP="0078272E">
      <w:pPr>
        <w:pStyle w:val="normal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návazné kroky po ukončení incidentu, jako je zpětná analýza (lessons learned) a implementace nápravných opatření,</w:t>
      </w:r>
    </w:p>
    <w:p w:rsidR="0078272E" w:rsidRPr="00CB2E1A" w:rsidRDefault="0078272E" w:rsidP="0078272E">
      <w:pPr>
        <w:pStyle w:val="normal"/>
        <w:numPr>
          <w:ilvl w:val="0"/>
          <w:numId w:val="3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a playbooky pro konkrétní typy incidentů (například phishing nebo malware), které poskytují praktické návody k řešení těchto hrozeb.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Tento dokument slouží jako základní referenční rámec pro všechny zaměstnance společnosti a členy týmu odpovědné za řešení bezpečnostních incidentů. Všichni zaměstnanci a relevantní třetí strany jsou povinni se s tímto dokumentem seznámit, řídit se jím a aktivně spolupracovat při zajištění bezpečnosti informačních aktiv společnosti.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</w:p>
    <w:p w:rsidR="0078272E" w:rsidRPr="00CB2E1A" w:rsidRDefault="0078272E" w:rsidP="0078272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thiti" w:eastAsia="Athiti" w:hAnsi="Athiti" w:cs="Athiti"/>
          <w:b/>
          <w:color w:val="44546A"/>
          <w:sz w:val="32"/>
          <w:szCs w:val="32"/>
          <w:lang w:val="cs-CZ"/>
        </w:rPr>
      </w:pPr>
      <w:r w:rsidRPr="00CB2E1A">
        <w:rPr>
          <w:lang w:val="cs-CZ"/>
        </w:rPr>
        <w:br w:type="page"/>
      </w:r>
    </w:p>
    <w:p w:rsidR="0078272E" w:rsidRPr="00CB2E1A" w:rsidRDefault="0078272E" w:rsidP="0078272E">
      <w:pPr>
        <w:pStyle w:val="Nadpis1"/>
        <w:rPr>
          <w:rFonts w:ascii="Athiti" w:eastAsia="Athiti" w:hAnsi="Athiti" w:cs="Athiti"/>
          <w:color w:val="000000"/>
          <w:lang w:val="cs-CZ"/>
        </w:rPr>
      </w:pPr>
      <w:bookmarkStart w:id="2" w:name="_heading=h.71nw6gai2fxm" w:colFirst="0" w:colLast="0"/>
      <w:bookmarkEnd w:id="2"/>
      <w:r w:rsidRPr="00CB2E1A">
        <w:rPr>
          <w:rFonts w:ascii="Athiti" w:eastAsia="Athiti" w:hAnsi="Athiti" w:cs="Athiti"/>
          <w:lang w:val="cs-CZ"/>
        </w:rPr>
        <w:lastRenderedPageBreak/>
        <w:t>2 Obecná ustanovení</w:t>
      </w:r>
    </w:p>
    <w:p w:rsidR="0078272E" w:rsidRPr="00CB2E1A" w:rsidRDefault="0078272E" w:rsidP="0078272E">
      <w:pPr>
        <w:pStyle w:val="Nadpis2"/>
        <w:rPr>
          <w:rFonts w:ascii="Athiti" w:eastAsia="Athiti" w:hAnsi="Athiti" w:cs="Athiti"/>
          <w:lang w:val="cs-CZ"/>
        </w:rPr>
      </w:pPr>
      <w:bookmarkStart w:id="3" w:name="_heading=h.auznkrbqri8" w:colFirst="0" w:colLast="0"/>
      <w:bookmarkEnd w:id="3"/>
      <w:r w:rsidRPr="00CB2E1A">
        <w:rPr>
          <w:rFonts w:ascii="Athiti" w:eastAsia="Athiti" w:hAnsi="Athiti" w:cs="Athiti"/>
          <w:lang w:val="cs-CZ"/>
        </w:rPr>
        <w:t>2.1 Rozsah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 xml:space="preserve">Tento Plán se vztahuje na </w:t>
      </w:r>
      <w:r w:rsidRPr="00CB2E1A">
        <w:rPr>
          <w:rFonts w:ascii="Athiti" w:eastAsia="Athiti" w:hAnsi="Athiti" w:cs="Athiti"/>
          <w:b/>
          <w:lang w:val="cs-CZ"/>
        </w:rPr>
        <w:t>všechny informační systémy, procesy, data a osoby</w:t>
      </w:r>
      <w:r w:rsidRPr="00CB2E1A">
        <w:rPr>
          <w:rFonts w:ascii="Athiti" w:eastAsia="Athiti" w:hAnsi="Athiti" w:cs="Athiti"/>
          <w:lang w:val="cs-CZ"/>
        </w:rPr>
        <w:t>, které tvoří informační infrastrukturu společnosti, včetně:</w:t>
      </w:r>
    </w:p>
    <w:p w:rsidR="0078272E" w:rsidRPr="00CB2E1A" w:rsidRDefault="0078272E" w:rsidP="0078272E">
      <w:pPr>
        <w:pStyle w:val="normal"/>
        <w:numPr>
          <w:ilvl w:val="0"/>
          <w:numId w:val="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členů statutárních orgánů a ředitelů společnosti,</w:t>
      </w:r>
    </w:p>
    <w:p w:rsidR="0078272E" w:rsidRPr="00CB2E1A" w:rsidRDefault="0078272E" w:rsidP="0078272E">
      <w:pPr>
        <w:pStyle w:val="normal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všech zaměstnanců společnosti, bez ohledu na jejich pracovní zařazení a smluvní vztah (HPP, DPP, DPČ),</w:t>
      </w:r>
    </w:p>
    <w:p w:rsidR="0078272E" w:rsidRPr="00CB2E1A" w:rsidRDefault="0078272E" w:rsidP="0078272E">
      <w:pPr>
        <w:pStyle w:val="normal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dodavatelů, subdodavatelů, konzultantů a dalších třetích stran, které mají přístup k informačním systémům, datům a zařízením společnosti,</w:t>
      </w:r>
    </w:p>
    <w:p w:rsidR="0078272E" w:rsidRPr="00CB2E1A" w:rsidRDefault="0078272E" w:rsidP="0078272E">
      <w:pPr>
        <w:pStyle w:val="normal"/>
        <w:numPr>
          <w:ilvl w:val="0"/>
          <w:numId w:val="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externích partnerů, poskytovatelů služeb a hostů, pokud jsou jim dočasně přiděleny přístupy k systémům nebo informacím společnosti.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Rozsah Plánu se vztahuje na všechny aktivity, které mají dopad na:</w:t>
      </w:r>
    </w:p>
    <w:p w:rsidR="0078272E" w:rsidRPr="00CB2E1A" w:rsidRDefault="0078272E" w:rsidP="0078272E">
      <w:pPr>
        <w:pStyle w:val="normal"/>
        <w:numPr>
          <w:ilvl w:val="0"/>
          <w:numId w:val="1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b/>
          <w:lang w:val="cs-CZ"/>
        </w:rPr>
        <w:t>důvěrnost</w:t>
      </w:r>
      <w:r w:rsidRPr="00CB2E1A">
        <w:rPr>
          <w:rFonts w:ascii="Athiti" w:eastAsia="Athiti" w:hAnsi="Athiti" w:cs="Athiti"/>
          <w:lang w:val="cs-CZ"/>
        </w:rPr>
        <w:t xml:space="preserve"> informací (zajištění, že informace nejsou zpřístupněny neoprávněným osobám),</w:t>
      </w:r>
    </w:p>
    <w:p w:rsidR="0078272E" w:rsidRPr="00CB2E1A" w:rsidRDefault="0078272E" w:rsidP="0078272E">
      <w:pPr>
        <w:pStyle w:val="normal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b/>
          <w:lang w:val="cs-CZ"/>
        </w:rPr>
        <w:t>integritu</w:t>
      </w:r>
      <w:r w:rsidRPr="00CB2E1A">
        <w:rPr>
          <w:rFonts w:ascii="Athiti" w:eastAsia="Athiti" w:hAnsi="Athiti" w:cs="Athiti"/>
          <w:lang w:val="cs-CZ"/>
        </w:rPr>
        <w:t xml:space="preserve"> informací (zajištění správnosti a úplnosti dat a systémů),</w:t>
      </w:r>
    </w:p>
    <w:p w:rsidR="0078272E" w:rsidRPr="00CB2E1A" w:rsidRDefault="0078272E" w:rsidP="0078272E">
      <w:pPr>
        <w:pStyle w:val="normal"/>
        <w:numPr>
          <w:ilvl w:val="0"/>
          <w:numId w:val="1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b/>
          <w:lang w:val="cs-CZ"/>
        </w:rPr>
        <w:t>dostupnost</w:t>
      </w:r>
      <w:r w:rsidRPr="00CB2E1A">
        <w:rPr>
          <w:rFonts w:ascii="Athiti" w:eastAsia="Athiti" w:hAnsi="Athiti" w:cs="Athiti"/>
          <w:lang w:val="cs-CZ"/>
        </w:rPr>
        <w:t xml:space="preserve"> informací (zajištění dostupnosti systémů a služeb pro oprávněné uživatele).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lang w:val="cs-CZ"/>
        </w:rPr>
        <w:t>Plán se uplatňuje napříč celou společností a je závazný pro všechny zúčastněné strany, které manipulují s informačními aktivy společnosti, bez ohledu na jejich geografickou polohu nebo formu spolupráce.</w:t>
      </w:r>
    </w:p>
    <w:p w:rsidR="0078272E" w:rsidRPr="00CB2E1A" w:rsidRDefault="0078272E" w:rsidP="0078272E">
      <w:pPr>
        <w:pStyle w:val="Nadpis2"/>
        <w:rPr>
          <w:rFonts w:ascii="Athiti" w:eastAsia="Athiti" w:hAnsi="Athiti" w:cs="Athiti"/>
          <w:lang w:val="cs-CZ"/>
        </w:rPr>
      </w:pPr>
      <w:bookmarkStart w:id="4" w:name="_heading=h.xdp7pef20w9o" w:colFirst="0" w:colLast="0"/>
      <w:bookmarkEnd w:id="4"/>
      <w:r w:rsidRPr="00CB2E1A">
        <w:rPr>
          <w:rFonts w:ascii="Athiti" w:eastAsia="Athiti" w:hAnsi="Athiti" w:cs="Athiti"/>
          <w:lang w:val="cs-CZ"/>
        </w:rPr>
        <w:t>2.2 Revize politiky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Vlastníkem tohoto dokumentu je </w:t>
      </w:r>
      <w:r w:rsidRPr="00CB2E1A">
        <w:rPr>
          <w:rFonts w:ascii="Athiti" w:eastAsia="Athiti" w:hAnsi="Athiti" w:cs="Athiti"/>
          <w:b/>
          <w:color w:val="444444"/>
          <w:lang w:val="cs-CZ"/>
        </w:rPr>
        <w:t>Chief Information Security Officer (CISO)</w:t>
      </w:r>
      <w:r w:rsidRPr="00CB2E1A">
        <w:rPr>
          <w:rFonts w:ascii="Athiti" w:eastAsia="Athiti" w:hAnsi="Athiti" w:cs="Athiti"/>
          <w:color w:val="444444"/>
          <w:lang w:val="cs-CZ"/>
        </w:rPr>
        <w:t>, který zodpovídá za jeho pravidelnou kontrolu, aktualizaci a distribuci. CISO je povinen dokument:</w:t>
      </w:r>
    </w:p>
    <w:p w:rsidR="0078272E" w:rsidRPr="00CB2E1A" w:rsidRDefault="0078272E" w:rsidP="0078272E">
      <w:pPr>
        <w:pStyle w:val="normal"/>
        <w:numPr>
          <w:ilvl w:val="0"/>
          <w:numId w:val="4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přezkoumat alespoň </w:t>
      </w:r>
      <w:r w:rsidRPr="00CB2E1A">
        <w:rPr>
          <w:rFonts w:ascii="Athiti" w:eastAsia="Athiti" w:hAnsi="Athiti" w:cs="Athiti"/>
          <w:b/>
          <w:color w:val="444444"/>
          <w:lang w:val="cs-CZ"/>
        </w:rPr>
        <w:t>jednou ročně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 (nejpozději do 31. prosince daného roku),</w:t>
      </w:r>
    </w:p>
    <w:p w:rsidR="0078272E" w:rsidRPr="00CB2E1A" w:rsidRDefault="0078272E" w:rsidP="0078272E">
      <w:pPr>
        <w:pStyle w:val="normal"/>
        <w:numPr>
          <w:ilvl w:val="0"/>
          <w:numId w:val="4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provést aktualizace v návaznosti na změny legislativy, regulatorních požadavků, technologického prostředí nebo v důsledku zjištění při řešení incidentů a auditech,</w:t>
      </w:r>
    </w:p>
    <w:p w:rsidR="0078272E" w:rsidRPr="00CB2E1A" w:rsidRDefault="0078272E" w:rsidP="0078272E">
      <w:pPr>
        <w:pStyle w:val="normal"/>
        <w:numPr>
          <w:ilvl w:val="0"/>
          <w:numId w:val="4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zajistit, aby veškeré změny byly </w:t>
      </w:r>
      <w:r w:rsidRPr="00CB2E1A">
        <w:rPr>
          <w:rFonts w:ascii="Athiti" w:eastAsia="Athiti" w:hAnsi="Athiti" w:cs="Athiti"/>
          <w:b/>
          <w:color w:val="444444"/>
          <w:lang w:val="cs-CZ"/>
        </w:rPr>
        <w:t>dokumentovány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 v části „Revision History“ s uvedením data, popisu změny a jména osoby odpovědné za úpravy.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Každá revize a aktualizace Plánu musí být:</w:t>
      </w:r>
    </w:p>
    <w:p w:rsidR="0078272E" w:rsidRPr="00CB2E1A" w:rsidRDefault="0078272E" w:rsidP="0078272E">
      <w:pPr>
        <w:pStyle w:val="normal"/>
        <w:numPr>
          <w:ilvl w:val="0"/>
          <w:numId w:val="6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b/>
          <w:color w:val="444444"/>
          <w:lang w:val="cs-CZ"/>
        </w:rPr>
        <w:t>odsouhlasena Výborem pro informační bezpečnost</w:t>
      </w:r>
      <w:r w:rsidRPr="00CB2E1A">
        <w:rPr>
          <w:rFonts w:ascii="Athiti" w:eastAsia="Athiti" w:hAnsi="Athiti" w:cs="Athiti"/>
          <w:color w:val="444444"/>
          <w:lang w:val="cs-CZ"/>
        </w:rPr>
        <w:t>,</w:t>
      </w:r>
    </w:p>
    <w:p w:rsidR="0078272E" w:rsidRPr="00CB2E1A" w:rsidRDefault="0078272E" w:rsidP="0078272E">
      <w:pPr>
        <w:pStyle w:val="normal"/>
        <w:numPr>
          <w:ilvl w:val="0"/>
          <w:numId w:val="6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a </w:t>
      </w:r>
      <w:r w:rsidRPr="00CB2E1A">
        <w:rPr>
          <w:rFonts w:ascii="Athiti" w:eastAsia="Athiti" w:hAnsi="Athiti" w:cs="Athiti"/>
          <w:b/>
          <w:color w:val="444444"/>
          <w:lang w:val="cs-CZ"/>
        </w:rPr>
        <w:t>schválena vrcholovým vedením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 společnosti před jejím oficiálním zavedením do praxe.</w:t>
      </w:r>
    </w:p>
    <w:p w:rsidR="0078272E" w:rsidRPr="00CB2E1A" w:rsidRDefault="0078272E" w:rsidP="0078272E">
      <w:pPr>
        <w:pStyle w:val="Nadpis2"/>
        <w:rPr>
          <w:rFonts w:ascii="Athiti" w:eastAsia="Athiti" w:hAnsi="Athiti" w:cs="Athiti"/>
          <w:lang w:val="cs-CZ"/>
        </w:rPr>
      </w:pPr>
      <w:bookmarkStart w:id="5" w:name="_heading=h.34i5nfuvvf73" w:colFirst="0" w:colLast="0"/>
      <w:bookmarkEnd w:id="5"/>
      <w:r w:rsidRPr="00CB2E1A">
        <w:rPr>
          <w:rFonts w:ascii="Athiti" w:eastAsia="Athiti" w:hAnsi="Athiti" w:cs="Athiti"/>
          <w:lang w:val="cs-CZ"/>
        </w:rPr>
        <w:t>2.3 Komunikace politiky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CISO je odpovědný za zajištění, že tento Plán bude efektivně </w:t>
      </w:r>
      <w:r w:rsidRPr="00CB2E1A">
        <w:rPr>
          <w:rFonts w:ascii="Athiti" w:eastAsia="Athiti" w:hAnsi="Athiti" w:cs="Athiti"/>
          <w:b/>
          <w:color w:val="444444"/>
          <w:lang w:val="cs-CZ"/>
        </w:rPr>
        <w:t>komunikován</w:t>
      </w:r>
      <w:r w:rsidRPr="00CB2E1A">
        <w:rPr>
          <w:rFonts w:ascii="Athiti" w:eastAsia="Athiti" w:hAnsi="Athiti" w:cs="Athiti"/>
          <w:color w:val="444444"/>
          <w:lang w:val="cs-CZ"/>
        </w:rPr>
        <w:t xml:space="preserve"> všem relevantním stranám uvnitř společnosti i mimo ni, a to prostřednictvím:</w:t>
      </w:r>
    </w:p>
    <w:p w:rsidR="0078272E" w:rsidRPr="00CB2E1A" w:rsidRDefault="0078272E" w:rsidP="0078272E">
      <w:pPr>
        <w:pStyle w:val="normal"/>
        <w:numPr>
          <w:ilvl w:val="0"/>
          <w:numId w:val="16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lastRenderedPageBreak/>
        <w:t>interního intranetu, e-mailové komunikace a školení zaměstnanců,</w:t>
      </w:r>
    </w:p>
    <w:p w:rsidR="0078272E" w:rsidRPr="00CB2E1A" w:rsidRDefault="0078272E" w:rsidP="0078272E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začlenění Plánu do onboardingových procesů pro nové zaměstnance a dodavatele,</w:t>
      </w:r>
    </w:p>
    <w:p w:rsidR="0078272E" w:rsidRPr="00CB2E1A" w:rsidRDefault="0078272E" w:rsidP="0078272E">
      <w:pPr>
        <w:pStyle w:val="normal"/>
        <w:numPr>
          <w:ilvl w:val="0"/>
          <w:numId w:val="16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distribuce aktualizovaných verzí Plánu všem osobám, které mají přístup k systémům a informacím společnosti.</w:t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V případě významných změn v Plánu (například změny v postupech, odpovědnostech nebo legislativních požadavcích) je povinností CISO zajistit, že:</w:t>
      </w:r>
    </w:p>
    <w:p w:rsidR="0078272E" w:rsidRPr="00CB2E1A" w:rsidRDefault="0078272E" w:rsidP="0078272E">
      <w:pPr>
        <w:pStyle w:val="normal"/>
        <w:numPr>
          <w:ilvl w:val="0"/>
          <w:numId w:val="13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budou všichni dotčení zaměstnanci a třetí strany informováni </w:t>
      </w:r>
      <w:r w:rsidRPr="00CB2E1A">
        <w:rPr>
          <w:rFonts w:ascii="Athiti" w:eastAsia="Athiti" w:hAnsi="Athiti" w:cs="Athiti"/>
          <w:b/>
          <w:color w:val="444444"/>
          <w:lang w:val="cs-CZ"/>
        </w:rPr>
        <w:t>bez zbytečného odkladu</w:t>
      </w:r>
      <w:r w:rsidRPr="00CB2E1A">
        <w:rPr>
          <w:rFonts w:ascii="Athiti" w:eastAsia="Athiti" w:hAnsi="Athiti" w:cs="Athiti"/>
          <w:color w:val="444444"/>
          <w:lang w:val="cs-CZ"/>
        </w:rPr>
        <w:t>,</w:t>
      </w:r>
    </w:p>
    <w:p w:rsidR="0078272E" w:rsidRPr="00CB2E1A" w:rsidRDefault="0078272E" w:rsidP="0078272E">
      <w:pPr>
        <w:pStyle w:val="normal"/>
        <w:numPr>
          <w:ilvl w:val="0"/>
          <w:numId w:val="13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bude provedeno školení nebo krátké informační seznámení s aktualizovanými pravidly,</w:t>
      </w:r>
    </w:p>
    <w:p w:rsidR="0078272E" w:rsidRPr="00CB2E1A" w:rsidRDefault="0078272E" w:rsidP="0078272E">
      <w:pPr>
        <w:pStyle w:val="normal"/>
        <w:numPr>
          <w:ilvl w:val="0"/>
          <w:numId w:val="13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a bude zajištěno potvrzení o seznámení s Plánem od všech relevantních osob.</w:t>
      </w:r>
      <w:r w:rsidRPr="00CB2E1A">
        <w:rPr>
          <w:rFonts w:ascii="Athiti" w:eastAsia="Athiti" w:hAnsi="Athiti" w:cs="Athiti"/>
          <w:color w:val="444444"/>
          <w:lang w:val="cs-CZ"/>
        </w:rPr>
        <w:br/>
      </w:r>
    </w:p>
    <w:p w:rsidR="0078272E" w:rsidRPr="00CB2E1A" w:rsidRDefault="0078272E" w:rsidP="0078272E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</w:p>
    <w:p w:rsidR="0078272E" w:rsidRPr="00CB2E1A" w:rsidRDefault="0078272E" w:rsidP="0078272E">
      <w:pPr>
        <w:pStyle w:val="Nadpis1"/>
        <w:rPr>
          <w:rFonts w:ascii="Athiti" w:eastAsia="Athiti" w:hAnsi="Athiti" w:cs="Athiti"/>
          <w:lang w:val="cs-CZ"/>
        </w:rPr>
      </w:pPr>
      <w:bookmarkStart w:id="6" w:name="_heading=h.163u19saijra" w:colFirst="0" w:colLast="0"/>
      <w:bookmarkEnd w:id="6"/>
      <w:r w:rsidRPr="00CB2E1A">
        <w:rPr>
          <w:lang w:val="cs-CZ"/>
        </w:rPr>
        <w:br w:type="page"/>
      </w:r>
    </w:p>
    <w:p w:rsidR="0078272E" w:rsidRPr="00CB2E1A" w:rsidRDefault="0078272E" w:rsidP="0078272E">
      <w:pPr>
        <w:pStyle w:val="Nadpis1"/>
        <w:rPr>
          <w:rFonts w:ascii="Athiti" w:eastAsia="Athiti" w:hAnsi="Athiti" w:cs="Athiti"/>
          <w:lang w:val="cs-CZ"/>
        </w:rPr>
      </w:pPr>
      <w:bookmarkStart w:id="7" w:name="_heading=h.xc4uiv1sne3h" w:colFirst="0" w:colLast="0"/>
      <w:bookmarkEnd w:id="7"/>
      <w:r w:rsidRPr="00CB2E1A">
        <w:rPr>
          <w:rFonts w:ascii="Athiti" w:eastAsia="Athiti" w:hAnsi="Athiti" w:cs="Athiti"/>
          <w:lang w:val="cs-CZ"/>
        </w:rPr>
        <w:lastRenderedPageBreak/>
        <w:t>3 Reakce na incidenty</w:t>
      </w:r>
    </w:p>
    <w:p w:rsidR="0078272E" w:rsidRPr="00CB2E1A" w:rsidRDefault="0078272E" w:rsidP="0078272E">
      <w:pPr>
        <w:pStyle w:val="Nadpis2"/>
        <w:rPr>
          <w:rFonts w:ascii="Athiti" w:eastAsia="Athiti" w:hAnsi="Athiti" w:cs="Athiti"/>
          <w:lang w:val="cs-CZ"/>
        </w:rPr>
      </w:pPr>
      <w:bookmarkStart w:id="8" w:name="_heading=h.ey7y03g56m2" w:colFirst="0" w:colLast="0"/>
      <w:bookmarkEnd w:id="8"/>
      <w:r w:rsidRPr="00CB2E1A">
        <w:rPr>
          <w:rFonts w:ascii="Athiti" w:eastAsia="Athiti" w:hAnsi="Athiti" w:cs="Athiti"/>
          <w:lang w:val="cs-CZ"/>
        </w:rPr>
        <w:t>3.1 Role a odpovědnosti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Odpovědnosti rolí v týmu pro reakci na incidenty jsou následující:</w:t>
      </w:r>
    </w:p>
    <w:tbl>
      <w:tblPr>
        <w:tblW w:w="963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2685"/>
        <w:gridCol w:w="6945"/>
      </w:tblGrid>
      <w:tr w:rsidR="0078272E" w:rsidRPr="00CB2E1A" w:rsidTr="001E6C0F">
        <w:trPr>
          <w:cantSplit/>
          <w:trHeight w:val="648"/>
          <w:tblHeader/>
        </w:trPr>
        <w:tc>
          <w:tcPr>
            <w:tcW w:w="2685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ROLE / OBLAST PODNIKÁNÍ</w:t>
            </w:r>
          </w:p>
        </w:tc>
        <w:tc>
          <w:tcPr>
            <w:tcW w:w="6945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268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Vedoucí reakce na incidenty</w:t>
            </w:r>
          </w:p>
        </w:tc>
        <w:tc>
          <w:tcPr>
            <w:tcW w:w="6945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Celkové řízení týmu pro reakci na incidenty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Rozhoduje o zahájení reakce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Sestavuje tým pro reakci na incidenty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Komunikuje s vrcholovým vedením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Konečný rozhodovatel v případech neshody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268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Informační technologie</w:t>
            </w:r>
          </w:p>
        </w:tc>
        <w:tc>
          <w:tcPr>
            <w:tcW w:w="6945" w:type="dxa"/>
          </w:tcPr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before="120"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Poskytuje vstupy týkající se technologických otázek</w:t>
            </w:r>
          </w:p>
          <w:p w:rsidR="0078272E" w:rsidRPr="00CB2E1A" w:rsidRDefault="0078272E" w:rsidP="001E6C0F">
            <w:pPr>
              <w:pStyle w:val="normal"/>
              <w:numPr>
                <w:ilvl w:val="0"/>
                <w:numId w:val="12"/>
              </w:numPr>
              <w:spacing w:after="12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Posuzuje rozsah a dopad incidentu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268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Provozní oddělení</w:t>
            </w:r>
          </w:p>
        </w:tc>
        <w:tc>
          <w:tcPr>
            <w:tcW w:w="6945" w:type="dxa"/>
          </w:tcPr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before="120"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Přispívá k rozhodování na základě znalostí obchodních operací, produktů a služeb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Informuje ostatní členy týmu o provozních záležitostech</w:t>
            </w:r>
          </w:p>
          <w:p w:rsidR="0078272E" w:rsidRPr="00CB2E1A" w:rsidRDefault="0078272E" w:rsidP="001E6C0F">
            <w:pPr>
              <w:pStyle w:val="normal"/>
              <w:numPr>
                <w:ilvl w:val="0"/>
                <w:numId w:val="12"/>
              </w:numPr>
              <w:spacing w:after="12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Pomáhá posoudit pravděpodobný dopad na zákazníky společnosti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268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Personální oddělení</w:t>
            </w:r>
          </w:p>
        </w:tc>
        <w:tc>
          <w:tcPr>
            <w:tcW w:w="6945" w:type="dxa"/>
          </w:tcPr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before="120"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Reprezentuje zájmy zaměstnanců a dodavatelů</w:t>
            </w:r>
          </w:p>
          <w:p w:rsidR="0078272E" w:rsidRPr="00CB2E1A" w:rsidRDefault="0078272E" w:rsidP="001E6C0F">
            <w:pPr>
              <w:pStyle w:val="normal"/>
              <w:numPr>
                <w:ilvl w:val="0"/>
                <w:numId w:val="12"/>
              </w:numPr>
              <w:spacing w:after="12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Posuzuje a radí ohledně personální politiky a záležitostí pracovních smluv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268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Komunikace</w:t>
            </w:r>
          </w:p>
        </w:tc>
        <w:tc>
          <w:tcPr>
            <w:tcW w:w="6945" w:type="dxa"/>
          </w:tcPr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before="120"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Odpovídá za zajištění efektivní interní komunikace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Rozhoduje o úrovni, četnosti a obsahu komunikace s externími stranami, jako jsou média</w:t>
            </w:r>
          </w:p>
          <w:p w:rsidR="0078272E" w:rsidRPr="00CB2E1A" w:rsidRDefault="0078272E" w:rsidP="001E6C0F">
            <w:pPr>
              <w:pStyle w:val="normal"/>
              <w:numPr>
                <w:ilvl w:val="0"/>
                <w:numId w:val="12"/>
              </w:numPr>
              <w:spacing w:after="12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Definuje přístup k informování zasažených stran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268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Právní oddělení</w:t>
            </w:r>
          </w:p>
        </w:tc>
        <w:tc>
          <w:tcPr>
            <w:tcW w:w="6945" w:type="dxa"/>
          </w:tcPr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before="120"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Radí, co je třeba udělat pro zajištění souladu s příslušnými zákony a regulačními rámci</w:t>
            </w:r>
          </w:p>
          <w:p w:rsidR="0078272E" w:rsidRPr="00CB2E1A" w:rsidRDefault="0078272E" w:rsidP="001E6C0F">
            <w:pPr>
              <w:pStyle w:val="normal"/>
              <w:numPr>
                <w:ilvl w:val="0"/>
                <w:numId w:val="12"/>
              </w:numPr>
              <w:spacing w:after="12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Posuzuje skutečné a potenciální právní důsledky incidentu a následných opatření</w:t>
            </w:r>
          </w:p>
        </w:tc>
      </w:tr>
    </w:tbl>
    <w:p w:rsidR="0078272E" w:rsidRPr="00CB2E1A" w:rsidRDefault="0078272E" w:rsidP="007827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bookmarkStart w:id="9" w:name="_heading=h.uk7yb6siwlt4" w:colFirst="0" w:colLast="0"/>
      <w:bookmarkEnd w:id="9"/>
    </w:p>
    <w:p w:rsidR="0078272E" w:rsidRPr="00CB2E1A" w:rsidRDefault="0078272E" w:rsidP="0078272E">
      <w:pPr>
        <w:pStyle w:val="normal"/>
        <w:spacing w:after="20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bookmarkStart w:id="10" w:name="_heading=h.tsa55uoe3o67" w:colFirst="0" w:colLast="0"/>
      <w:bookmarkEnd w:id="10"/>
      <w:r w:rsidRPr="00CB2E1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Tabulka 1: Role a odpovědnosti</w:t>
      </w:r>
    </w:p>
    <w:p w:rsidR="0078272E" w:rsidRPr="00CB2E1A" w:rsidRDefault="0078272E" w:rsidP="0078272E">
      <w:pPr>
        <w:pStyle w:val="Nadpis2"/>
        <w:rPr>
          <w:rFonts w:ascii="Athiti" w:eastAsia="Athiti" w:hAnsi="Athiti" w:cs="Athiti"/>
          <w:lang w:val="cs-CZ"/>
        </w:rPr>
      </w:pPr>
      <w:bookmarkStart w:id="11" w:name="_heading=h.fskf0owop847" w:colFirst="0" w:colLast="0"/>
      <w:bookmarkEnd w:id="11"/>
      <w:r w:rsidRPr="00CB2E1A">
        <w:rPr>
          <w:rFonts w:ascii="Athiti" w:eastAsia="Athiti" w:hAnsi="Athiti" w:cs="Athiti"/>
          <w:lang w:val="cs-CZ"/>
        </w:rPr>
        <w:t>3.2 Postup reakce na incident</w:t>
      </w:r>
    </w:p>
    <w:p w:rsidR="0078272E" w:rsidRPr="00CB2E1A" w:rsidRDefault="0078272E" w:rsidP="0078272E">
      <w:pPr>
        <w:pStyle w:val="Nadpis3"/>
        <w:rPr>
          <w:rFonts w:ascii="Athiti" w:eastAsia="Athiti" w:hAnsi="Athiti" w:cs="Athiti"/>
          <w:lang w:val="cs-CZ"/>
        </w:rPr>
      </w:pPr>
      <w:bookmarkStart w:id="12" w:name="_heading=h.mv0aspwcz3kf" w:colFirst="0" w:colLast="0"/>
      <w:bookmarkEnd w:id="12"/>
      <w:r w:rsidRPr="00CB2E1A">
        <w:rPr>
          <w:rFonts w:ascii="Athiti" w:eastAsia="Athiti" w:hAnsi="Athiti" w:cs="Athiti"/>
          <w:lang w:val="cs-CZ"/>
        </w:rPr>
        <w:t>3.2.1 Detekce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Incident může být zpočátku odhalen různými způsoby a z několika různých zdrojů, v závislosti na povaze a místě incidentu. Incidenty mohou být zjištěny:</w:t>
      </w:r>
    </w:p>
    <w:p w:rsidR="0078272E" w:rsidRPr="00CB2E1A" w:rsidRDefault="0078272E" w:rsidP="0078272E">
      <w:pPr>
        <w:pStyle w:val="normal"/>
        <w:numPr>
          <w:ilvl w:val="0"/>
          <w:numId w:val="11"/>
        </w:numPr>
        <w:spacing w:after="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pomocí softwarových nástrojů používaných ve společnosti</w:t>
      </w:r>
    </w:p>
    <w:p w:rsidR="0078272E" w:rsidRPr="00CB2E1A" w:rsidRDefault="0078272E" w:rsidP="0078272E">
      <w:pPr>
        <w:pStyle w:val="normal"/>
        <w:numPr>
          <w:ilvl w:val="0"/>
          <w:numId w:val="11"/>
        </w:numPr>
        <w:spacing w:after="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zaměstnanci nebo dodavateli, kteří si všimnou neobvyklé aktivity</w:t>
      </w:r>
    </w:p>
    <w:p w:rsidR="0078272E" w:rsidRPr="00CB2E1A" w:rsidRDefault="0078272E" w:rsidP="0078272E">
      <w:pPr>
        <w:pStyle w:val="normal"/>
        <w:numPr>
          <w:ilvl w:val="0"/>
          <w:numId w:val="11"/>
        </w:numPr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lastRenderedPageBreak/>
        <w:t>třetí stranou, například zákazníkem nebo dodavatelem, který se dozvěděl o narušení, možná proto, že ukradené informace byly zneužity pro škodlivé účely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Nejdůležitějším faktorem je, že postup reakce na incident musí být zahájen co nejrychleji po jeho zjištění, aby bylo možné reagovat efektivně.</w:t>
      </w:r>
    </w:p>
    <w:p w:rsidR="0078272E" w:rsidRPr="00CB2E1A" w:rsidRDefault="0078272E" w:rsidP="0078272E">
      <w:pPr>
        <w:pStyle w:val="Nadpis3"/>
        <w:rPr>
          <w:rFonts w:ascii="Athiti" w:eastAsia="Athiti" w:hAnsi="Athiti" w:cs="Athiti"/>
          <w:lang w:val="cs-CZ"/>
        </w:rPr>
      </w:pPr>
      <w:bookmarkStart w:id="13" w:name="_heading=h.se5duyzgeqmt" w:colFirst="0" w:colLast="0"/>
      <w:bookmarkEnd w:id="13"/>
      <w:r w:rsidRPr="00CB2E1A">
        <w:rPr>
          <w:rFonts w:ascii="Athiti" w:eastAsia="Athiti" w:hAnsi="Athiti" w:cs="Athiti"/>
          <w:lang w:val="cs-CZ"/>
        </w:rPr>
        <w:t>3.2.2 Analýza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Jakmile je incident detekován, musí tým informační bezpečnosti provést počáteční hodnocení dopadu, aby rozhodl o vhodné reakci.</w:t>
      </w:r>
    </w:p>
    <w:p w:rsidR="0078272E" w:rsidRPr="00CB2E1A" w:rsidRDefault="0078272E" w:rsidP="0078272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Toto hodnocení by mělo odhadnout:</w:t>
      </w:r>
    </w:p>
    <w:p w:rsidR="0078272E" w:rsidRPr="00CB2E1A" w:rsidRDefault="0078272E" w:rsidP="007827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rozsah dopadu na IT infrastrukturu</w:t>
      </w:r>
    </w:p>
    <w:p w:rsidR="0078272E" w:rsidRPr="00CB2E1A" w:rsidRDefault="0078272E" w:rsidP="007827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informační aktiva, která mohou být ohrožena nebo byla kompromitována</w:t>
      </w:r>
    </w:p>
    <w:p w:rsidR="0078272E" w:rsidRPr="00CB2E1A" w:rsidRDefault="0078272E" w:rsidP="007827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pravděpodobnou dobu trvání incidentu</w:t>
      </w:r>
    </w:p>
    <w:p w:rsidR="0078272E" w:rsidRPr="00CB2E1A" w:rsidRDefault="0078272E" w:rsidP="007827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obchodní jednotky, které jsou zasaženy, a rozsah dopadu na ně</w:t>
      </w:r>
    </w:p>
    <w:p w:rsidR="0078272E" w:rsidRPr="00CB2E1A" w:rsidRDefault="0078272E" w:rsidP="007827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počáteční indikaci pravděpodobné příčiny incidentu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Na základě hodnocení dopadu musí být incidentu přiřazena priorita. Následující tabulka může být použita k rozhodnutí o prioritě:</w:t>
      </w:r>
    </w:p>
    <w:tbl>
      <w:tblPr>
        <w:tblW w:w="9638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455"/>
        <w:gridCol w:w="8183"/>
      </w:tblGrid>
      <w:tr w:rsidR="0078272E" w:rsidRPr="00CB2E1A" w:rsidTr="001E6C0F">
        <w:trPr>
          <w:cantSplit/>
          <w:trHeight w:val="648"/>
          <w:tblHeader/>
        </w:trPr>
        <w:tc>
          <w:tcPr>
            <w:tcW w:w="1455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PRIORITA</w:t>
            </w:r>
          </w:p>
        </w:tc>
        <w:tc>
          <w:tcPr>
            <w:tcW w:w="8183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shd w:val="clear" w:color="auto" w:fill="F4CCCC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VYSOKÁ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1E6C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Významné skutečné nebo potenciální narušení podnikání, včetně: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Byl zjištěn Malware, který se šíří po síti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Neoprávněný přístup k významnému množství důvěrných dat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Webové stránky jsou pro zákazníky nedostupné kvůli možnému útoku typu denial of service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shd w:val="clear" w:color="auto" w:fill="FFF2CC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STŘEDNÍ</w:t>
            </w:r>
          </w:p>
        </w:tc>
        <w:tc>
          <w:tcPr>
            <w:tcW w:w="8183" w:type="dxa"/>
          </w:tcPr>
          <w:p w:rsidR="0078272E" w:rsidRPr="00CB2E1A" w:rsidRDefault="0078272E" w:rsidP="001E6C0F">
            <w:pPr>
              <w:pStyle w:val="normal"/>
              <w:spacing w:before="120" w:after="120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Lokalizované narušení ovlivňující více obchodních oblastí, včetně: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before="120"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Jednotlivý systém je nedostupný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Síť běží pomalu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12"/>
              </w:numPr>
              <w:spacing w:after="120" w:line="240" w:lineRule="auto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Ztráta šifrovaného pevného disku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shd w:val="clear" w:color="auto" w:fill="D9EAD3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NÍZKÁ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1E6C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Lokalizovaná nepříjemnost ovlivňující jediného uživatele, včetně: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Menší porušení zásad informační bezpečnosti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Varování před virem na jednom počítači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Sdílení hesel k systému s nižší citlivostí</w:t>
            </w:r>
          </w:p>
        </w:tc>
      </w:tr>
    </w:tbl>
    <w:p w:rsidR="0078272E" w:rsidRPr="00CB2E1A" w:rsidRDefault="0078272E" w:rsidP="0078272E">
      <w:pPr>
        <w:pStyle w:val="normal"/>
        <w:spacing w:before="200" w:after="20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r w:rsidRPr="00CB2E1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Tabulka 2: Priorita incidentů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Po přiřazení priority by měl být aktivován formální plán reakce na incident.</w:t>
      </w:r>
    </w:p>
    <w:p w:rsidR="0078272E" w:rsidRPr="00CB2E1A" w:rsidRDefault="0078272E" w:rsidP="0078272E">
      <w:pPr>
        <w:pStyle w:val="Nadpis3"/>
        <w:rPr>
          <w:rFonts w:ascii="Athiti" w:eastAsia="Athiti" w:hAnsi="Athiti" w:cs="Athiti"/>
          <w:lang w:val="cs-CZ"/>
        </w:rPr>
      </w:pPr>
      <w:bookmarkStart w:id="14" w:name="_heading=h.c0rgqee5ih7d" w:colFirst="0" w:colLast="0"/>
      <w:bookmarkEnd w:id="14"/>
      <w:r w:rsidRPr="00CB2E1A">
        <w:rPr>
          <w:rFonts w:ascii="Athiti" w:eastAsia="Athiti" w:hAnsi="Athiti" w:cs="Athiti"/>
          <w:lang w:val="cs-CZ"/>
        </w:rPr>
        <w:t>3.2.3 Zadržení</w:t>
      </w:r>
    </w:p>
    <w:p w:rsidR="0078272E" w:rsidRPr="00CB2E1A" w:rsidRDefault="0078272E" w:rsidP="0078272E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Jakmile je incident identifikován a priorita stanovena, musí odpovědná osoba za reakci na incident pokusit se omezit již vzniklé škody a zabránit dalšímu poškození.</w:t>
      </w:r>
    </w:p>
    <w:p w:rsidR="0078272E" w:rsidRPr="00CB2E1A" w:rsidRDefault="0078272E" w:rsidP="0078272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 xml:space="preserve">Prvním krokem v tomto procesu je identifikovat postižené zdroje a určit postup pro zadržení incidentu, přičemž je možné zároveň zachovat důkazy. Strategie zadržení se budou lišit podle typu </w:t>
      </w:r>
      <w:r w:rsidRPr="00CB2E1A">
        <w:rPr>
          <w:rFonts w:ascii="Athiti" w:eastAsia="Athiti" w:hAnsi="Athiti" w:cs="Athiti"/>
          <w:color w:val="444444"/>
          <w:lang w:val="cs-CZ"/>
        </w:rPr>
        <w:lastRenderedPageBreak/>
        <w:t>incidentu, ale mohou být tak jednoduché jako označení problému jako důvěrného za účelem zabránění úniku informací nebo zablokování přístupu k síťovému segmentu.</w:t>
      </w:r>
    </w:p>
    <w:p w:rsidR="0078272E" w:rsidRPr="00CB2E1A" w:rsidRDefault="0078272E" w:rsidP="0078272E">
      <w:pPr>
        <w:pStyle w:val="Nadpis3"/>
        <w:rPr>
          <w:rFonts w:ascii="Athiti" w:eastAsia="Athiti" w:hAnsi="Athiti" w:cs="Athiti"/>
          <w:lang w:val="cs-CZ"/>
        </w:rPr>
      </w:pPr>
      <w:bookmarkStart w:id="15" w:name="_heading=h.5sigiz8yjogn" w:colFirst="0" w:colLast="0"/>
      <w:bookmarkEnd w:id="15"/>
      <w:r w:rsidRPr="00CB2E1A">
        <w:rPr>
          <w:rFonts w:ascii="Athiti" w:eastAsia="Athiti" w:hAnsi="Athiti" w:cs="Athiti"/>
          <w:lang w:val="cs-CZ"/>
        </w:rPr>
        <w:t>3.2.4 Eliminace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Kroky k odstranění škod způsobených incidentem, jako je odstranění malwaru, musí být provedeny prostřednictvím procesu řízení změn jako naléhavá změna. Tyto kroky by měly směřovat k odstranění aktuální příčiny a zabránění opakování incidentu. Jakékoli zranitelnosti, které byly v rámci incidentu zneužity, by měly být identifikovány.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V závislosti na typu incidentu může být někdy odstranění (eradikace) zbytečné.</w:t>
      </w:r>
    </w:p>
    <w:p w:rsidR="0078272E" w:rsidRPr="00CB2E1A" w:rsidRDefault="0078272E" w:rsidP="0078272E">
      <w:pPr>
        <w:pStyle w:val="Nadpis3"/>
        <w:rPr>
          <w:rFonts w:ascii="Athiti" w:eastAsia="Athiti" w:hAnsi="Athiti" w:cs="Athiti"/>
          <w:lang w:val="cs-CZ"/>
        </w:rPr>
      </w:pPr>
      <w:bookmarkStart w:id="16" w:name="_heading=h.hvmxv8wd1ns5" w:colFirst="0" w:colLast="0"/>
      <w:bookmarkEnd w:id="16"/>
      <w:r w:rsidRPr="00CB2E1A">
        <w:rPr>
          <w:rFonts w:ascii="Athiti" w:eastAsia="Athiti" w:hAnsi="Athiti" w:cs="Athiti"/>
          <w:lang w:val="cs-CZ"/>
        </w:rPr>
        <w:t>3.2.5 Obnova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Během fáze obnovy by měly být systémy uvedeny do stavu před incidentem, přičemž všechny zranitelnosti, které byly v rámci incidentu zneužity, by měly být následně řešeny. To může zahrnovat úkoly jako aplikace záplat, aktualizace hesel, zabezpečení serverů a změnu protokolů.</w:t>
      </w:r>
    </w:p>
    <w:p w:rsidR="0078272E" w:rsidRPr="00CB2E1A" w:rsidRDefault="0078272E" w:rsidP="0078272E">
      <w:pPr>
        <w:pStyle w:val="Nadpis3"/>
        <w:rPr>
          <w:rFonts w:ascii="Athiti" w:eastAsia="Athiti" w:hAnsi="Athiti" w:cs="Athiti"/>
          <w:lang w:val="cs-CZ"/>
        </w:rPr>
      </w:pPr>
      <w:bookmarkStart w:id="17" w:name="_heading=h.ntd9ayrkkyv1" w:colFirst="0" w:colLast="0"/>
      <w:bookmarkEnd w:id="17"/>
      <w:r w:rsidRPr="00CB2E1A">
        <w:rPr>
          <w:rFonts w:ascii="Athiti" w:eastAsia="Athiti" w:hAnsi="Athiti" w:cs="Athiti"/>
          <w:lang w:val="cs-CZ"/>
        </w:rPr>
        <w:t>3.2.6 Analýza a aktivity po incidentu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Po dokončení fáze zadržení, odstranění a obnovy bude incident považován za vyřešený a záležitosti související s incidentem mohou být uzavřeny.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Proces reakce na incident přejde do fáze „lessons learned“ (získání zkušeností), během níž mohou být analyzována zlepšení procesů a celková bezpečnost organizace posílena.</w:t>
      </w:r>
    </w:p>
    <w:p w:rsidR="0078272E" w:rsidRPr="00CB2E1A" w:rsidRDefault="0078272E" w:rsidP="0078272E">
      <w:pPr>
        <w:pStyle w:val="Nadpis2"/>
        <w:rPr>
          <w:rFonts w:ascii="Athiti" w:eastAsia="Athiti" w:hAnsi="Athiti" w:cs="Athiti"/>
          <w:lang w:val="cs-CZ"/>
        </w:rPr>
      </w:pPr>
      <w:bookmarkStart w:id="18" w:name="_heading=h.o91mjq5wl3ps" w:colFirst="0" w:colLast="0"/>
      <w:bookmarkEnd w:id="18"/>
      <w:r w:rsidRPr="00CB2E1A">
        <w:rPr>
          <w:rFonts w:ascii="Athiti" w:eastAsia="Athiti" w:hAnsi="Athiti" w:cs="Athiti"/>
          <w:lang w:val="cs-CZ"/>
        </w:rPr>
        <w:t xml:space="preserve">3.3 Komunikace 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Je nezbytné udržovat efektivní komunikaci mezi všemi stranami zapojenými do reakce na incident.</w:t>
      </w:r>
    </w:p>
    <w:p w:rsidR="0078272E" w:rsidRPr="00CB2E1A" w:rsidRDefault="0078272E" w:rsidP="0078272E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V závislosti na situaci může být během incidentu výchozím prostředkem komunikace jakýkoli dostupný firemní komunikační nástroj, včetně Google Meet, Slack, e-mailu nebo osobních setkání.</w:t>
      </w:r>
    </w:p>
    <w:p w:rsidR="0078272E" w:rsidRPr="00CB2E1A" w:rsidRDefault="0078272E" w:rsidP="0078272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Externí komunikace by měla proběhnout co nejdříve poté, co je určen rozsah a dopad bezpečnostního incidentu, a to jasným a stručným jazykem. První externí komunikace musí být směrována k dotčeným stranám nejpozději do 24 hodin.</w:t>
      </w:r>
    </w:p>
    <w:p w:rsidR="0078272E" w:rsidRPr="00CB2E1A" w:rsidRDefault="0078272E" w:rsidP="0078272E">
      <w:pPr>
        <w:pStyle w:val="Nadpis2"/>
        <w:rPr>
          <w:rFonts w:ascii="Athiti" w:eastAsia="Athiti" w:hAnsi="Athiti" w:cs="Athiti"/>
          <w:lang w:val="cs-CZ"/>
        </w:rPr>
      </w:pPr>
      <w:bookmarkStart w:id="19" w:name="_heading=h.hbz9bvh95s6t" w:colFirst="0" w:colLast="0"/>
      <w:bookmarkEnd w:id="19"/>
      <w:r w:rsidRPr="00CB2E1A">
        <w:rPr>
          <w:rFonts w:ascii="Athiti" w:eastAsia="Athiti" w:hAnsi="Athiti" w:cs="Athiti"/>
          <w:lang w:val="cs-CZ"/>
        </w:rPr>
        <w:t>3.4 Postupy reakce na incidenty (playbooks)</w:t>
      </w:r>
    </w:p>
    <w:p w:rsidR="0078272E" w:rsidRPr="00CB2E1A" w:rsidRDefault="0078272E" w:rsidP="0078272E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Tento plán reakce na incident je součástí souboru postupů vytvořených k řešení různých možných situací ovlivňujících společnost.</w:t>
      </w:r>
    </w:p>
    <w:p w:rsidR="0078272E" w:rsidRPr="00CB2E1A" w:rsidRDefault="0078272E" w:rsidP="0078272E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CB2E1A">
        <w:rPr>
          <w:rFonts w:ascii="Athiti" w:eastAsia="Athiti" w:hAnsi="Athiti" w:cs="Athiti"/>
          <w:color w:val="444444"/>
          <w:lang w:val="cs-CZ"/>
        </w:rPr>
        <w:t>V závislosti na povaze a rozsahu vzniklého incidentu může být nezbytné provést příslušné postupy (playbooky), které jsou popsány v Příloze A:</w:t>
      </w:r>
    </w:p>
    <w:tbl>
      <w:tblPr>
        <w:tblW w:w="6585" w:type="dxa"/>
        <w:jc w:val="center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455"/>
        <w:gridCol w:w="2310"/>
        <w:gridCol w:w="2820"/>
      </w:tblGrid>
      <w:tr w:rsidR="0078272E" w:rsidRPr="00CB2E1A" w:rsidTr="001E6C0F">
        <w:trPr>
          <w:cantSplit/>
          <w:trHeight w:val="648"/>
          <w:tblHeader/>
          <w:jc w:val="center"/>
        </w:trPr>
        <w:tc>
          <w:tcPr>
            <w:tcW w:w="1455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PROCEDURA</w:t>
            </w:r>
          </w:p>
        </w:tc>
        <w:tc>
          <w:tcPr>
            <w:tcW w:w="2310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TYP</w:t>
            </w:r>
          </w:p>
        </w:tc>
        <w:tc>
          <w:tcPr>
            <w:tcW w:w="2820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VLASTNÍK</w:t>
            </w:r>
          </w:p>
        </w:tc>
      </w:tr>
      <w:tr w:rsidR="0078272E" w:rsidRPr="00CB2E1A" w:rsidTr="001E6C0F">
        <w:trPr>
          <w:cantSplit/>
          <w:trHeight w:val="431"/>
          <w:tblHeader/>
          <w:jc w:val="center"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  <w:t>P1</w:t>
            </w:r>
          </w:p>
        </w:tc>
        <w:tc>
          <w:tcPr>
            <w:tcW w:w="2310" w:type="dxa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  <w:t>Phishing</w:t>
            </w:r>
          </w:p>
        </w:tc>
        <w:tc>
          <w:tcPr>
            <w:tcW w:w="2820" w:type="dxa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CISO</w:t>
            </w:r>
          </w:p>
        </w:tc>
      </w:tr>
      <w:tr w:rsidR="0078272E" w:rsidRPr="00CB2E1A" w:rsidTr="001E6C0F">
        <w:trPr>
          <w:cantSplit/>
          <w:trHeight w:val="431"/>
          <w:tblHeader/>
          <w:jc w:val="center"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  <w:t>P2</w:t>
            </w:r>
          </w:p>
        </w:tc>
        <w:tc>
          <w:tcPr>
            <w:tcW w:w="2310" w:type="dxa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sz w:val="20"/>
                <w:szCs w:val="20"/>
                <w:lang w:val="cs-CZ"/>
              </w:rPr>
              <w:t>Malware</w:t>
            </w:r>
          </w:p>
        </w:tc>
        <w:tc>
          <w:tcPr>
            <w:tcW w:w="2820" w:type="dxa"/>
            <w:vAlign w:val="center"/>
          </w:tcPr>
          <w:p w:rsidR="0078272E" w:rsidRPr="00CB2E1A" w:rsidRDefault="0078272E" w:rsidP="001E6C0F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CISO</w:t>
            </w:r>
          </w:p>
        </w:tc>
      </w:tr>
    </w:tbl>
    <w:p w:rsidR="0078272E" w:rsidRPr="00CB2E1A" w:rsidRDefault="0078272E" w:rsidP="0078272E">
      <w:pPr>
        <w:pStyle w:val="normal"/>
        <w:spacing w:before="200" w:after="200" w:line="240" w:lineRule="auto"/>
        <w:jc w:val="center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Tabulka 3: Postupy reakce na incidenty</w:t>
      </w:r>
    </w:p>
    <w:p w:rsidR="0078272E" w:rsidRPr="00CB2E1A" w:rsidRDefault="0078272E" w:rsidP="0078272E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lang w:val="cs-CZ"/>
        </w:rPr>
      </w:pPr>
      <w:bookmarkStart w:id="20" w:name="_heading=h.6wdc31ep6u1" w:colFirst="0" w:colLast="0"/>
      <w:bookmarkEnd w:id="20"/>
      <w:r w:rsidRPr="00CB2E1A">
        <w:rPr>
          <w:rFonts w:ascii="Athiti" w:eastAsia="Athiti" w:hAnsi="Athiti" w:cs="Athiti"/>
          <w:lang w:val="cs-CZ"/>
        </w:rPr>
        <w:lastRenderedPageBreak/>
        <w:t>4 Závěrečná ustanovení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Společnost považuje tyto Zásady za závazný interní dokument, který je nedílnou součástí jejího systému řízení a kultury bezpečnosti. Dodržování těchto Zásad je povinností všech zaměstnanců a pracovníků společnosti bez ohledu na jejich pracovní zařazení, formu pracovního vztahu nebo délku pracovního poměru.</w:t>
      </w:r>
    </w:p>
    <w:p w:rsidR="0078272E" w:rsidRPr="00CB2E1A" w:rsidRDefault="0078272E" w:rsidP="0078272E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1" w:name="_heading=h.f56347snnp3e" w:colFirst="0" w:colLast="0"/>
      <w:bookmarkEnd w:id="21"/>
      <w:r w:rsidRPr="00CB2E1A">
        <w:rPr>
          <w:rFonts w:ascii="Athiti" w:eastAsia="Athiti" w:hAnsi="Athiti" w:cs="Athiti"/>
          <w:sz w:val="22"/>
          <w:szCs w:val="22"/>
          <w:lang w:val="cs-CZ"/>
        </w:rPr>
        <w:t>4.1 Zpřístupnění a komunikace Zásad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Tyto Zásady budou trvale interně zpřístupněny všem zaměstnancům a pracovníkům společnosti prostřednictvím interní elektronické složky s názvem „Zásady a postupy společnosti“, která je součástí oficiální dokumentace společnosti. O existenci a obsahu tohoto předpisu, jeho aktualizacích, datu účinnosti a případných změnách budou zaměstnanci a pracovníci společnosti pravidelně informováni e-mailem, a to nejpozději do 5 pracovních dnů od provedení jakékoli revize nebo změny.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Každý zaměstnanec a pracovník společnosti je povinen se s tímto vnitřním předpisem podrobně seznámit, potvrdit své seznámení formou elektronického potvrzení v systému nebo jiným průkazným způsobem, který stanoví Compliance &amp; AML Officer.</w:t>
      </w:r>
    </w:p>
    <w:p w:rsidR="0078272E" w:rsidRPr="00CB2E1A" w:rsidRDefault="0078272E" w:rsidP="0078272E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2" w:name="_heading=h.193mh0oeh8j9" w:colFirst="0" w:colLast="0"/>
      <w:bookmarkEnd w:id="22"/>
      <w:r w:rsidRPr="00CB2E1A">
        <w:rPr>
          <w:rFonts w:ascii="Athiti" w:eastAsia="Athiti" w:hAnsi="Athiti" w:cs="Athiti"/>
          <w:sz w:val="22"/>
          <w:szCs w:val="22"/>
          <w:lang w:val="cs-CZ"/>
        </w:rPr>
        <w:t>4.2 Školení zaměstnanců a pracovníků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 xml:space="preserve">Za zajištění proškolení všech dotčených osob odpovídá </w:t>
      </w:r>
      <w:r w:rsidRPr="00CB2E1A">
        <w:rPr>
          <w:rFonts w:ascii="Athiti" w:eastAsia="Athiti" w:hAnsi="Athiti" w:cs="Athiti"/>
          <w:b/>
          <w:lang w:val="cs-CZ"/>
        </w:rPr>
        <w:t>Compliance &amp; AML Officer</w:t>
      </w:r>
      <w:r w:rsidRPr="00CB2E1A">
        <w:rPr>
          <w:rFonts w:ascii="Athiti" w:eastAsia="Athiti" w:hAnsi="Athiti" w:cs="Athiti"/>
          <w:lang w:val="cs-CZ"/>
        </w:rPr>
        <w:t>. Školení musí být realizováno: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1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Při prvním nástupu zaměstnance nebo pracovníka do společnosti (součást vstupního školení).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1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Při každé revizi Zásad, pokud dojde k významným změnám v jejich obsahu.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1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 xml:space="preserve">Minimálně </w:t>
      </w:r>
      <w:r w:rsidRPr="00CB2E1A">
        <w:rPr>
          <w:rFonts w:ascii="Athiti" w:eastAsia="Athiti" w:hAnsi="Athiti" w:cs="Athiti"/>
          <w:b/>
          <w:lang w:val="cs-CZ"/>
        </w:rPr>
        <w:t>jednou ročně</w:t>
      </w:r>
      <w:r w:rsidRPr="00CB2E1A">
        <w:rPr>
          <w:rFonts w:ascii="Athiti" w:eastAsia="Athiti" w:hAnsi="Athiti" w:cs="Athiti"/>
          <w:lang w:val="cs-CZ"/>
        </w:rPr>
        <w:t xml:space="preserve"> jako součást opakovaného školení na udržení povědomí o bezpečnostních pravidlech.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Obsah školení bude zahrnovat: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Přehled cílů a zásad tohoto dokumentu.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Praktické příklady aplikace zásad v každodenní činnosti.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Povinnosti jednotlivých zaměstnanců a pracovníků.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Postupy při porušení zásad nebo hlášení incidentů.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Proškolení bude dokumentováno prostřednictvím prezenčních listin, záznamů v interním systému nebo jiným průkazným způsobem, který umožní doložit účast jednotlivých osob.</w:t>
      </w:r>
    </w:p>
    <w:p w:rsidR="0078272E" w:rsidRPr="00CB2E1A" w:rsidRDefault="0078272E" w:rsidP="0078272E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3" w:name="_heading=h.pxzwqb3vx92w" w:colFirst="0" w:colLast="0"/>
      <w:bookmarkEnd w:id="23"/>
      <w:r w:rsidRPr="00CB2E1A">
        <w:rPr>
          <w:rFonts w:ascii="Athiti" w:eastAsia="Athiti" w:hAnsi="Athiti" w:cs="Athiti"/>
          <w:sz w:val="22"/>
          <w:szCs w:val="22"/>
          <w:lang w:val="cs-CZ"/>
        </w:rPr>
        <w:t>4.3 Revize a aktualizace Zásad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Tyto Zásady podléhají pravidelné revizi, která probíhá: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Minimálně jednou ročně v rámci pravidelného cyklu přezkumu.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 xml:space="preserve">Bezprostředně při změnách relevantních právních předpisů, zejména nařízení MiCA a jeho </w:t>
      </w:r>
      <w:r w:rsidRPr="00CB2E1A">
        <w:rPr>
          <w:rFonts w:ascii="Athiti" w:eastAsia="Athiti" w:hAnsi="Athiti" w:cs="Athiti"/>
          <w:lang w:val="cs-CZ"/>
        </w:rPr>
        <w:lastRenderedPageBreak/>
        <w:t>prováděcích předpisů.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Při vydání nebo aktualizaci obecných pokynů, doporučení a RTS ze strany ESMA, EBA nebo jiných příslušných orgánů.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Po identifikaci nedostatků nebo incidentu, který odhalí slabinu v dosavadních postupech.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 xml:space="preserve">Za revizi a aktuálnost těchto Zásad odpovídá </w:t>
      </w:r>
      <w:r w:rsidRPr="00CB2E1A">
        <w:rPr>
          <w:rFonts w:ascii="Athiti" w:eastAsia="Athiti" w:hAnsi="Athiti" w:cs="Athiti"/>
          <w:b/>
          <w:lang w:val="cs-CZ"/>
        </w:rPr>
        <w:t>Compliance &amp; AML Officer</w:t>
      </w:r>
      <w:r w:rsidRPr="00CB2E1A">
        <w:rPr>
          <w:rFonts w:ascii="Athiti" w:eastAsia="Athiti" w:hAnsi="Athiti" w:cs="Athiti"/>
          <w:lang w:val="cs-CZ"/>
        </w:rPr>
        <w:t>, který zajišťuje: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18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Vyhodnocení aktuálnosti dokumentu a jeho souladu s právními předpisy.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Přípravu návrhu změn a aktualizací.</w:t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>Předložení návrhu k projednání a schválení vedením společnosti.</w:t>
      </w:r>
      <w:r w:rsidRPr="00CB2E1A">
        <w:rPr>
          <w:rFonts w:ascii="Athiti" w:eastAsia="Athiti" w:hAnsi="Athiti" w:cs="Athiti"/>
          <w:lang w:val="cs-CZ"/>
        </w:rPr>
        <w:br/>
      </w:r>
    </w:p>
    <w:p w:rsidR="0078272E" w:rsidRPr="00CB2E1A" w:rsidRDefault="0078272E" w:rsidP="0078272E">
      <w:pPr>
        <w:pStyle w:val="normal"/>
        <w:widowControl w:val="0"/>
        <w:numPr>
          <w:ilvl w:val="0"/>
          <w:numId w:val="18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 xml:space="preserve">Informování všech dotčených osob o změnách a zajištění aktualizace ve složce </w:t>
      </w:r>
      <w:r w:rsidRPr="00CB2E1A">
        <w:rPr>
          <w:rFonts w:ascii="Athiti" w:eastAsia="Athiti" w:hAnsi="Athiti" w:cs="Athiti"/>
          <w:b/>
          <w:lang w:val="cs-CZ"/>
        </w:rPr>
        <w:t>„Zásady a postupy společnosti“</w:t>
      </w:r>
      <w:r w:rsidRPr="00CB2E1A">
        <w:rPr>
          <w:rFonts w:ascii="Athiti" w:eastAsia="Athiti" w:hAnsi="Athiti" w:cs="Athiti"/>
          <w:lang w:val="cs-CZ"/>
        </w:rPr>
        <w:t>.</w:t>
      </w:r>
    </w:p>
    <w:p w:rsidR="0078272E" w:rsidRPr="00CB2E1A" w:rsidRDefault="0078272E" w:rsidP="0078272E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4" w:name="_heading=h.asls2zbb5u7x" w:colFirst="0" w:colLast="0"/>
      <w:bookmarkEnd w:id="24"/>
      <w:r w:rsidRPr="00CB2E1A">
        <w:rPr>
          <w:rFonts w:ascii="Athiti" w:eastAsia="Athiti" w:hAnsi="Athiti" w:cs="Athiti"/>
          <w:sz w:val="22"/>
          <w:szCs w:val="22"/>
          <w:lang w:val="cs-CZ"/>
        </w:rPr>
        <w:t>4.4 Účinnost</w:t>
      </w:r>
    </w:p>
    <w:p w:rsidR="0078272E" w:rsidRPr="00CB2E1A" w:rsidRDefault="0078272E" w:rsidP="0078272E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CB2E1A">
        <w:rPr>
          <w:rFonts w:ascii="Athiti" w:eastAsia="Athiti" w:hAnsi="Athiti" w:cs="Athiti"/>
          <w:lang w:val="cs-CZ"/>
        </w:rPr>
        <w:t xml:space="preserve">Tyto Zásady nabývají </w:t>
      </w:r>
      <w:r w:rsidRPr="00CB2E1A">
        <w:rPr>
          <w:rFonts w:ascii="Athiti" w:eastAsia="Athiti" w:hAnsi="Athiti" w:cs="Athiti"/>
          <w:b/>
          <w:lang w:val="cs-CZ"/>
        </w:rPr>
        <w:t>platnosti a účinnosti ke dni jejich schválení vedením společnosti</w:t>
      </w:r>
      <w:r w:rsidRPr="00CB2E1A">
        <w:rPr>
          <w:rFonts w:ascii="Athiti" w:eastAsia="Athiti" w:hAnsi="Athiti" w:cs="Athiti"/>
          <w:lang w:val="cs-CZ"/>
        </w:rPr>
        <w:t>. Datum schválení a účinnosti je uvedeno v záhlaví dokumentu.</w:t>
      </w:r>
    </w:p>
    <w:p w:rsidR="0078272E" w:rsidRPr="00CB2E1A" w:rsidRDefault="0078272E" w:rsidP="0078272E">
      <w:pPr>
        <w:pStyle w:val="normal"/>
        <w:spacing w:before="200" w:after="200" w:line="240" w:lineRule="auto"/>
        <w:jc w:val="left"/>
        <w:rPr>
          <w:rFonts w:ascii="Athiti" w:eastAsia="Athiti" w:hAnsi="Athiti" w:cs="Athiti"/>
          <w:color w:val="44546A"/>
          <w:sz w:val="18"/>
          <w:szCs w:val="18"/>
          <w:lang w:val="cs-CZ"/>
        </w:rPr>
      </w:pPr>
    </w:p>
    <w:p w:rsidR="0078272E" w:rsidRPr="00CB2E1A" w:rsidRDefault="0078272E" w:rsidP="0078272E">
      <w:pPr>
        <w:pStyle w:val="normal"/>
        <w:spacing w:before="200" w:after="200" w:line="240" w:lineRule="auto"/>
        <w:jc w:val="left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bookmarkStart w:id="25" w:name="_heading=h.e9n3gkarlget" w:colFirst="0" w:colLast="0"/>
      <w:bookmarkEnd w:id="25"/>
      <w:r w:rsidRPr="00CB2E1A">
        <w:rPr>
          <w:lang w:val="cs-CZ"/>
        </w:rPr>
        <w:br w:type="page"/>
      </w:r>
    </w:p>
    <w:p w:rsidR="0078272E" w:rsidRPr="00CB2E1A" w:rsidRDefault="0078272E" w:rsidP="0078272E">
      <w:pPr>
        <w:pStyle w:val="Nadpis1"/>
        <w:jc w:val="right"/>
        <w:rPr>
          <w:rFonts w:ascii="Athiti" w:eastAsia="Athiti" w:hAnsi="Athiti" w:cs="Athiti"/>
          <w:lang w:val="cs-CZ"/>
        </w:rPr>
      </w:pPr>
      <w:bookmarkStart w:id="26" w:name="_heading=h.izvf9oj5sbt" w:colFirst="0" w:colLast="0"/>
      <w:bookmarkEnd w:id="26"/>
      <w:r w:rsidRPr="00CB2E1A">
        <w:rPr>
          <w:rFonts w:ascii="Athiti" w:eastAsia="Athiti" w:hAnsi="Athiti" w:cs="Athiti"/>
          <w:lang w:val="cs-CZ"/>
        </w:rPr>
        <w:lastRenderedPageBreak/>
        <w:t>Příloha A</w:t>
      </w:r>
    </w:p>
    <w:p w:rsidR="0078272E" w:rsidRPr="00CB2E1A" w:rsidRDefault="0078272E" w:rsidP="0078272E">
      <w:pPr>
        <w:pStyle w:val="Nadpis2"/>
        <w:spacing w:before="240" w:after="240"/>
        <w:rPr>
          <w:rFonts w:ascii="Athiti" w:eastAsia="Athiti" w:hAnsi="Athiti" w:cs="Athiti"/>
          <w:lang w:val="cs-CZ"/>
        </w:rPr>
      </w:pPr>
      <w:bookmarkStart w:id="27" w:name="_heading=h.38m3bptjf5ou" w:colFirst="0" w:colLast="0"/>
      <w:bookmarkEnd w:id="27"/>
      <w:r w:rsidRPr="00CB2E1A">
        <w:rPr>
          <w:rFonts w:ascii="Athiti" w:eastAsia="Athiti" w:hAnsi="Athiti" w:cs="Athiti"/>
          <w:lang w:val="cs-CZ"/>
        </w:rPr>
        <w:t>P1 Phishing</w:t>
      </w:r>
    </w:p>
    <w:tbl>
      <w:tblPr>
        <w:tblW w:w="9638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455"/>
        <w:gridCol w:w="8183"/>
      </w:tblGrid>
      <w:tr w:rsidR="0078272E" w:rsidRPr="00CB2E1A" w:rsidTr="001E6C0F">
        <w:trPr>
          <w:cantSplit/>
          <w:trHeight w:val="648"/>
          <w:tblHeader/>
        </w:trPr>
        <w:tc>
          <w:tcPr>
            <w:tcW w:w="1455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PRIORITA</w:t>
            </w:r>
          </w:p>
        </w:tc>
        <w:tc>
          <w:tcPr>
            <w:tcW w:w="8183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Detekce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Identifikace podvodných e-mailů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E-maily s odkazy na škodlivé URL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Upozornění od interních uživatelů na podezřelé e-maily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Upozornění od externích uživatelů nebo zákazníků na podezřelé e-maily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Upozornění z Google Alerts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Analýza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Vymezit rozsah útoku identifikací postižených e-mailů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Analyzovat záhlaví zpráv, odkazy a přílohy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Kategorizovat typ útoku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Definovat nejhorší možný dopad na podnikání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Klasifikace incidentu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Zadržení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Izolovat postižené účty změnou přihlašovacích údajů, omezením přístupu ke kritickým službám a posílením vícefaktorové autentizace (MFA)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Zablokovat aktivity na základě zjištěných indikátorů kompromitace, například zablokováním škodlivých domén nebo blokováním zpráv s podobnými odesílateli, textem zpráv, předměty, odkazy, přílohami apod.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Odstranění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Pravidelně vzdělávejte zaměstnance a uživatele o phishingových technikách, varovných signálech a bezpečných postupech na internetu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Implementujte pokročilá řešení filtrování e-mailů, která dokážou detekovat a blokovat phishingové e-maily ještě před jejich doručením do schránky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Obnova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Spusťte plán kontinuity podnikání, pokud kompromitace způsobí výpadky v provozu firmy</w:t>
            </w:r>
          </w:p>
        </w:tc>
      </w:tr>
    </w:tbl>
    <w:p w:rsidR="0078272E" w:rsidRPr="00CB2E1A" w:rsidRDefault="0078272E" w:rsidP="0078272E">
      <w:pPr>
        <w:pStyle w:val="Nadpis2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bookmarkStart w:id="28" w:name="_heading=h.tpcxkybxnvgt" w:colFirst="0" w:colLast="0"/>
      <w:bookmarkEnd w:id="28"/>
      <w:r w:rsidRPr="00CB2E1A">
        <w:rPr>
          <w:rFonts w:ascii="Athiti" w:eastAsia="Athiti" w:hAnsi="Athiti" w:cs="Athiti"/>
          <w:lang w:val="cs-CZ"/>
        </w:rPr>
        <w:t>P2 Malware</w:t>
      </w:r>
    </w:p>
    <w:tbl>
      <w:tblPr>
        <w:tblW w:w="9638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455"/>
        <w:gridCol w:w="8183"/>
      </w:tblGrid>
      <w:tr w:rsidR="0078272E" w:rsidRPr="00CB2E1A" w:rsidTr="001E6C0F">
        <w:trPr>
          <w:cantSplit/>
          <w:trHeight w:val="648"/>
          <w:tblHeader/>
        </w:trPr>
        <w:tc>
          <w:tcPr>
            <w:tcW w:w="1455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PRIORITA</w:t>
            </w:r>
          </w:p>
        </w:tc>
        <w:tc>
          <w:tcPr>
            <w:tcW w:w="8183" w:type="dxa"/>
            <w:shd w:val="clear" w:color="auto" w:fill="FFE599"/>
            <w:vAlign w:val="center"/>
          </w:tcPr>
          <w:p w:rsidR="0078272E" w:rsidRPr="00CB2E1A" w:rsidRDefault="0078272E" w:rsidP="001E6C0F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Detekce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Oznámení od interních uživatelů o podezřelé aktivitě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Oznámení ze systému SentinelOne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Analýza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Určete rozsah útoku identifikací systémů, které byly zasaženy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Stanovte typ malwaru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Analyzujte chování škodlivých spustitelných souborů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Najděte infekční vektor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Definujte nejhorší možný dopad na podnikání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Klasifikace incidentu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lastRenderedPageBreak/>
              <w:t>Zadržení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Karanténa infikovaných systémů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Karanténa postižených uživatelů a skupin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Zablokování domén a adres pro řízení a kontrolu (command and control)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Odstranění škodlivých e-mailů z doručených zpráv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Potvrzení, že je na všech systémech aktivní a aktuální ochrana koncových zařízení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Potvrzení, že jsou na všech systémech nasazeny nejnovější záplaty (patches)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Odstranění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Zachování důkazních materiálů, systémů a relevantních záloh podle citlivosti a rozsahu incidentu. Tyto mohou být důležité pro budoucí forenzní analýzy.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Jakmile jsou veškerá relevantní data, zařízení a/nebo systémy zachovány, je třeba systémy vyměnit nebo znovu vybudovat dle potřeby.</w:t>
            </w:r>
          </w:p>
        </w:tc>
      </w:tr>
      <w:tr w:rsidR="0078272E" w:rsidRPr="00CB2E1A" w:rsidTr="001E6C0F">
        <w:trPr>
          <w:cantSplit/>
          <w:trHeight w:val="431"/>
          <w:tblHeader/>
        </w:trPr>
        <w:tc>
          <w:tcPr>
            <w:tcW w:w="1455" w:type="dxa"/>
            <w:vAlign w:val="center"/>
          </w:tcPr>
          <w:p w:rsidR="0078272E" w:rsidRPr="00CB2E1A" w:rsidRDefault="0078272E" w:rsidP="001E6C0F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CB2E1A">
              <w:rPr>
                <w:rFonts w:ascii="Athiti" w:eastAsia="Athiti" w:hAnsi="Athiti" w:cs="Athiti"/>
                <w:b/>
                <w:color w:val="444444"/>
                <w:lang w:val="cs-CZ"/>
              </w:rPr>
              <w:t>Obnova</w:t>
            </w:r>
          </w:p>
        </w:tc>
        <w:tc>
          <w:tcPr>
            <w:tcW w:w="8183" w:type="dxa"/>
            <w:vAlign w:val="center"/>
          </w:tcPr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Pokud máte k dispozici aktuální zálohu, použijte ji k obnovení systému. Ujistěte se, že záloha neobsahuje žádný škodlivý kód. Pokud je to možné, obnovujte jednotlivé soubory místo celého systému, abyste předešli opětovnému zavlečení malwaru.</w:t>
            </w:r>
          </w:p>
          <w:p w:rsidR="0078272E" w:rsidRPr="00CB2E1A" w:rsidRDefault="0078272E" w:rsidP="0078272E">
            <w:pPr>
              <w:pStyle w:val="normal"/>
              <w:numPr>
                <w:ilvl w:val="0"/>
                <w:numId w:val="9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CB2E1A">
              <w:rPr>
                <w:rFonts w:ascii="Athiti" w:eastAsia="Athiti" w:hAnsi="Athiti" w:cs="Athiti"/>
                <w:color w:val="444444"/>
                <w:lang w:val="cs-CZ"/>
              </w:rPr>
              <w:t>Spusťte plán kontinuity podnikání, pokud kompromitace způsobila výpadky v provozu firmy.</w:t>
            </w:r>
          </w:p>
        </w:tc>
      </w:tr>
    </w:tbl>
    <w:p w:rsidR="0078272E" w:rsidRPr="00CB2E1A" w:rsidRDefault="0078272E" w:rsidP="0078272E">
      <w:pPr>
        <w:pStyle w:val="normal"/>
        <w:spacing w:before="200" w:after="200" w:line="240" w:lineRule="auto"/>
        <w:jc w:val="center"/>
        <w:rPr>
          <w:rFonts w:ascii="Athiti" w:eastAsia="Athiti" w:hAnsi="Athiti" w:cs="Athiti"/>
          <w:lang w:val="cs-CZ"/>
        </w:rPr>
      </w:pPr>
    </w:p>
    <w:p w:rsidR="00B06DB5" w:rsidRPr="00CB2E1A" w:rsidRDefault="00B06DB5">
      <w:pPr>
        <w:rPr>
          <w:lang w:val="cs-CZ"/>
        </w:rPr>
      </w:pPr>
    </w:p>
    <w:sectPr w:rsidR="00B06DB5" w:rsidRPr="00CB2E1A" w:rsidSect="00440737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59" w:rsidRDefault="00342659" w:rsidP="000B5261">
      <w:pPr>
        <w:spacing w:after="0" w:line="240" w:lineRule="auto"/>
      </w:pPr>
      <w:r>
        <w:separator/>
      </w:r>
    </w:p>
  </w:endnote>
  <w:endnote w:type="continuationSeparator" w:id="1">
    <w:p w:rsidR="00342659" w:rsidRDefault="00342659" w:rsidP="000B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737" w:rsidRDefault="0078272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495925" cy="73660"/>
          <wp:effectExtent l="0" t="0" r="0" b="0"/>
          <wp:docPr id="5" name="image2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5925" cy="73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0737" w:rsidRDefault="000B526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  <w:color w:val="000000"/>
      </w:rPr>
    </w:pPr>
    <w:r>
      <w:rPr>
        <w:rFonts w:ascii="Athiti" w:eastAsia="Athiti" w:hAnsi="Athiti" w:cs="Athiti"/>
        <w:color w:val="000000"/>
      </w:rPr>
      <w:fldChar w:fldCharType="begin"/>
    </w:r>
    <w:r w:rsidR="0078272E">
      <w:rPr>
        <w:rFonts w:ascii="Athiti" w:eastAsia="Athiti" w:hAnsi="Athiti" w:cs="Athiti"/>
        <w:color w:val="000000"/>
      </w:rPr>
      <w:instrText>PAGE</w:instrText>
    </w:r>
    <w:r>
      <w:rPr>
        <w:rFonts w:ascii="Athiti" w:eastAsia="Athiti" w:hAnsi="Athiti" w:cs="Athiti"/>
        <w:color w:val="000000"/>
      </w:rPr>
      <w:fldChar w:fldCharType="separate"/>
    </w:r>
    <w:r w:rsidR="00CB2E1A">
      <w:rPr>
        <w:rFonts w:ascii="Athiti" w:eastAsia="Athiti" w:hAnsi="Athiti" w:cs="Athiti"/>
        <w:noProof/>
        <w:color w:val="000000"/>
      </w:rPr>
      <w:t>14</w:t>
    </w:r>
    <w:r>
      <w:rPr>
        <w:rFonts w:ascii="Athiti" w:eastAsia="Athiti" w:hAnsi="Athiti" w:cs="Athiti"/>
        <w:color w:val="000000"/>
      </w:rPr>
      <w:fldChar w:fldCharType="end"/>
    </w:r>
  </w:p>
  <w:p w:rsidR="00440737" w:rsidRDefault="0034265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59" w:rsidRDefault="00342659" w:rsidP="000B5261">
      <w:pPr>
        <w:spacing w:after="0" w:line="240" w:lineRule="auto"/>
      </w:pPr>
      <w:r>
        <w:separator/>
      </w:r>
    </w:p>
  </w:footnote>
  <w:footnote w:type="continuationSeparator" w:id="1">
    <w:p w:rsidR="00342659" w:rsidRDefault="00342659" w:rsidP="000B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737" w:rsidRDefault="0078272E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-9522</wp:posOffset>
          </wp:positionH>
          <wp:positionV relativeFrom="page">
            <wp:posOffset>-9522</wp:posOffset>
          </wp:positionV>
          <wp:extent cx="109050" cy="10747050"/>
          <wp:effectExtent l="0" t="0" r="0" b="0"/>
          <wp:wrapSquare wrapText="bothSides" distT="0" distB="0" distL="114300" distR="11430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50" cy="1074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737" w:rsidRDefault="0078272E">
    <w:pPr>
      <w:pStyle w:val="nor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-9522</wp:posOffset>
          </wp:positionH>
          <wp:positionV relativeFrom="page">
            <wp:posOffset>-9522</wp:posOffset>
          </wp:positionV>
          <wp:extent cx="109050" cy="1074705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50" cy="1074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DAA"/>
    <w:multiLevelType w:val="multilevel"/>
    <w:tmpl w:val="E3F23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C8554EB"/>
    <w:multiLevelType w:val="multilevel"/>
    <w:tmpl w:val="253A64E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F720253"/>
    <w:multiLevelType w:val="multilevel"/>
    <w:tmpl w:val="C95E9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2FC44D6"/>
    <w:multiLevelType w:val="multilevel"/>
    <w:tmpl w:val="0EA08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8F74ECE"/>
    <w:multiLevelType w:val="multilevel"/>
    <w:tmpl w:val="D7DA4D1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92C3627"/>
    <w:multiLevelType w:val="multilevel"/>
    <w:tmpl w:val="4FE8EA1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5A95925"/>
    <w:multiLevelType w:val="multilevel"/>
    <w:tmpl w:val="50843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8460E94"/>
    <w:multiLevelType w:val="multilevel"/>
    <w:tmpl w:val="DE343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7016A6"/>
    <w:multiLevelType w:val="multilevel"/>
    <w:tmpl w:val="2F2AE29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01D3987"/>
    <w:multiLevelType w:val="multilevel"/>
    <w:tmpl w:val="428095F6"/>
    <w:lvl w:ilvl="0">
      <w:start w:val="1"/>
      <w:numFmt w:val="bullet"/>
      <w:lvlText w:val="●"/>
      <w:lvlJc w:val="left"/>
      <w:pPr>
        <w:ind w:left="720" w:hanging="360"/>
      </w:pPr>
      <w:rPr>
        <w:color w:val="12988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2D04F13"/>
    <w:multiLevelType w:val="multilevel"/>
    <w:tmpl w:val="BE740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00D2519"/>
    <w:multiLevelType w:val="multilevel"/>
    <w:tmpl w:val="C9147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8B5268A"/>
    <w:multiLevelType w:val="multilevel"/>
    <w:tmpl w:val="FBF6C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F6F45A9"/>
    <w:multiLevelType w:val="multilevel"/>
    <w:tmpl w:val="5F4C7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5CB4188"/>
    <w:multiLevelType w:val="multilevel"/>
    <w:tmpl w:val="870A2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6AC7439"/>
    <w:multiLevelType w:val="multilevel"/>
    <w:tmpl w:val="06FE8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7CC1894"/>
    <w:multiLevelType w:val="multilevel"/>
    <w:tmpl w:val="17A47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C290B34"/>
    <w:multiLevelType w:val="multilevel"/>
    <w:tmpl w:val="12743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6"/>
  </w:num>
  <w:num w:numId="15">
    <w:abstractNumId w:val="15"/>
  </w:num>
  <w:num w:numId="16">
    <w:abstractNumId w:val="7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72E"/>
    <w:rsid w:val="000B5261"/>
    <w:rsid w:val="001F0902"/>
    <w:rsid w:val="00267770"/>
    <w:rsid w:val="00342659"/>
    <w:rsid w:val="00364676"/>
    <w:rsid w:val="005811F2"/>
    <w:rsid w:val="0078272E"/>
    <w:rsid w:val="009D0A5F"/>
    <w:rsid w:val="00B01FD2"/>
    <w:rsid w:val="00B06DB5"/>
    <w:rsid w:val="00CB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72E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al"/>
    <w:next w:val="normal"/>
    <w:link w:val="Nadpis1Char"/>
    <w:rsid w:val="0078272E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2">
    <w:name w:val="heading 2"/>
    <w:basedOn w:val="normal"/>
    <w:next w:val="normal"/>
    <w:link w:val="Nadpis2Char"/>
    <w:rsid w:val="0078272E"/>
    <w:pPr>
      <w:keepNext/>
      <w:keepLines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al"/>
    <w:next w:val="normal"/>
    <w:link w:val="Nadpis3Char"/>
    <w:rsid w:val="0078272E"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</w:rPr>
  </w:style>
  <w:style w:type="paragraph" w:styleId="Nadpis4">
    <w:name w:val="heading 4"/>
    <w:basedOn w:val="normal"/>
    <w:next w:val="normal"/>
    <w:link w:val="Nadpis4Char"/>
    <w:rsid w:val="0078272E"/>
    <w:pPr>
      <w:keepNext/>
      <w:keepLines/>
      <w:spacing w:before="240" w:after="4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272E"/>
    <w:rPr>
      <w:rFonts w:ascii="Calibri" w:eastAsia="Calibri" w:hAnsi="Calibri" w:cs="Calibri"/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8272E"/>
    <w:rPr>
      <w:rFonts w:ascii="Calibri" w:eastAsia="Calibri" w:hAnsi="Calibri" w:cs="Calibri"/>
      <w:sz w:val="30"/>
      <w:szCs w:val="30"/>
    </w:rPr>
  </w:style>
  <w:style w:type="character" w:customStyle="1" w:styleId="Nadpis3Char">
    <w:name w:val="Nadpis 3 Char"/>
    <w:basedOn w:val="Standardnpsmoodstavce"/>
    <w:link w:val="Nadpis3"/>
    <w:rsid w:val="0078272E"/>
    <w:rPr>
      <w:rFonts w:ascii="Calibri" w:eastAsia="Calibri" w:hAnsi="Calibri" w:cs="Calibri"/>
      <w:color w:val="1F3863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8272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">
    <w:name w:val="normal"/>
    <w:rsid w:val="0078272E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7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3011</Words>
  <Characters>17169</Characters>
  <Application>Microsoft Office Word</Application>
  <DocSecurity>0</DocSecurity>
  <Lines>143</Lines>
  <Paragraphs>40</Paragraphs>
  <ScaleCrop>false</ScaleCrop>
  <Company/>
  <LinksUpToDate>false</LinksUpToDate>
  <CharactersWithSpaces>20140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2</cp:revision>
  <dcterms:created xsi:type="dcterms:W3CDTF">2025-07-28T22:32:00Z</dcterms:created>
  <dcterms:modified xsi:type="dcterms:W3CDTF">2025-07-30T02:34:00Z</dcterms:modified>
</cp:coreProperties>
</file>