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C31" w:rsidRDefault="00191C31" w:rsidP="00191C31">
      <w:pPr>
        <w:pStyle w:val="normal"/>
        <w:jc w:val="right"/>
        <w:rPr>
          <w:rFonts w:ascii="Athiti" w:eastAsia="Athiti" w:hAnsi="Athiti" w:cs="Athiti"/>
          <w:b/>
          <w:color w:val="44546A"/>
          <w:sz w:val="48"/>
          <w:szCs w:val="48"/>
        </w:rPr>
      </w:pPr>
      <w:bookmarkStart w:id="0" w:name="_heading=h.54l6ddg53ix1" w:colFirst="0" w:colLast="0"/>
      <w:bookmarkEnd w:id="0"/>
    </w:p>
    <w:p w:rsidR="00191C31" w:rsidRDefault="00191C31" w:rsidP="00191C31">
      <w:pPr>
        <w:pStyle w:val="normal"/>
        <w:rPr>
          <w:rFonts w:ascii="Athiti" w:eastAsia="Athiti" w:hAnsi="Athiti" w:cs="Athiti"/>
          <w:b/>
          <w:color w:val="44546A"/>
          <w:sz w:val="48"/>
          <w:szCs w:val="48"/>
        </w:rPr>
      </w:pPr>
    </w:p>
    <w:p w:rsidR="00191C31" w:rsidRDefault="00191C31" w:rsidP="00191C31">
      <w:pPr>
        <w:pStyle w:val="normal"/>
        <w:rPr>
          <w:rFonts w:ascii="Athiti" w:eastAsia="Athiti" w:hAnsi="Athiti" w:cs="Athiti"/>
          <w:b/>
          <w:color w:val="44546A"/>
          <w:sz w:val="48"/>
          <w:szCs w:val="48"/>
        </w:rPr>
      </w:pPr>
    </w:p>
    <w:p w:rsidR="00191C31" w:rsidRDefault="00191C31" w:rsidP="00191C31">
      <w:pPr>
        <w:pStyle w:val="normal"/>
        <w:jc w:val="center"/>
        <w:rPr>
          <w:rFonts w:ascii="Athiti" w:eastAsia="Athiti" w:hAnsi="Athiti" w:cs="Athiti"/>
          <w:color w:val="725DD9"/>
        </w:rPr>
      </w:pPr>
      <w:r>
        <w:rPr>
          <w:rFonts w:ascii="Athiti" w:eastAsia="Athiti" w:hAnsi="Athiti" w:cs="Athiti"/>
          <w:b/>
          <w:sz w:val="48"/>
          <w:szCs w:val="48"/>
        </w:rPr>
        <w:t>Politika Informační Bezpečnosti</w:t>
      </w:r>
      <w:r>
        <w:rPr>
          <w:rFonts w:ascii="Athiti" w:eastAsia="Athiti" w:hAnsi="Athiti" w:cs="Athiti"/>
          <w:b/>
          <w:color w:val="725DD9"/>
          <w:sz w:val="48"/>
          <w:szCs w:val="48"/>
        </w:rPr>
        <w:t xml:space="preserve"> </w:t>
      </w:r>
      <w:r>
        <w:rPr>
          <w:rFonts w:ascii="Athiti" w:eastAsia="Athiti" w:hAnsi="Athiti" w:cs="Athiti"/>
          <w:color w:val="725DD9"/>
        </w:rPr>
        <w:t xml:space="preserve"> </w:t>
      </w:r>
    </w:p>
    <w:p w:rsidR="00191C31" w:rsidRDefault="00191C31"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p w:rsidR="005069AA" w:rsidRDefault="005069AA" w:rsidP="00191C31">
      <w:pPr>
        <w:pStyle w:val="normal"/>
        <w:widowControl w:val="0"/>
        <w:tabs>
          <w:tab w:val="left" w:pos="9356"/>
        </w:tabs>
        <w:spacing w:before="6" w:after="0" w:line="240" w:lineRule="auto"/>
        <w:rPr>
          <w:rFonts w:ascii="Athiti" w:eastAsia="Athiti" w:hAnsi="Athiti" w:cs="Athiti"/>
          <w:sz w:val="18"/>
          <w:szCs w:val="18"/>
        </w:rPr>
      </w:pPr>
    </w:p>
    <w:tbl>
      <w:tblPr>
        <w:tblpPr w:leftFromText="180" w:rightFromText="180" w:topFromText="180" w:bottomFromText="180" w:vertAnchor="text" w:horzAnchor="margin" w:tblpXSpec="right" w:tblpY="244"/>
        <w:tblW w:w="5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9"/>
        <w:gridCol w:w="2746"/>
      </w:tblGrid>
      <w:tr w:rsidR="005069AA" w:rsidTr="005069AA">
        <w:trPr>
          <w:cantSplit/>
          <w:trHeight w:val="354"/>
          <w:tblHeader/>
        </w:trPr>
        <w:tc>
          <w:tcPr>
            <w:tcW w:w="3149" w:type="dxa"/>
            <w:shd w:val="clear" w:color="auto" w:fill="EFEFEF"/>
          </w:tcPr>
          <w:p w:rsidR="005069AA" w:rsidRDefault="005069AA" w:rsidP="005069AA">
            <w:pPr>
              <w:pStyle w:val="normal"/>
              <w:widowControl w:val="0"/>
              <w:tabs>
                <w:tab w:val="left" w:pos="9356"/>
              </w:tabs>
              <w:spacing w:before="64" w:after="0" w:line="240" w:lineRule="auto"/>
              <w:ind w:left="105"/>
              <w:rPr>
                <w:rFonts w:ascii="Athiti" w:eastAsia="Athiti" w:hAnsi="Athiti" w:cs="Athiti"/>
                <w:b/>
                <w:sz w:val="20"/>
                <w:szCs w:val="20"/>
              </w:rPr>
            </w:pPr>
            <w:r>
              <w:rPr>
                <w:rFonts w:ascii="Athiti" w:eastAsia="Athiti" w:hAnsi="Athiti" w:cs="Athiti"/>
                <w:b/>
                <w:sz w:val="20"/>
                <w:szCs w:val="20"/>
              </w:rPr>
              <w:t>Verze:</w:t>
            </w:r>
          </w:p>
        </w:tc>
        <w:tc>
          <w:tcPr>
            <w:tcW w:w="2746" w:type="dxa"/>
          </w:tcPr>
          <w:p w:rsidR="005069AA" w:rsidRDefault="005069AA" w:rsidP="005069AA">
            <w:pPr>
              <w:pStyle w:val="normal"/>
              <w:widowControl w:val="0"/>
              <w:tabs>
                <w:tab w:val="left" w:pos="9356"/>
              </w:tabs>
              <w:spacing w:before="71" w:after="0" w:line="240" w:lineRule="auto"/>
              <w:ind w:right="94"/>
              <w:rPr>
                <w:rFonts w:ascii="Athiti" w:eastAsia="Athiti" w:hAnsi="Athiti" w:cs="Athiti"/>
                <w:sz w:val="20"/>
                <w:szCs w:val="20"/>
              </w:rPr>
            </w:pPr>
            <w:r>
              <w:rPr>
                <w:rFonts w:ascii="Athiti" w:eastAsia="Athiti" w:hAnsi="Athiti" w:cs="Athiti"/>
                <w:sz w:val="20"/>
                <w:szCs w:val="20"/>
              </w:rPr>
              <w:t>1.0</w:t>
            </w:r>
          </w:p>
        </w:tc>
      </w:tr>
      <w:tr w:rsidR="005069AA" w:rsidTr="005069AA">
        <w:trPr>
          <w:cantSplit/>
          <w:trHeight w:val="354"/>
          <w:tblHeader/>
        </w:trPr>
        <w:tc>
          <w:tcPr>
            <w:tcW w:w="3149" w:type="dxa"/>
            <w:shd w:val="clear" w:color="auto" w:fill="EFEFEF"/>
          </w:tcPr>
          <w:p w:rsidR="005069AA" w:rsidRDefault="005069AA" w:rsidP="005069AA">
            <w:pPr>
              <w:pStyle w:val="normal"/>
              <w:widowControl w:val="0"/>
              <w:tabs>
                <w:tab w:val="left" w:pos="9356"/>
              </w:tabs>
              <w:spacing w:before="64" w:after="0" w:line="240" w:lineRule="auto"/>
              <w:ind w:left="105"/>
              <w:rPr>
                <w:rFonts w:ascii="Athiti" w:eastAsia="Athiti" w:hAnsi="Athiti" w:cs="Athiti"/>
                <w:b/>
                <w:sz w:val="20"/>
                <w:szCs w:val="20"/>
              </w:rPr>
            </w:pPr>
            <w:r>
              <w:rPr>
                <w:rFonts w:ascii="Athiti" w:eastAsia="Athiti" w:hAnsi="Athiti" w:cs="Athiti"/>
                <w:b/>
                <w:sz w:val="20"/>
                <w:szCs w:val="20"/>
              </w:rPr>
              <w:t>Schváleno dne:</w:t>
            </w:r>
          </w:p>
        </w:tc>
        <w:tc>
          <w:tcPr>
            <w:tcW w:w="2746" w:type="dxa"/>
          </w:tcPr>
          <w:p w:rsidR="005069AA" w:rsidRDefault="005069AA" w:rsidP="005069AA">
            <w:pPr>
              <w:pStyle w:val="normal"/>
              <w:widowControl w:val="0"/>
              <w:tabs>
                <w:tab w:val="left" w:pos="9356"/>
              </w:tabs>
              <w:spacing w:before="71" w:after="0" w:line="240" w:lineRule="auto"/>
              <w:ind w:right="94"/>
              <w:rPr>
                <w:rFonts w:ascii="Athiti" w:eastAsia="Athiti" w:hAnsi="Athiti" w:cs="Athiti"/>
                <w:sz w:val="20"/>
                <w:szCs w:val="20"/>
              </w:rPr>
            </w:pPr>
            <w:r>
              <w:rPr>
                <w:rFonts w:ascii="Athiti" w:eastAsia="Athiti" w:hAnsi="Athiti" w:cs="Athiti"/>
                <w:sz w:val="20"/>
                <w:szCs w:val="20"/>
              </w:rPr>
              <w:t>21.05.2025</w:t>
            </w:r>
          </w:p>
        </w:tc>
      </w:tr>
      <w:tr w:rsidR="005069AA" w:rsidTr="005069AA">
        <w:trPr>
          <w:cantSplit/>
          <w:trHeight w:val="354"/>
          <w:tblHeader/>
        </w:trPr>
        <w:tc>
          <w:tcPr>
            <w:tcW w:w="3149" w:type="dxa"/>
            <w:shd w:val="clear" w:color="auto" w:fill="EFEFEF"/>
          </w:tcPr>
          <w:p w:rsidR="005069AA" w:rsidRDefault="005069AA" w:rsidP="005069AA">
            <w:pPr>
              <w:pStyle w:val="normal"/>
              <w:widowControl w:val="0"/>
              <w:tabs>
                <w:tab w:val="left" w:pos="9356"/>
              </w:tabs>
              <w:spacing w:before="64" w:after="0" w:line="240" w:lineRule="auto"/>
              <w:ind w:left="105"/>
              <w:rPr>
                <w:rFonts w:ascii="Athiti" w:eastAsia="Athiti" w:hAnsi="Athiti" w:cs="Athiti"/>
                <w:b/>
                <w:sz w:val="20"/>
                <w:szCs w:val="20"/>
              </w:rPr>
            </w:pPr>
            <w:r>
              <w:rPr>
                <w:rFonts w:ascii="Athiti" w:eastAsia="Athiti" w:hAnsi="Athiti" w:cs="Athiti"/>
                <w:b/>
                <w:sz w:val="20"/>
                <w:szCs w:val="20"/>
              </w:rPr>
              <w:t>Schváleno oddělením:</w:t>
            </w:r>
          </w:p>
        </w:tc>
        <w:tc>
          <w:tcPr>
            <w:tcW w:w="2746" w:type="dxa"/>
          </w:tcPr>
          <w:p w:rsidR="005069AA" w:rsidRDefault="005069AA" w:rsidP="005069AA">
            <w:pPr>
              <w:pStyle w:val="normal"/>
              <w:widowControl w:val="0"/>
              <w:tabs>
                <w:tab w:val="left" w:pos="9356"/>
              </w:tabs>
              <w:spacing w:before="71" w:after="0" w:line="240" w:lineRule="auto"/>
              <w:ind w:right="94"/>
              <w:rPr>
                <w:rFonts w:ascii="Athiti" w:eastAsia="Athiti" w:hAnsi="Athiti" w:cs="Athiti"/>
                <w:sz w:val="20"/>
                <w:szCs w:val="20"/>
              </w:rPr>
            </w:pPr>
            <w:r>
              <w:rPr>
                <w:rFonts w:ascii="Athiti" w:eastAsia="Athiti" w:hAnsi="Athiti" w:cs="Athiti"/>
                <w:sz w:val="20"/>
                <w:szCs w:val="20"/>
              </w:rPr>
              <w:t>Compliance</w:t>
            </w:r>
          </w:p>
        </w:tc>
      </w:tr>
      <w:tr w:rsidR="005069AA" w:rsidTr="005069AA">
        <w:trPr>
          <w:cantSplit/>
          <w:trHeight w:val="354"/>
          <w:tblHeader/>
        </w:trPr>
        <w:tc>
          <w:tcPr>
            <w:tcW w:w="3149" w:type="dxa"/>
            <w:shd w:val="clear" w:color="auto" w:fill="EFEFEF"/>
          </w:tcPr>
          <w:p w:rsidR="005069AA" w:rsidRDefault="005069AA" w:rsidP="005069AA">
            <w:pPr>
              <w:pStyle w:val="normal"/>
              <w:widowControl w:val="0"/>
              <w:tabs>
                <w:tab w:val="left" w:pos="9356"/>
              </w:tabs>
              <w:spacing w:before="64" w:after="0" w:line="240" w:lineRule="auto"/>
              <w:ind w:left="105"/>
              <w:rPr>
                <w:rFonts w:ascii="Athiti" w:eastAsia="Athiti" w:hAnsi="Athiti" w:cs="Athiti"/>
                <w:b/>
                <w:sz w:val="20"/>
                <w:szCs w:val="20"/>
              </w:rPr>
            </w:pPr>
            <w:r>
              <w:rPr>
                <w:rFonts w:ascii="Athiti" w:eastAsia="Athiti" w:hAnsi="Athiti" w:cs="Athiti"/>
                <w:b/>
                <w:sz w:val="20"/>
                <w:szCs w:val="20"/>
              </w:rPr>
              <w:t>Naposledy aktualizováno:</w:t>
            </w:r>
          </w:p>
        </w:tc>
        <w:tc>
          <w:tcPr>
            <w:tcW w:w="2746" w:type="dxa"/>
          </w:tcPr>
          <w:p w:rsidR="005069AA" w:rsidRDefault="005069AA" w:rsidP="005069AA">
            <w:pPr>
              <w:pStyle w:val="normal"/>
              <w:widowControl w:val="0"/>
              <w:tabs>
                <w:tab w:val="left" w:pos="9356"/>
              </w:tabs>
              <w:spacing w:before="71" w:after="0" w:line="240" w:lineRule="auto"/>
              <w:ind w:right="94"/>
              <w:rPr>
                <w:rFonts w:ascii="Athiti" w:eastAsia="Athiti" w:hAnsi="Athiti" w:cs="Athiti"/>
                <w:sz w:val="20"/>
                <w:szCs w:val="20"/>
              </w:rPr>
            </w:pPr>
            <w:r>
              <w:rPr>
                <w:rFonts w:ascii="Athiti" w:eastAsia="Athiti" w:hAnsi="Athiti" w:cs="Athiti"/>
                <w:sz w:val="20"/>
                <w:szCs w:val="20"/>
              </w:rPr>
              <w:t>21.05.2025</w:t>
            </w:r>
          </w:p>
        </w:tc>
      </w:tr>
    </w:tbl>
    <w:p w:rsidR="00191C31" w:rsidRDefault="00191C31" w:rsidP="00191C31">
      <w:pPr>
        <w:pStyle w:val="normal"/>
        <w:jc w:val="left"/>
        <w:rPr>
          <w:rFonts w:ascii="Athiti" w:eastAsia="Athiti" w:hAnsi="Athiti" w:cs="Athiti"/>
          <w:sz w:val="18"/>
          <w:szCs w:val="18"/>
        </w:rPr>
      </w:pPr>
    </w:p>
    <w:p w:rsidR="005069AA" w:rsidRDefault="005069AA" w:rsidP="005069AA">
      <w:pPr>
        <w:pStyle w:val="normal"/>
        <w:keepNext/>
        <w:keepLines/>
        <w:spacing w:before="360" w:after="240"/>
        <w:jc w:val="left"/>
        <w:rPr>
          <w:rFonts w:ascii="Athiti" w:eastAsia="Athiti" w:hAnsi="Athiti" w:cs="Athiti"/>
          <w:b/>
          <w:sz w:val="36"/>
          <w:szCs w:val="36"/>
        </w:rPr>
      </w:pPr>
    </w:p>
    <w:p w:rsidR="005069AA" w:rsidRDefault="005069AA" w:rsidP="005069AA">
      <w:pPr>
        <w:pStyle w:val="normal"/>
        <w:keepNext/>
        <w:keepLines/>
        <w:spacing w:before="360" w:after="240"/>
        <w:jc w:val="left"/>
        <w:rPr>
          <w:rFonts w:ascii="Athiti" w:eastAsia="Athiti" w:hAnsi="Athiti" w:cs="Athiti"/>
          <w:b/>
          <w:sz w:val="36"/>
          <w:szCs w:val="36"/>
        </w:rPr>
      </w:pPr>
      <w:r>
        <w:rPr>
          <w:rFonts w:ascii="Athiti" w:eastAsia="Athiti" w:hAnsi="Athiti" w:cs="Athiti"/>
          <w:b/>
          <w:sz w:val="36"/>
          <w:szCs w:val="36"/>
        </w:rPr>
        <w:t>Obsah</w:t>
      </w:r>
    </w:p>
    <w:p w:rsidR="005069AA" w:rsidRDefault="001F0918" w:rsidP="005069AA">
      <w:pPr>
        <w:pStyle w:val="normal"/>
        <w:widowControl w:val="0"/>
        <w:tabs>
          <w:tab w:val="right" w:pos="12000"/>
        </w:tabs>
        <w:spacing w:before="60" w:after="0" w:line="240" w:lineRule="auto"/>
        <w:jc w:val="left"/>
        <w:rPr>
          <w:rFonts w:ascii="Athiti" w:eastAsia="Athiti" w:hAnsi="Athiti" w:cs="Athiti"/>
          <w:b/>
          <w:color w:val="000000"/>
          <w:sz w:val="22"/>
          <w:szCs w:val="22"/>
        </w:rPr>
      </w:pPr>
      <w:hyperlink w:anchor="_heading=h.430yczttwmfa">
        <w:r w:rsidR="005069AA">
          <w:rPr>
            <w:rFonts w:ascii="Athiti" w:eastAsia="Athiti" w:hAnsi="Athiti" w:cs="Athiti"/>
            <w:b/>
            <w:color w:val="000000"/>
            <w:sz w:val="22"/>
            <w:szCs w:val="22"/>
          </w:rPr>
          <w:t>Pojmy a definice</w:t>
        </w:r>
        <w:r w:rsidR="005069AA">
          <w:rPr>
            <w:rFonts w:ascii="Athiti" w:eastAsia="Athiti" w:hAnsi="Athiti" w:cs="Athiti"/>
            <w:b/>
            <w:color w:val="000000"/>
            <w:sz w:val="22"/>
            <w:szCs w:val="22"/>
          </w:rPr>
          <w:tab/>
          <w:t>2</w:t>
        </w:r>
      </w:hyperlink>
    </w:p>
    <w:p w:rsidR="005069AA" w:rsidRDefault="001F0918" w:rsidP="005069AA">
      <w:pPr>
        <w:pStyle w:val="normal"/>
        <w:widowControl w:val="0"/>
        <w:tabs>
          <w:tab w:val="right" w:pos="12000"/>
        </w:tabs>
        <w:spacing w:before="60" w:after="0" w:line="240" w:lineRule="auto"/>
        <w:jc w:val="left"/>
        <w:rPr>
          <w:rFonts w:ascii="Athiti" w:eastAsia="Athiti" w:hAnsi="Athiti" w:cs="Athiti"/>
          <w:b/>
          <w:color w:val="000000"/>
          <w:sz w:val="22"/>
          <w:szCs w:val="22"/>
        </w:rPr>
      </w:pPr>
      <w:hyperlink w:anchor="_heading=h.lnahys1gdoif">
        <w:r w:rsidR="005069AA">
          <w:rPr>
            <w:rFonts w:ascii="Athiti" w:eastAsia="Athiti" w:hAnsi="Athiti" w:cs="Athiti"/>
            <w:b/>
            <w:color w:val="000000"/>
          </w:rPr>
          <w:t>1 Úvod</w:t>
        </w:r>
        <w:r w:rsidR="005069AA">
          <w:rPr>
            <w:rFonts w:ascii="Athiti" w:eastAsia="Athiti" w:hAnsi="Athiti" w:cs="Athiti"/>
            <w:b/>
            <w:color w:val="000000"/>
          </w:rPr>
          <w:tab/>
          <w:t>4</w:t>
        </w:r>
      </w:hyperlink>
    </w:p>
    <w:p w:rsidR="005069AA" w:rsidRDefault="001F0918" w:rsidP="005069AA">
      <w:pPr>
        <w:pStyle w:val="normal"/>
        <w:widowControl w:val="0"/>
        <w:tabs>
          <w:tab w:val="right" w:pos="12000"/>
        </w:tabs>
        <w:spacing w:before="60" w:after="0" w:line="240" w:lineRule="auto"/>
        <w:jc w:val="left"/>
        <w:rPr>
          <w:rFonts w:ascii="Athiti" w:eastAsia="Athiti" w:hAnsi="Athiti" w:cs="Athiti"/>
          <w:b/>
          <w:color w:val="000000"/>
          <w:sz w:val="22"/>
          <w:szCs w:val="22"/>
        </w:rPr>
      </w:pPr>
      <w:hyperlink w:anchor="_heading=h.fkvg0gf1nv2t">
        <w:r w:rsidR="005069AA">
          <w:rPr>
            <w:rFonts w:ascii="Athiti" w:eastAsia="Athiti" w:hAnsi="Athiti" w:cs="Athiti"/>
            <w:b/>
            <w:color w:val="000000"/>
          </w:rPr>
          <w:t>2 Obecná ustanovení</w:t>
        </w:r>
        <w:r w:rsidR="005069AA">
          <w:rPr>
            <w:rFonts w:ascii="Athiti" w:eastAsia="Athiti" w:hAnsi="Athiti" w:cs="Athiti"/>
            <w:b/>
            <w:color w:val="000000"/>
          </w:rPr>
          <w:tab/>
          <w:t>5</w:t>
        </w:r>
      </w:hyperlink>
    </w:p>
    <w:p w:rsidR="005069AA" w:rsidRDefault="001F0918" w:rsidP="005069AA">
      <w:pPr>
        <w:pStyle w:val="normal"/>
        <w:widowControl w:val="0"/>
        <w:tabs>
          <w:tab w:val="right" w:pos="12000"/>
        </w:tabs>
        <w:spacing w:before="60" w:after="0" w:line="240" w:lineRule="auto"/>
        <w:ind w:left="360"/>
        <w:jc w:val="left"/>
        <w:rPr>
          <w:rFonts w:ascii="Athiti" w:eastAsia="Athiti" w:hAnsi="Athiti" w:cs="Athiti"/>
          <w:color w:val="000000"/>
          <w:sz w:val="22"/>
          <w:szCs w:val="22"/>
        </w:rPr>
      </w:pPr>
      <w:hyperlink w:anchor="_heading=h.8dajyzrw0yz7">
        <w:r w:rsidR="005069AA">
          <w:rPr>
            <w:rFonts w:ascii="Athiti" w:eastAsia="Athiti" w:hAnsi="Athiti" w:cs="Athiti"/>
            <w:color w:val="000000"/>
          </w:rPr>
          <w:t>2.1 Rozsah</w:t>
        </w:r>
        <w:r w:rsidR="005069AA">
          <w:rPr>
            <w:rFonts w:ascii="Athiti" w:eastAsia="Athiti" w:hAnsi="Athiti" w:cs="Athiti"/>
            <w:color w:val="000000"/>
          </w:rPr>
          <w:tab/>
          <w:t>5</w:t>
        </w:r>
      </w:hyperlink>
    </w:p>
    <w:p w:rsidR="005069AA" w:rsidRDefault="001F0918" w:rsidP="005069AA">
      <w:pPr>
        <w:pStyle w:val="normal"/>
        <w:widowControl w:val="0"/>
        <w:tabs>
          <w:tab w:val="right" w:pos="12000"/>
        </w:tabs>
        <w:spacing w:before="60" w:after="0" w:line="240" w:lineRule="auto"/>
        <w:ind w:left="360"/>
        <w:jc w:val="left"/>
        <w:rPr>
          <w:rFonts w:ascii="Athiti" w:eastAsia="Athiti" w:hAnsi="Athiti" w:cs="Athiti"/>
          <w:color w:val="000000"/>
          <w:sz w:val="22"/>
          <w:szCs w:val="22"/>
        </w:rPr>
      </w:pPr>
      <w:hyperlink w:anchor="_heading=h.u6ixj7cnxcso">
        <w:r w:rsidR="005069AA">
          <w:rPr>
            <w:rFonts w:ascii="Athiti" w:eastAsia="Athiti" w:hAnsi="Athiti" w:cs="Athiti"/>
            <w:color w:val="000000"/>
          </w:rPr>
          <w:t>2.2 Cíle</w:t>
        </w:r>
        <w:r w:rsidR="005069AA">
          <w:rPr>
            <w:rFonts w:ascii="Athiti" w:eastAsia="Athiti" w:hAnsi="Athiti" w:cs="Athiti"/>
            <w:color w:val="000000"/>
          </w:rPr>
          <w:tab/>
          <w:t>6</w:t>
        </w:r>
      </w:hyperlink>
    </w:p>
    <w:p w:rsidR="005069AA" w:rsidRDefault="001F0918" w:rsidP="005069AA">
      <w:pPr>
        <w:pStyle w:val="normal"/>
        <w:widowControl w:val="0"/>
        <w:tabs>
          <w:tab w:val="right" w:pos="12000"/>
        </w:tabs>
        <w:spacing w:before="60" w:after="0" w:line="240" w:lineRule="auto"/>
        <w:ind w:left="360"/>
        <w:jc w:val="left"/>
        <w:rPr>
          <w:rFonts w:ascii="Athiti" w:eastAsia="Athiti" w:hAnsi="Athiti" w:cs="Athiti"/>
          <w:color w:val="000000"/>
          <w:sz w:val="22"/>
          <w:szCs w:val="22"/>
        </w:rPr>
      </w:pPr>
      <w:hyperlink w:anchor="_heading=h.9qthqr7dzn6p">
        <w:r w:rsidR="005069AA">
          <w:rPr>
            <w:rFonts w:ascii="Athiti" w:eastAsia="Athiti" w:hAnsi="Athiti" w:cs="Athiti"/>
            <w:color w:val="000000"/>
          </w:rPr>
          <w:t>2.3 Přezkum politiky</w:t>
        </w:r>
        <w:r w:rsidR="005069AA">
          <w:rPr>
            <w:rFonts w:ascii="Athiti" w:eastAsia="Athiti" w:hAnsi="Athiti" w:cs="Athiti"/>
            <w:color w:val="000000"/>
          </w:rPr>
          <w:tab/>
          <w:t>7</w:t>
        </w:r>
      </w:hyperlink>
    </w:p>
    <w:p w:rsidR="005069AA" w:rsidRDefault="001F0918" w:rsidP="005069AA">
      <w:pPr>
        <w:pStyle w:val="normal"/>
        <w:widowControl w:val="0"/>
        <w:tabs>
          <w:tab w:val="right" w:pos="12000"/>
        </w:tabs>
        <w:spacing w:before="60" w:after="0" w:line="240" w:lineRule="auto"/>
        <w:ind w:left="360"/>
        <w:jc w:val="left"/>
        <w:rPr>
          <w:rFonts w:ascii="Athiti" w:eastAsia="Athiti" w:hAnsi="Athiti" w:cs="Athiti"/>
          <w:color w:val="000000"/>
          <w:sz w:val="22"/>
          <w:szCs w:val="22"/>
        </w:rPr>
      </w:pPr>
      <w:hyperlink w:anchor="_heading=h.9bhrddit0xft">
        <w:r w:rsidR="005069AA">
          <w:rPr>
            <w:rFonts w:ascii="Athiti" w:eastAsia="Athiti" w:hAnsi="Athiti" w:cs="Athiti"/>
            <w:color w:val="000000"/>
          </w:rPr>
          <w:t>2.4 Komunikace politiky</w:t>
        </w:r>
        <w:r w:rsidR="005069AA">
          <w:rPr>
            <w:rFonts w:ascii="Athiti" w:eastAsia="Athiti" w:hAnsi="Athiti" w:cs="Athiti"/>
            <w:color w:val="000000"/>
          </w:rPr>
          <w:tab/>
          <w:t>8</w:t>
        </w:r>
      </w:hyperlink>
    </w:p>
    <w:p w:rsidR="005069AA" w:rsidRDefault="001F0918" w:rsidP="005069AA">
      <w:pPr>
        <w:pStyle w:val="normal"/>
        <w:widowControl w:val="0"/>
        <w:tabs>
          <w:tab w:val="right" w:pos="12000"/>
        </w:tabs>
        <w:spacing w:before="60" w:after="0" w:line="240" w:lineRule="auto"/>
        <w:jc w:val="left"/>
        <w:rPr>
          <w:rFonts w:ascii="Athiti" w:eastAsia="Athiti" w:hAnsi="Athiti" w:cs="Athiti"/>
          <w:b/>
          <w:color w:val="000000"/>
          <w:sz w:val="22"/>
          <w:szCs w:val="22"/>
        </w:rPr>
      </w:pPr>
      <w:hyperlink w:anchor="_heading=h.g7jhsfmeavys">
        <w:r w:rsidR="005069AA">
          <w:rPr>
            <w:rFonts w:ascii="Athiti" w:eastAsia="Athiti" w:hAnsi="Athiti" w:cs="Athiti"/>
            <w:b/>
            <w:color w:val="000000"/>
          </w:rPr>
          <w:t>3 Řízení informační bezpečnosti</w:t>
        </w:r>
        <w:r w:rsidR="005069AA">
          <w:rPr>
            <w:rFonts w:ascii="Athiti" w:eastAsia="Athiti" w:hAnsi="Athiti" w:cs="Athiti"/>
            <w:b/>
            <w:color w:val="000000"/>
          </w:rPr>
          <w:tab/>
          <w:t>8</w:t>
        </w:r>
      </w:hyperlink>
    </w:p>
    <w:p w:rsidR="005069AA" w:rsidRDefault="001F0918" w:rsidP="005069AA">
      <w:pPr>
        <w:pStyle w:val="normal"/>
        <w:widowControl w:val="0"/>
        <w:tabs>
          <w:tab w:val="right" w:pos="12000"/>
        </w:tabs>
        <w:spacing w:before="60" w:after="0" w:line="240" w:lineRule="auto"/>
        <w:ind w:left="360"/>
        <w:jc w:val="left"/>
        <w:rPr>
          <w:rFonts w:ascii="Athiti" w:eastAsia="Athiti" w:hAnsi="Athiti" w:cs="Athiti"/>
          <w:color w:val="000000"/>
          <w:sz w:val="22"/>
          <w:szCs w:val="22"/>
        </w:rPr>
      </w:pPr>
      <w:hyperlink w:anchor="_heading=h.dlhchye3zrwo">
        <w:r w:rsidR="005069AA">
          <w:rPr>
            <w:rFonts w:ascii="Athiti" w:eastAsia="Athiti" w:hAnsi="Athiti" w:cs="Athiti"/>
            <w:color w:val="000000"/>
          </w:rPr>
          <w:t>3.1 Zásady informační bezpečnosti</w:t>
        </w:r>
        <w:r w:rsidR="005069AA">
          <w:rPr>
            <w:rFonts w:ascii="Athiti" w:eastAsia="Athiti" w:hAnsi="Athiti" w:cs="Athiti"/>
            <w:color w:val="000000"/>
          </w:rPr>
          <w:tab/>
          <w:t>8</w:t>
        </w:r>
      </w:hyperlink>
    </w:p>
    <w:p w:rsidR="005069AA" w:rsidRDefault="001F0918" w:rsidP="005069AA">
      <w:pPr>
        <w:pStyle w:val="normal"/>
        <w:widowControl w:val="0"/>
        <w:tabs>
          <w:tab w:val="right" w:pos="12000"/>
        </w:tabs>
        <w:spacing w:before="60" w:after="0" w:line="240" w:lineRule="auto"/>
        <w:ind w:left="360"/>
        <w:jc w:val="left"/>
        <w:rPr>
          <w:rFonts w:ascii="Athiti" w:eastAsia="Athiti" w:hAnsi="Athiti" w:cs="Athiti"/>
          <w:color w:val="000000"/>
          <w:sz w:val="22"/>
          <w:szCs w:val="22"/>
        </w:rPr>
      </w:pPr>
      <w:hyperlink w:anchor="_heading=h.gsfkup2g9uu7">
        <w:r w:rsidR="005069AA">
          <w:rPr>
            <w:rFonts w:ascii="Athiti" w:eastAsia="Athiti" w:hAnsi="Athiti" w:cs="Athiti"/>
            <w:color w:val="000000"/>
          </w:rPr>
          <w:t>3.2 Odpovědnosti</w:t>
        </w:r>
        <w:r w:rsidR="005069AA">
          <w:rPr>
            <w:rFonts w:ascii="Athiti" w:eastAsia="Athiti" w:hAnsi="Athiti" w:cs="Athiti"/>
            <w:color w:val="000000"/>
          </w:rPr>
          <w:tab/>
          <w:t>9</w:t>
        </w:r>
      </w:hyperlink>
    </w:p>
    <w:p w:rsidR="005069AA" w:rsidRDefault="001F0918" w:rsidP="005069AA">
      <w:pPr>
        <w:pStyle w:val="normal"/>
        <w:widowControl w:val="0"/>
        <w:tabs>
          <w:tab w:val="right" w:pos="12000"/>
        </w:tabs>
        <w:spacing w:before="60" w:after="0" w:line="240" w:lineRule="auto"/>
        <w:ind w:left="360"/>
        <w:jc w:val="left"/>
        <w:rPr>
          <w:rFonts w:ascii="Athiti" w:eastAsia="Athiti" w:hAnsi="Athiti" w:cs="Athiti"/>
          <w:color w:val="000000"/>
          <w:sz w:val="22"/>
          <w:szCs w:val="22"/>
        </w:rPr>
      </w:pPr>
      <w:hyperlink w:anchor="_heading=h.ckfli4ibkg0v">
        <w:r w:rsidR="005069AA">
          <w:rPr>
            <w:rFonts w:ascii="Athiti" w:eastAsia="Athiti" w:hAnsi="Athiti" w:cs="Athiti"/>
            <w:color w:val="000000"/>
          </w:rPr>
          <w:t>3.3 Požadavky na informační bezpečnost</w:t>
        </w:r>
        <w:r w:rsidR="005069AA">
          <w:rPr>
            <w:rFonts w:ascii="Athiti" w:eastAsia="Athiti" w:hAnsi="Athiti" w:cs="Athiti"/>
            <w:color w:val="000000"/>
          </w:rPr>
          <w:tab/>
          <w:t>10</w:t>
        </w:r>
      </w:hyperlink>
    </w:p>
    <w:p w:rsidR="005069AA" w:rsidRDefault="001F0918" w:rsidP="005069AA">
      <w:pPr>
        <w:pStyle w:val="normal"/>
        <w:widowControl w:val="0"/>
        <w:tabs>
          <w:tab w:val="right" w:pos="12000"/>
        </w:tabs>
        <w:spacing w:before="60" w:after="0" w:line="240" w:lineRule="auto"/>
        <w:ind w:left="360"/>
        <w:jc w:val="left"/>
        <w:rPr>
          <w:rFonts w:ascii="Athiti" w:eastAsia="Athiti" w:hAnsi="Athiti" w:cs="Athiti"/>
          <w:color w:val="000000"/>
          <w:sz w:val="22"/>
          <w:szCs w:val="22"/>
        </w:rPr>
      </w:pPr>
      <w:hyperlink w:anchor="_heading=h.a3fqxgrp4wxr">
        <w:r w:rsidR="005069AA">
          <w:rPr>
            <w:rFonts w:ascii="Athiti" w:eastAsia="Athiti" w:hAnsi="Athiti" w:cs="Athiti"/>
            <w:color w:val="000000"/>
          </w:rPr>
          <w:t>3.4 Opatření informační bezpečnosti</w:t>
        </w:r>
        <w:r w:rsidR="005069AA">
          <w:rPr>
            <w:rFonts w:ascii="Athiti" w:eastAsia="Athiti" w:hAnsi="Athiti" w:cs="Athiti"/>
            <w:color w:val="000000"/>
          </w:rPr>
          <w:tab/>
          <w:t>11</w:t>
        </w:r>
      </w:hyperlink>
    </w:p>
    <w:p w:rsidR="005069AA" w:rsidRDefault="001F0918" w:rsidP="005069AA">
      <w:pPr>
        <w:pStyle w:val="normal"/>
        <w:widowControl w:val="0"/>
        <w:tabs>
          <w:tab w:val="right" w:pos="12000"/>
        </w:tabs>
        <w:spacing w:before="60" w:after="0" w:line="240" w:lineRule="auto"/>
        <w:ind w:left="360"/>
        <w:jc w:val="left"/>
        <w:rPr>
          <w:rFonts w:ascii="Athiti" w:eastAsia="Athiti" w:hAnsi="Athiti" w:cs="Athiti"/>
          <w:color w:val="000000"/>
          <w:sz w:val="22"/>
          <w:szCs w:val="22"/>
        </w:rPr>
      </w:pPr>
      <w:hyperlink w:anchor="_heading=h.41slq4eioce2">
        <w:r w:rsidR="005069AA">
          <w:rPr>
            <w:rFonts w:ascii="Athiti" w:eastAsia="Athiti" w:hAnsi="Athiti" w:cs="Athiti"/>
            <w:color w:val="000000"/>
          </w:rPr>
          <w:t>3.5 Měření a neustálé zlepšování</w:t>
        </w:r>
        <w:r w:rsidR="005069AA">
          <w:rPr>
            <w:rFonts w:ascii="Athiti" w:eastAsia="Athiti" w:hAnsi="Athiti" w:cs="Athiti"/>
            <w:color w:val="000000"/>
          </w:rPr>
          <w:tab/>
          <w:t>12</w:t>
        </w:r>
      </w:hyperlink>
    </w:p>
    <w:p w:rsidR="005069AA" w:rsidRDefault="001F0918" w:rsidP="005069AA">
      <w:pPr>
        <w:pStyle w:val="normal"/>
        <w:widowControl w:val="0"/>
        <w:tabs>
          <w:tab w:val="right" w:pos="12000"/>
        </w:tabs>
        <w:spacing w:before="60" w:after="0" w:line="240" w:lineRule="auto"/>
        <w:ind w:left="360"/>
        <w:jc w:val="left"/>
        <w:rPr>
          <w:rFonts w:ascii="Athiti" w:eastAsia="Athiti" w:hAnsi="Athiti" w:cs="Athiti"/>
          <w:color w:val="000000"/>
          <w:sz w:val="22"/>
          <w:szCs w:val="22"/>
        </w:rPr>
      </w:pPr>
      <w:hyperlink w:anchor="_heading=h.8pwzmbicyl07">
        <w:r w:rsidR="005069AA">
          <w:rPr>
            <w:rFonts w:ascii="Athiti" w:eastAsia="Athiti" w:hAnsi="Athiti" w:cs="Athiti"/>
            <w:color w:val="000000"/>
            <w:sz w:val="22"/>
            <w:szCs w:val="22"/>
          </w:rPr>
          <w:t>3.6 Závazek vrcholového vedení k informační bezpečnosti</w:t>
        </w:r>
        <w:r w:rsidR="005069AA">
          <w:rPr>
            <w:rFonts w:ascii="Athiti" w:eastAsia="Athiti" w:hAnsi="Athiti" w:cs="Athiti"/>
            <w:color w:val="000000"/>
            <w:sz w:val="22"/>
            <w:szCs w:val="22"/>
          </w:rPr>
          <w:tab/>
          <w:t>13</w:t>
        </w:r>
      </w:hyperlink>
    </w:p>
    <w:p w:rsidR="005069AA" w:rsidRDefault="001F0918" w:rsidP="005069AA">
      <w:pPr>
        <w:pStyle w:val="normal"/>
        <w:widowControl w:val="0"/>
        <w:tabs>
          <w:tab w:val="right" w:pos="12000"/>
        </w:tabs>
        <w:spacing w:before="60" w:after="0" w:line="240" w:lineRule="auto"/>
        <w:jc w:val="left"/>
        <w:rPr>
          <w:rFonts w:ascii="Athiti" w:eastAsia="Athiti" w:hAnsi="Athiti" w:cs="Athiti"/>
          <w:b/>
          <w:color w:val="000000"/>
          <w:sz w:val="22"/>
          <w:szCs w:val="22"/>
        </w:rPr>
      </w:pPr>
      <w:hyperlink w:anchor="_heading=h.cvhb9fcrnwyz">
        <w:r w:rsidR="005069AA">
          <w:rPr>
            <w:rFonts w:ascii="Athiti" w:eastAsia="Athiti" w:hAnsi="Athiti" w:cs="Athiti"/>
            <w:b/>
            <w:color w:val="000000"/>
          </w:rPr>
          <w:t>4 Oblasti politiky informační bezpečnosti</w:t>
        </w:r>
        <w:r w:rsidR="005069AA">
          <w:rPr>
            <w:rFonts w:ascii="Athiti" w:eastAsia="Athiti" w:hAnsi="Athiti" w:cs="Athiti"/>
            <w:b/>
            <w:color w:val="000000"/>
          </w:rPr>
          <w:tab/>
          <w:t>13</w:t>
        </w:r>
      </w:hyperlink>
    </w:p>
    <w:p w:rsidR="005069AA" w:rsidRDefault="001F0918" w:rsidP="005069AA">
      <w:pPr>
        <w:pStyle w:val="normal"/>
        <w:widowControl w:val="0"/>
        <w:tabs>
          <w:tab w:val="right" w:pos="12000"/>
        </w:tabs>
        <w:spacing w:before="60" w:after="0" w:line="240" w:lineRule="auto"/>
        <w:jc w:val="left"/>
        <w:rPr>
          <w:rFonts w:ascii="Athiti" w:eastAsia="Athiti" w:hAnsi="Athiti" w:cs="Athiti"/>
          <w:b/>
          <w:color w:val="000000"/>
          <w:sz w:val="22"/>
          <w:szCs w:val="22"/>
        </w:rPr>
      </w:pPr>
      <w:hyperlink w:anchor="_heading=h.4bse7ypkdjs9">
        <w:r w:rsidR="005069AA">
          <w:rPr>
            <w:rFonts w:ascii="Athiti" w:eastAsia="Athiti" w:hAnsi="Athiti" w:cs="Athiti"/>
            <w:b/>
            <w:color w:val="000000"/>
            <w:sz w:val="22"/>
            <w:szCs w:val="22"/>
          </w:rPr>
          <w:t>5 Závěrečná ustanovení</w:t>
        </w:r>
        <w:r w:rsidR="005069AA">
          <w:rPr>
            <w:rFonts w:ascii="Athiti" w:eastAsia="Athiti" w:hAnsi="Athiti" w:cs="Athiti"/>
            <w:b/>
            <w:color w:val="000000"/>
            <w:sz w:val="22"/>
            <w:szCs w:val="22"/>
          </w:rPr>
          <w:tab/>
          <w:t>16</w:t>
        </w:r>
      </w:hyperlink>
    </w:p>
    <w:p w:rsidR="005069AA" w:rsidRDefault="001F0918" w:rsidP="005069AA">
      <w:pPr>
        <w:pStyle w:val="normal"/>
        <w:widowControl w:val="0"/>
        <w:tabs>
          <w:tab w:val="right" w:pos="12000"/>
        </w:tabs>
        <w:spacing w:before="60" w:after="0" w:line="240" w:lineRule="auto"/>
        <w:ind w:left="720"/>
        <w:jc w:val="left"/>
        <w:rPr>
          <w:rFonts w:ascii="Athiti" w:eastAsia="Athiti" w:hAnsi="Athiti" w:cs="Athiti"/>
          <w:color w:val="000000"/>
          <w:sz w:val="22"/>
          <w:szCs w:val="22"/>
        </w:rPr>
      </w:pPr>
      <w:hyperlink w:anchor="_heading=h.89461mo84wlc">
        <w:r w:rsidR="005069AA">
          <w:rPr>
            <w:rFonts w:ascii="Athiti" w:eastAsia="Athiti" w:hAnsi="Athiti" w:cs="Athiti"/>
            <w:color w:val="000000"/>
            <w:sz w:val="22"/>
            <w:szCs w:val="22"/>
          </w:rPr>
          <w:t>5.1 Zpřístupnění a komunikace Zásad</w:t>
        </w:r>
        <w:r w:rsidR="005069AA">
          <w:rPr>
            <w:rFonts w:ascii="Athiti" w:eastAsia="Athiti" w:hAnsi="Athiti" w:cs="Athiti"/>
            <w:color w:val="000000"/>
            <w:sz w:val="22"/>
            <w:szCs w:val="22"/>
          </w:rPr>
          <w:tab/>
          <w:t>16</w:t>
        </w:r>
      </w:hyperlink>
    </w:p>
    <w:p w:rsidR="005069AA" w:rsidRDefault="001F0918" w:rsidP="005069AA">
      <w:pPr>
        <w:pStyle w:val="normal"/>
        <w:widowControl w:val="0"/>
        <w:tabs>
          <w:tab w:val="right" w:pos="12000"/>
        </w:tabs>
        <w:spacing w:before="60" w:after="0" w:line="240" w:lineRule="auto"/>
        <w:ind w:left="720"/>
        <w:jc w:val="left"/>
        <w:rPr>
          <w:rFonts w:ascii="Athiti" w:eastAsia="Athiti" w:hAnsi="Athiti" w:cs="Athiti"/>
          <w:color w:val="000000"/>
          <w:sz w:val="22"/>
          <w:szCs w:val="22"/>
        </w:rPr>
      </w:pPr>
      <w:hyperlink w:anchor="_heading=h.xxdge1x2vcro">
        <w:r w:rsidR="005069AA">
          <w:rPr>
            <w:rFonts w:ascii="Athiti" w:eastAsia="Athiti" w:hAnsi="Athiti" w:cs="Athiti"/>
            <w:color w:val="000000"/>
            <w:sz w:val="22"/>
            <w:szCs w:val="22"/>
          </w:rPr>
          <w:t>5.2 Školení zaměstnanců a pracovníků</w:t>
        </w:r>
        <w:r w:rsidR="005069AA">
          <w:rPr>
            <w:rFonts w:ascii="Athiti" w:eastAsia="Athiti" w:hAnsi="Athiti" w:cs="Athiti"/>
            <w:color w:val="000000"/>
            <w:sz w:val="22"/>
            <w:szCs w:val="22"/>
          </w:rPr>
          <w:tab/>
          <w:t>16</w:t>
        </w:r>
      </w:hyperlink>
    </w:p>
    <w:p w:rsidR="005069AA" w:rsidRDefault="001F0918" w:rsidP="005069AA">
      <w:pPr>
        <w:pStyle w:val="normal"/>
        <w:widowControl w:val="0"/>
        <w:tabs>
          <w:tab w:val="right" w:pos="12000"/>
        </w:tabs>
        <w:spacing w:before="60" w:after="0" w:line="240" w:lineRule="auto"/>
        <w:ind w:left="720"/>
        <w:jc w:val="left"/>
      </w:pPr>
      <w:hyperlink w:anchor="_heading=h.pcat43g54mif">
        <w:r w:rsidR="005069AA">
          <w:rPr>
            <w:rFonts w:ascii="Athiti" w:eastAsia="Athiti" w:hAnsi="Athiti" w:cs="Athiti"/>
            <w:color w:val="000000"/>
            <w:sz w:val="22"/>
            <w:szCs w:val="22"/>
          </w:rPr>
          <w:t>5.3 Revize a aktualizace Zásad</w:t>
        </w:r>
      </w:hyperlink>
    </w:p>
    <w:p w:rsidR="005069AA" w:rsidRDefault="001F0918" w:rsidP="005069AA">
      <w:pPr>
        <w:pStyle w:val="normal"/>
        <w:widowControl w:val="0"/>
        <w:tabs>
          <w:tab w:val="right" w:pos="12000"/>
        </w:tabs>
        <w:spacing w:before="60" w:after="0" w:line="240" w:lineRule="auto"/>
        <w:ind w:left="720"/>
        <w:jc w:val="left"/>
        <w:rPr>
          <w:rFonts w:ascii="Athiti" w:eastAsia="Athiti" w:hAnsi="Athiti" w:cs="Athiti"/>
          <w:b/>
          <w:sz w:val="36"/>
          <w:szCs w:val="36"/>
        </w:rPr>
      </w:pPr>
      <w:hyperlink w:anchor="_heading=h.snolfgfx5csp">
        <w:r w:rsidR="005069AA">
          <w:rPr>
            <w:rFonts w:ascii="Athiti" w:eastAsia="Athiti" w:hAnsi="Athiti" w:cs="Athiti"/>
            <w:color w:val="000000"/>
            <w:sz w:val="22"/>
            <w:szCs w:val="22"/>
          </w:rPr>
          <w:t>5.4 Účinnost</w:t>
        </w:r>
        <w:r w:rsidR="005069AA">
          <w:rPr>
            <w:rFonts w:ascii="Athiti" w:eastAsia="Athiti" w:hAnsi="Athiti" w:cs="Athiti"/>
            <w:color w:val="000000"/>
            <w:sz w:val="22"/>
            <w:szCs w:val="22"/>
          </w:rPr>
          <w:tab/>
          <w:t>17</w:t>
        </w:r>
      </w:hyperlink>
    </w:p>
    <w:p w:rsidR="00191C31" w:rsidRPr="005069AA" w:rsidRDefault="00191C31" w:rsidP="00191C31">
      <w:pPr>
        <w:pStyle w:val="normal"/>
        <w:widowControl w:val="0"/>
        <w:tabs>
          <w:tab w:val="right" w:pos="12000"/>
        </w:tabs>
        <w:spacing w:before="60" w:after="0" w:line="240" w:lineRule="auto"/>
        <w:ind w:left="720"/>
        <w:jc w:val="left"/>
        <w:rPr>
          <w:rFonts w:ascii="Athiti" w:eastAsia="Athiti" w:hAnsi="Athiti" w:cs="Athiti"/>
          <w:color w:val="000000"/>
          <w:sz w:val="22"/>
          <w:szCs w:val="22"/>
          <w:lang w:val="cs-CZ"/>
        </w:rPr>
      </w:pPr>
    </w:p>
    <w:p w:rsidR="00191C31" w:rsidRDefault="00191C31" w:rsidP="00191C31">
      <w:pPr>
        <w:pStyle w:val="normal"/>
        <w:rPr>
          <w:rFonts w:ascii="Athiti" w:eastAsia="Athiti" w:hAnsi="Athiti" w:cs="Athiti"/>
          <w:color w:val="44546A"/>
          <w:sz w:val="32"/>
          <w:szCs w:val="32"/>
        </w:rPr>
      </w:pPr>
      <w:r>
        <w:br w:type="page"/>
      </w:r>
    </w:p>
    <w:p w:rsidR="00191C31" w:rsidRDefault="00191C31" w:rsidP="00191C31">
      <w:pPr>
        <w:pStyle w:val="Nadpis1"/>
        <w:keepNext w:val="0"/>
        <w:keepLines w:val="0"/>
        <w:widowControl w:val="0"/>
        <w:spacing w:before="0" w:after="0" w:line="240" w:lineRule="auto"/>
        <w:ind w:left="392" w:hanging="293"/>
        <w:rPr>
          <w:rFonts w:ascii="Athiti" w:eastAsia="Athiti" w:hAnsi="Athiti" w:cs="Athiti"/>
          <w:sz w:val="22"/>
          <w:szCs w:val="22"/>
        </w:rPr>
      </w:pPr>
      <w:bookmarkStart w:id="1" w:name="_heading=h.430yczttwmfa" w:colFirst="0" w:colLast="0"/>
      <w:bookmarkEnd w:id="1"/>
      <w:r>
        <w:rPr>
          <w:rFonts w:ascii="Athiti" w:eastAsia="Athiti" w:hAnsi="Athiti" w:cs="Athiti"/>
          <w:sz w:val="28"/>
          <w:szCs w:val="28"/>
        </w:rPr>
        <w:lastRenderedPageBreak/>
        <w:t>Pojmy a definice</w:t>
      </w:r>
    </w:p>
    <w:tbl>
      <w:tblPr>
        <w:tblW w:w="9435" w:type="dxa"/>
        <w:tblBorders>
          <w:top w:val="single" w:sz="4" w:space="0" w:color="FF9900"/>
          <w:left w:val="single" w:sz="4" w:space="0" w:color="FF9900"/>
          <w:bottom w:val="single" w:sz="4" w:space="0" w:color="FF9900"/>
          <w:right w:val="single" w:sz="4" w:space="0" w:color="FF9900"/>
          <w:insideH w:val="single" w:sz="4" w:space="0" w:color="FF9900"/>
          <w:insideV w:val="single" w:sz="4" w:space="0" w:color="FF9900"/>
        </w:tblBorders>
        <w:tblLayout w:type="fixed"/>
        <w:tblLook w:val="0600"/>
      </w:tblPr>
      <w:tblGrid>
        <w:gridCol w:w="2115"/>
        <w:gridCol w:w="7320"/>
      </w:tblGrid>
      <w:tr w:rsidR="00191C31" w:rsidTr="00B97B7A">
        <w:trPr>
          <w:cantSplit/>
          <w:trHeight w:val="474"/>
          <w:tblHeader/>
        </w:trPr>
        <w:tc>
          <w:tcPr>
            <w:tcW w:w="211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jc w:val="center"/>
              <w:rPr>
                <w:rFonts w:ascii="Athiti" w:eastAsia="Athiti" w:hAnsi="Athiti" w:cs="Athiti"/>
                <w:sz w:val="22"/>
                <w:szCs w:val="22"/>
              </w:rPr>
            </w:pPr>
            <w:r>
              <w:rPr>
                <w:rFonts w:ascii="Athiti" w:eastAsia="Athiti" w:hAnsi="Athiti" w:cs="Athiti"/>
                <w:b/>
                <w:sz w:val="22"/>
                <w:szCs w:val="22"/>
              </w:rPr>
              <w:t>Pojem</w:t>
            </w:r>
          </w:p>
        </w:tc>
        <w:tc>
          <w:tcPr>
            <w:tcW w:w="732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jc w:val="center"/>
              <w:rPr>
                <w:rFonts w:ascii="Athiti" w:eastAsia="Athiti" w:hAnsi="Athiti" w:cs="Athiti"/>
                <w:sz w:val="22"/>
                <w:szCs w:val="22"/>
              </w:rPr>
            </w:pPr>
            <w:r>
              <w:rPr>
                <w:rFonts w:ascii="Athiti" w:eastAsia="Athiti" w:hAnsi="Athiti" w:cs="Athiti"/>
                <w:b/>
                <w:sz w:val="22"/>
                <w:szCs w:val="22"/>
              </w:rPr>
              <w:t>Definice</w:t>
            </w:r>
          </w:p>
        </w:tc>
      </w:tr>
      <w:tr w:rsidR="00191C31" w:rsidTr="00B97B7A">
        <w:trPr>
          <w:cantSplit/>
          <w:trHeight w:val="785"/>
          <w:tblHeader/>
        </w:trPr>
        <w:tc>
          <w:tcPr>
            <w:tcW w:w="211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sz w:val="22"/>
                <w:szCs w:val="22"/>
              </w:rPr>
            </w:pPr>
            <w:r>
              <w:rPr>
                <w:rFonts w:ascii="Athiti" w:eastAsia="Athiti" w:hAnsi="Athiti" w:cs="Athiti"/>
                <w:b/>
                <w:sz w:val="22"/>
                <w:szCs w:val="22"/>
              </w:rPr>
              <w:t>ČNB</w:t>
            </w:r>
          </w:p>
        </w:tc>
        <w:tc>
          <w:tcPr>
            <w:tcW w:w="732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sz w:val="22"/>
                <w:szCs w:val="22"/>
              </w:rPr>
            </w:pPr>
            <w:r>
              <w:rPr>
                <w:rFonts w:ascii="Athiti" w:eastAsia="Athiti" w:hAnsi="Athiti" w:cs="Athiti"/>
                <w:sz w:val="22"/>
                <w:szCs w:val="22"/>
              </w:rPr>
              <w:t>Česká národní banka – ústřední banka ČR, dohled nad finančním trhem, příslušný orgán pro CASP dle MiCA.</w:t>
            </w:r>
          </w:p>
        </w:tc>
      </w:tr>
      <w:tr w:rsidR="00191C31" w:rsidTr="00B97B7A">
        <w:trPr>
          <w:cantSplit/>
          <w:trHeight w:val="785"/>
          <w:tblHeader/>
        </w:trPr>
        <w:tc>
          <w:tcPr>
            <w:tcW w:w="211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sz w:val="22"/>
                <w:szCs w:val="22"/>
              </w:rPr>
            </w:pPr>
            <w:r>
              <w:rPr>
                <w:rFonts w:ascii="Athiti" w:eastAsia="Athiti" w:hAnsi="Athiti" w:cs="Athiti"/>
                <w:b/>
                <w:sz w:val="22"/>
                <w:szCs w:val="22"/>
              </w:rPr>
              <w:t>EBA</w:t>
            </w:r>
          </w:p>
        </w:tc>
        <w:tc>
          <w:tcPr>
            <w:tcW w:w="732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sz w:val="22"/>
                <w:szCs w:val="22"/>
              </w:rPr>
            </w:pPr>
            <w:r>
              <w:rPr>
                <w:rFonts w:ascii="Athiti" w:eastAsia="Athiti" w:hAnsi="Athiti" w:cs="Athiti"/>
                <w:sz w:val="22"/>
                <w:szCs w:val="22"/>
              </w:rPr>
              <w:t>Evropský orgán pro bankovnictví – dohled nad bankovnictvím v EU, tvorba standardů a doporučení.</w:t>
            </w:r>
          </w:p>
        </w:tc>
      </w:tr>
      <w:tr w:rsidR="00191C31" w:rsidTr="00B97B7A">
        <w:trPr>
          <w:cantSplit/>
          <w:trHeight w:val="785"/>
          <w:tblHeader/>
        </w:trPr>
        <w:tc>
          <w:tcPr>
            <w:tcW w:w="211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sz w:val="22"/>
                <w:szCs w:val="22"/>
              </w:rPr>
            </w:pPr>
            <w:r>
              <w:rPr>
                <w:rFonts w:ascii="Athiti" w:eastAsia="Athiti" w:hAnsi="Athiti" w:cs="Athiti"/>
                <w:b/>
                <w:sz w:val="22"/>
                <w:szCs w:val="22"/>
              </w:rPr>
              <w:t>ESMA</w:t>
            </w:r>
          </w:p>
        </w:tc>
        <w:tc>
          <w:tcPr>
            <w:tcW w:w="732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sz w:val="22"/>
                <w:szCs w:val="22"/>
              </w:rPr>
            </w:pPr>
            <w:r>
              <w:rPr>
                <w:rFonts w:ascii="Athiti" w:eastAsia="Athiti" w:hAnsi="Athiti" w:cs="Athiti"/>
                <w:sz w:val="22"/>
                <w:szCs w:val="22"/>
              </w:rPr>
              <w:t>Evropský orgán pro cenné papíry a trhy – dohled nad trhy, tvorba RTS a pokynů, sídlo v Paříži.</w:t>
            </w:r>
          </w:p>
        </w:tc>
      </w:tr>
      <w:tr w:rsidR="00191C31" w:rsidTr="00B97B7A">
        <w:trPr>
          <w:cantSplit/>
          <w:trHeight w:val="785"/>
          <w:tblHeader/>
        </w:trPr>
        <w:tc>
          <w:tcPr>
            <w:tcW w:w="211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sz w:val="22"/>
                <w:szCs w:val="22"/>
              </w:rPr>
            </w:pPr>
            <w:r>
              <w:rPr>
                <w:rFonts w:ascii="Athiti" w:eastAsia="Athiti" w:hAnsi="Athiti" w:cs="Athiti"/>
                <w:b/>
                <w:sz w:val="22"/>
                <w:szCs w:val="22"/>
              </w:rPr>
              <w:t>MiCA</w:t>
            </w:r>
          </w:p>
        </w:tc>
        <w:tc>
          <w:tcPr>
            <w:tcW w:w="732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sz w:val="22"/>
                <w:szCs w:val="22"/>
              </w:rPr>
            </w:pPr>
            <w:r>
              <w:rPr>
                <w:rFonts w:ascii="Athiti" w:eastAsia="Athiti" w:hAnsi="Athiti" w:cs="Athiti"/>
                <w:sz w:val="22"/>
                <w:szCs w:val="22"/>
              </w:rPr>
              <w:t>Nařízení (EU) 2023/1114 o trzích kryptoaktiv – pravidla pro vydávání, nabízení a obchodování s kryptoaktivy v EU.</w:t>
            </w:r>
          </w:p>
        </w:tc>
      </w:tr>
      <w:tr w:rsidR="00191C31" w:rsidTr="00B97B7A">
        <w:trPr>
          <w:cantSplit/>
          <w:trHeight w:val="785"/>
          <w:tblHeader/>
        </w:trPr>
        <w:tc>
          <w:tcPr>
            <w:tcW w:w="211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sz w:val="22"/>
                <w:szCs w:val="22"/>
              </w:rPr>
            </w:pPr>
            <w:r>
              <w:rPr>
                <w:rFonts w:ascii="Athiti" w:eastAsia="Athiti" w:hAnsi="Athiti" w:cs="Athiti"/>
                <w:b/>
                <w:sz w:val="22"/>
                <w:szCs w:val="22"/>
              </w:rPr>
              <w:t>RTS</w:t>
            </w:r>
          </w:p>
        </w:tc>
        <w:tc>
          <w:tcPr>
            <w:tcW w:w="732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sz w:val="22"/>
                <w:szCs w:val="22"/>
              </w:rPr>
            </w:pPr>
            <w:r>
              <w:rPr>
                <w:rFonts w:ascii="Athiti" w:eastAsia="Athiti" w:hAnsi="Athiti" w:cs="Athiti"/>
                <w:sz w:val="22"/>
                <w:szCs w:val="22"/>
              </w:rPr>
              <w:t>Regulační technické normy – závazné technické předpisy vydávané ESMA k upřesnění požadavků MiCA.</w:t>
            </w:r>
          </w:p>
        </w:tc>
      </w:tr>
      <w:tr w:rsidR="00191C31" w:rsidTr="00B97B7A">
        <w:trPr>
          <w:cantSplit/>
          <w:trHeight w:val="785"/>
          <w:tblHeader/>
        </w:trPr>
        <w:tc>
          <w:tcPr>
            <w:tcW w:w="211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sz w:val="22"/>
                <w:szCs w:val="22"/>
              </w:rPr>
            </w:pPr>
            <w:r>
              <w:rPr>
                <w:rFonts w:ascii="Athiti" w:eastAsia="Athiti" w:hAnsi="Athiti" w:cs="Athiti"/>
                <w:b/>
                <w:sz w:val="22"/>
                <w:szCs w:val="22"/>
              </w:rPr>
              <w:t>GDPR</w:t>
            </w:r>
          </w:p>
        </w:tc>
        <w:tc>
          <w:tcPr>
            <w:tcW w:w="732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sz w:val="22"/>
                <w:szCs w:val="22"/>
              </w:rPr>
            </w:pPr>
            <w:r>
              <w:rPr>
                <w:rFonts w:ascii="Athiti" w:eastAsia="Athiti" w:hAnsi="Athiti" w:cs="Athiti"/>
                <w:sz w:val="22"/>
                <w:szCs w:val="22"/>
              </w:rPr>
              <w:t>Nařízení (EU) 2016/679 o ochraně osobních údajů – stanovuje pravidla pro zpracování a ochranu osobních údajů fyzických osob.</w:t>
            </w:r>
          </w:p>
        </w:tc>
      </w:tr>
      <w:tr w:rsidR="00191C31" w:rsidTr="00B97B7A">
        <w:trPr>
          <w:cantSplit/>
          <w:trHeight w:val="984"/>
          <w:tblHeader/>
        </w:trPr>
        <w:tc>
          <w:tcPr>
            <w:tcW w:w="211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sz w:val="22"/>
                <w:szCs w:val="22"/>
              </w:rPr>
            </w:pPr>
            <w:r>
              <w:rPr>
                <w:rFonts w:ascii="Athiti" w:eastAsia="Athiti" w:hAnsi="Athiti" w:cs="Athiti"/>
                <w:b/>
                <w:sz w:val="22"/>
                <w:szCs w:val="22"/>
              </w:rPr>
              <w:t>DORA</w:t>
            </w:r>
          </w:p>
        </w:tc>
        <w:tc>
          <w:tcPr>
            <w:tcW w:w="732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sz w:val="22"/>
                <w:szCs w:val="22"/>
              </w:rPr>
            </w:pPr>
            <w:r>
              <w:rPr>
                <w:rFonts w:ascii="Athiti" w:eastAsia="Athiti" w:hAnsi="Athiti" w:cs="Athiti"/>
                <w:sz w:val="22"/>
                <w:szCs w:val="22"/>
              </w:rPr>
              <w:t>Nařízení (EU) 2022/2554 o digitální provozní odolnosti finančního sektoru – pravidla pro odolnost vůči kybernetickým a IT rizikům.</w:t>
            </w:r>
          </w:p>
        </w:tc>
      </w:tr>
      <w:tr w:rsidR="00191C31" w:rsidTr="00B97B7A">
        <w:trPr>
          <w:cantSplit/>
          <w:trHeight w:val="1080"/>
          <w:tblHeader/>
        </w:trPr>
        <w:tc>
          <w:tcPr>
            <w:tcW w:w="211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sz w:val="22"/>
                <w:szCs w:val="22"/>
              </w:rPr>
            </w:pPr>
            <w:r>
              <w:rPr>
                <w:rFonts w:ascii="Athiti" w:eastAsia="Athiti" w:hAnsi="Athiti" w:cs="Athiti"/>
                <w:b/>
                <w:sz w:val="22"/>
                <w:szCs w:val="22"/>
              </w:rPr>
              <w:t>Společnost</w:t>
            </w:r>
          </w:p>
        </w:tc>
        <w:tc>
          <w:tcPr>
            <w:tcW w:w="732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spacing w:after="0"/>
              <w:rPr>
                <w:rFonts w:ascii="Athiti" w:eastAsia="Athiti" w:hAnsi="Athiti" w:cs="Athiti"/>
                <w:sz w:val="18"/>
                <w:szCs w:val="18"/>
              </w:rPr>
            </w:pPr>
          </w:p>
        </w:tc>
      </w:tr>
      <w:tr w:rsidR="00191C31" w:rsidTr="00B97B7A">
        <w:trPr>
          <w:cantSplit/>
          <w:trHeight w:val="579"/>
          <w:tblHeader/>
        </w:trPr>
        <w:tc>
          <w:tcPr>
            <w:tcW w:w="211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sz w:val="22"/>
                <w:szCs w:val="22"/>
              </w:rPr>
            </w:pPr>
            <w:r>
              <w:rPr>
                <w:rFonts w:ascii="Athiti" w:eastAsia="Athiti" w:hAnsi="Athiti" w:cs="Athiti"/>
                <w:b/>
                <w:sz w:val="22"/>
                <w:szCs w:val="22"/>
              </w:rPr>
              <w:t>Zásady / Předpis</w:t>
            </w:r>
          </w:p>
        </w:tc>
        <w:tc>
          <w:tcPr>
            <w:tcW w:w="732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sz w:val="22"/>
                <w:szCs w:val="22"/>
              </w:rPr>
            </w:pPr>
            <w:r>
              <w:rPr>
                <w:rFonts w:ascii="Athiti" w:eastAsia="Athiti" w:hAnsi="Athiti" w:cs="Athiti"/>
                <w:sz w:val="22"/>
                <w:szCs w:val="22"/>
              </w:rPr>
              <w:t>Tento interní předpis a jakékoliv přílohy, dodatky a změny k němu.</w:t>
            </w:r>
          </w:p>
        </w:tc>
      </w:tr>
      <w:tr w:rsidR="00191C31" w:rsidTr="00B97B7A">
        <w:trPr>
          <w:cantSplit/>
          <w:trHeight w:val="785"/>
          <w:tblHeader/>
        </w:trPr>
        <w:tc>
          <w:tcPr>
            <w:tcW w:w="211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sz w:val="22"/>
                <w:szCs w:val="22"/>
              </w:rPr>
            </w:pPr>
            <w:r>
              <w:rPr>
                <w:rFonts w:ascii="Athiti" w:eastAsia="Athiti" w:hAnsi="Athiti" w:cs="Athiti"/>
                <w:b/>
                <w:sz w:val="22"/>
                <w:szCs w:val="22"/>
              </w:rPr>
              <w:t>Kryptoaktiva</w:t>
            </w:r>
          </w:p>
        </w:tc>
        <w:tc>
          <w:tcPr>
            <w:tcW w:w="732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sz w:val="22"/>
                <w:szCs w:val="22"/>
              </w:rPr>
            </w:pPr>
            <w:r>
              <w:rPr>
                <w:rFonts w:ascii="Athiti" w:eastAsia="Athiti" w:hAnsi="Athiti" w:cs="Athiti"/>
                <w:sz w:val="22"/>
                <w:szCs w:val="22"/>
              </w:rPr>
              <w:t>Digitální reprezentace hodnoty nebo práv, přenositelná a uchovávatelná elektronicky, např. BTC, ETH, stablecoiny.</w:t>
            </w:r>
          </w:p>
        </w:tc>
      </w:tr>
      <w:tr w:rsidR="00191C31" w:rsidTr="00B97B7A">
        <w:trPr>
          <w:cantSplit/>
          <w:trHeight w:val="785"/>
          <w:tblHeader/>
        </w:trPr>
        <w:tc>
          <w:tcPr>
            <w:tcW w:w="211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sz w:val="22"/>
                <w:szCs w:val="22"/>
              </w:rPr>
            </w:pPr>
            <w:r>
              <w:rPr>
                <w:rFonts w:ascii="Athiti" w:eastAsia="Athiti" w:hAnsi="Athiti" w:cs="Athiti"/>
                <w:b/>
                <w:sz w:val="22"/>
                <w:szCs w:val="22"/>
              </w:rPr>
              <w:t>CASP</w:t>
            </w:r>
          </w:p>
        </w:tc>
        <w:tc>
          <w:tcPr>
            <w:tcW w:w="732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sz w:val="22"/>
                <w:szCs w:val="22"/>
              </w:rPr>
            </w:pPr>
            <w:r>
              <w:rPr>
                <w:rFonts w:ascii="Athiti" w:eastAsia="Athiti" w:hAnsi="Athiti" w:cs="Athiti"/>
                <w:sz w:val="22"/>
                <w:szCs w:val="22"/>
              </w:rPr>
              <w:t>Poskytovatel služeb souvisejících s kryptoaktivy (Crypto-Asset Service Provider) – právnická osoba s povolením podle MiCA.</w:t>
            </w:r>
          </w:p>
        </w:tc>
      </w:tr>
    </w:tbl>
    <w:p w:rsidR="00191C31" w:rsidRDefault="00191C31" w:rsidP="00191C31">
      <w:pPr>
        <w:pStyle w:val="normal"/>
        <w:rPr>
          <w:rFonts w:ascii="Athiti" w:eastAsia="Athiti" w:hAnsi="Athiti" w:cs="Athiti"/>
        </w:rPr>
      </w:pPr>
    </w:p>
    <w:p w:rsidR="00823544" w:rsidRDefault="00823544" w:rsidP="00191C31">
      <w:pPr>
        <w:pStyle w:val="normal"/>
        <w:rPr>
          <w:rFonts w:ascii="Athiti" w:eastAsia="Athiti" w:hAnsi="Athiti" w:cs="Athiti"/>
        </w:rPr>
      </w:pPr>
    </w:p>
    <w:p w:rsidR="00823544" w:rsidRDefault="00823544" w:rsidP="00191C31">
      <w:pPr>
        <w:pStyle w:val="normal"/>
        <w:rPr>
          <w:rFonts w:ascii="Athiti" w:eastAsia="Athiti" w:hAnsi="Athiti" w:cs="Athiti"/>
        </w:rPr>
      </w:pPr>
    </w:p>
    <w:tbl>
      <w:tblPr>
        <w:tblW w:w="9445" w:type="dxa"/>
        <w:tblBorders>
          <w:top w:val="single" w:sz="4" w:space="0" w:color="FF9900"/>
          <w:left w:val="single" w:sz="4" w:space="0" w:color="FF9900"/>
          <w:bottom w:val="single" w:sz="4" w:space="0" w:color="FF9900"/>
          <w:right w:val="single" w:sz="4" w:space="0" w:color="FF9900"/>
          <w:insideH w:val="single" w:sz="4" w:space="0" w:color="FF9900"/>
          <w:insideV w:val="single" w:sz="4" w:space="0" w:color="FF9900"/>
        </w:tblBorders>
        <w:tblLayout w:type="fixed"/>
        <w:tblLook w:val="0600"/>
      </w:tblPr>
      <w:tblGrid>
        <w:gridCol w:w="2060"/>
        <w:gridCol w:w="7385"/>
      </w:tblGrid>
      <w:tr w:rsidR="00191C31" w:rsidTr="00B97B7A">
        <w:trPr>
          <w:cantSplit/>
          <w:trHeight w:val="515"/>
          <w:tblHeader/>
        </w:trPr>
        <w:tc>
          <w:tcPr>
            <w:tcW w:w="206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jc w:val="center"/>
              <w:rPr>
                <w:rFonts w:ascii="Athiti" w:eastAsia="Athiti" w:hAnsi="Athiti" w:cs="Athiti"/>
              </w:rPr>
            </w:pPr>
            <w:r>
              <w:rPr>
                <w:rFonts w:ascii="Athiti" w:eastAsia="Athiti" w:hAnsi="Athiti" w:cs="Athiti"/>
                <w:b/>
              </w:rPr>
              <w:lastRenderedPageBreak/>
              <w:t>Pojem</w:t>
            </w:r>
          </w:p>
        </w:tc>
        <w:tc>
          <w:tcPr>
            <w:tcW w:w="738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jc w:val="center"/>
              <w:rPr>
                <w:rFonts w:ascii="Athiti" w:eastAsia="Athiti" w:hAnsi="Athiti" w:cs="Athiti"/>
              </w:rPr>
            </w:pPr>
            <w:r>
              <w:rPr>
                <w:rFonts w:ascii="Athiti" w:eastAsia="Athiti" w:hAnsi="Athiti" w:cs="Athiti"/>
                <w:b/>
              </w:rPr>
              <w:t>Definice</w:t>
            </w:r>
          </w:p>
        </w:tc>
      </w:tr>
      <w:tr w:rsidR="00191C31" w:rsidTr="00B97B7A">
        <w:trPr>
          <w:cantSplit/>
          <w:trHeight w:val="785"/>
          <w:tblHeader/>
        </w:trPr>
        <w:tc>
          <w:tcPr>
            <w:tcW w:w="206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b/>
              </w:rPr>
            </w:pPr>
            <w:r>
              <w:rPr>
                <w:rFonts w:ascii="Athiti" w:eastAsia="Athiti" w:hAnsi="Athiti" w:cs="Athiti"/>
                <w:b/>
              </w:rPr>
              <w:t>ISMS</w:t>
            </w:r>
          </w:p>
        </w:tc>
        <w:tc>
          <w:tcPr>
            <w:tcW w:w="738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rPr>
            </w:pPr>
            <w:r>
              <w:rPr>
                <w:rFonts w:ascii="Athiti" w:eastAsia="Athiti" w:hAnsi="Athiti" w:cs="Athiti"/>
              </w:rPr>
              <w:t>Information Security Management System – systém řízení informační bezpečnosti podle normy ISO/IEC 27001 a ISO/IEC 27701.</w:t>
            </w:r>
          </w:p>
        </w:tc>
      </w:tr>
      <w:tr w:rsidR="00191C31" w:rsidTr="00B97B7A">
        <w:trPr>
          <w:cantSplit/>
          <w:trHeight w:val="785"/>
          <w:tblHeader/>
        </w:trPr>
        <w:tc>
          <w:tcPr>
            <w:tcW w:w="206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b/>
              </w:rPr>
            </w:pPr>
            <w:r>
              <w:rPr>
                <w:rFonts w:ascii="Athiti" w:eastAsia="Athiti" w:hAnsi="Athiti" w:cs="Athiti"/>
                <w:b/>
              </w:rPr>
              <w:t>CISO</w:t>
            </w:r>
          </w:p>
        </w:tc>
        <w:tc>
          <w:tcPr>
            <w:tcW w:w="738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rPr>
            </w:pPr>
            <w:r>
              <w:rPr>
                <w:rFonts w:ascii="Athiti" w:eastAsia="Athiti" w:hAnsi="Athiti" w:cs="Athiti"/>
              </w:rPr>
              <w:t>Chief Information Security Officer – vedoucí pracovník pro informační bezpečnost odpovědný za implementaci, údržbu a přezkum ISMS.</w:t>
            </w:r>
          </w:p>
        </w:tc>
      </w:tr>
      <w:tr w:rsidR="00191C31" w:rsidTr="00B97B7A">
        <w:trPr>
          <w:cantSplit/>
          <w:trHeight w:val="785"/>
          <w:tblHeader/>
        </w:trPr>
        <w:tc>
          <w:tcPr>
            <w:tcW w:w="206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b/>
              </w:rPr>
            </w:pPr>
            <w:r>
              <w:rPr>
                <w:rFonts w:ascii="Athiti" w:eastAsia="Athiti" w:hAnsi="Athiti" w:cs="Athiti"/>
                <w:b/>
              </w:rPr>
              <w:t>Aktivum</w:t>
            </w:r>
          </w:p>
        </w:tc>
        <w:tc>
          <w:tcPr>
            <w:tcW w:w="738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rPr>
            </w:pPr>
            <w:r>
              <w:rPr>
                <w:rFonts w:ascii="Athiti" w:eastAsia="Athiti" w:hAnsi="Athiti" w:cs="Athiti"/>
              </w:rPr>
              <w:t>Jakýkoliv prvek informačního systému, například data, software, hardware, sítě, které mají hodnotu pro organizaci a je třeba je chránit.</w:t>
            </w:r>
          </w:p>
        </w:tc>
      </w:tr>
      <w:tr w:rsidR="00191C31" w:rsidTr="00B97B7A">
        <w:trPr>
          <w:cantSplit/>
          <w:trHeight w:val="785"/>
          <w:tblHeader/>
        </w:trPr>
        <w:tc>
          <w:tcPr>
            <w:tcW w:w="206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b/>
              </w:rPr>
            </w:pPr>
            <w:r>
              <w:rPr>
                <w:rFonts w:ascii="Athiti" w:eastAsia="Athiti" w:hAnsi="Athiti" w:cs="Athiti"/>
                <w:b/>
              </w:rPr>
              <w:t>Vlastník aktiva</w:t>
            </w:r>
          </w:p>
        </w:tc>
        <w:tc>
          <w:tcPr>
            <w:tcW w:w="738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rPr>
            </w:pPr>
            <w:r>
              <w:rPr>
                <w:rFonts w:ascii="Athiti" w:eastAsia="Athiti" w:hAnsi="Athiti" w:cs="Athiti"/>
              </w:rPr>
              <w:t>Osoba odpovědná za správu a ochranu konkrétního aktiva, včetně přezkumu přístupových práv a hlášení rizik.</w:t>
            </w:r>
          </w:p>
        </w:tc>
      </w:tr>
      <w:tr w:rsidR="00191C31" w:rsidTr="00B97B7A">
        <w:trPr>
          <w:cantSplit/>
          <w:trHeight w:val="785"/>
          <w:tblHeader/>
        </w:trPr>
        <w:tc>
          <w:tcPr>
            <w:tcW w:w="206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b/>
              </w:rPr>
            </w:pPr>
            <w:r>
              <w:rPr>
                <w:rFonts w:ascii="Athiti" w:eastAsia="Athiti" w:hAnsi="Athiti" w:cs="Athiti"/>
                <w:b/>
              </w:rPr>
              <w:t>Uživatel aktiva</w:t>
            </w:r>
          </w:p>
        </w:tc>
        <w:tc>
          <w:tcPr>
            <w:tcW w:w="738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rPr>
            </w:pPr>
            <w:r>
              <w:rPr>
                <w:rFonts w:ascii="Athiti" w:eastAsia="Athiti" w:hAnsi="Athiti" w:cs="Athiti"/>
              </w:rPr>
              <w:t>Osoba, která používá aktivum a je povinna dodržovat stanovená pravidla informační bezpečnosti.</w:t>
            </w:r>
          </w:p>
        </w:tc>
      </w:tr>
      <w:tr w:rsidR="00191C31" w:rsidTr="00B97B7A">
        <w:trPr>
          <w:cantSplit/>
          <w:trHeight w:val="785"/>
          <w:tblHeader/>
        </w:trPr>
        <w:tc>
          <w:tcPr>
            <w:tcW w:w="206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b/>
              </w:rPr>
            </w:pPr>
            <w:r>
              <w:rPr>
                <w:rFonts w:ascii="Athiti" w:eastAsia="Athiti" w:hAnsi="Athiti" w:cs="Athiti"/>
                <w:b/>
              </w:rPr>
              <w:t>Hrozba</w:t>
            </w:r>
          </w:p>
        </w:tc>
        <w:tc>
          <w:tcPr>
            <w:tcW w:w="738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rPr>
            </w:pPr>
            <w:r>
              <w:rPr>
                <w:rFonts w:ascii="Athiti" w:eastAsia="Athiti" w:hAnsi="Athiti" w:cs="Athiti"/>
              </w:rPr>
              <w:t>Potenciální příčina nežádoucího incidentu, která může mít za následek poškození systému nebo organizace.</w:t>
            </w:r>
          </w:p>
        </w:tc>
      </w:tr>
      <w:tr w:rsidR="00191C31" w:rsidTr="00B97B7A">
        <w:trPr>
          <w:cantSplit/>
          <w:trHeight w:val="785"/>
          <w:tblHeader/>
        </w:trPr>
        <w:tc>
          <w:tcPr>
            <w:tcW w:w="206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b/>
              </w:rPr>
            </w:pPr>
            <w:r>
              <w:rPr>
                <w:rFonts w:ascii="Athiti" w:eastAsia="Athiti" w:hAnsi="Athiti" w:cs="Athiti"/>
                <w:b/>
              </w:rPr>
              <w:t>Zranitelnost</w:t>
            </w:r>
          </w:p>
        </w:tc>
        <w:tc>
          <w:tcPr>
            <w:tcW w:w="738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rPr>
            </w:pPr>
            <w:r>
              <w:rPr>
                <w:rFonts w:ascii="Athiti" w:eastAsia="Athiti" w:hAnsi="Athiti" w:cs="Athiti"/>
              </w:rPr>
              <w:t>Slabé místo systému, které může být zneužito k narušení bezpečnosti informací.</w:t>
            </w:r>
          </w:p>
        </w:tc>
      </w:tr>
      <w:tr w:rsidR="00191C31" w:rsidTr="00B97B7A">
        <w:trPr>
          <w:cantSplit/>
          <w:trHeight w:val="785"/>
          <w:tblHeader/>
        </w:trPr>
        <w:tc>
          <w:tcPr>
            <w:tcW w:w="206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b/>
              </w:rPr>
            </w:pPr>
            <w:r>
              <w:rPr>
                <w:rFonts w:ascii="Athiti" w:eastAsia="Athiti" w:hAnsi="Athiti" w:cs="Athiti"/>
                <w:b/>
              </w:rPr>
              <w:t>Incident</w:t>
            </w:r>
          </w:p>
        </w:tc>
        <w:tc>
          <w:tcPr>
            <w:tcW w:w="738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rPr>
            </w:pPr>
            <w:r>
              <w:rPr>
                <w:rFonts w:ascii="Athiti" w:eastAsia="Athiti" w:hAnsi="Athiti" w:cs="Athiti"/>
              </w:rPr>
              <w:t>Událost, která má nebo by mohla mít negativní dopad na důvěrnost, integritu nebo dostupnost informací.</w:t>
            </w:r>
          </w:p>
        </w:tc>
      </w:tr>
      <w:tr w:rsidR="00191C31" w:rsidTr="00B97B7A">
        <w:trPr>
          <w:cantSplit/>
          <w:trHeight w:val="785"/>
          <w:tblHeader/>
        </w:trPr>
        <w:tc>
          <w:tcPr>
            <w:tcW w:w="206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b/>
              </w:rPr>
            </w:pPr>
            <w:r>
              <w:rPr>
                <w:rFonts w:ascii="Athiti" w:eastAsia="Athiti" w:hAnsi="Athiti" w:cs="Athiti"/>
                <w:b/>
              </w:rPr>
              <w:t>Riziko</w:t>
            </w:r>
          </w:p>
        </w:tc>
        <w:tc>
          <w:tcPr>
            <w:tcW w:w="738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rPr>
            </w:pPr>
            <w:r>
              <w:rPr>
                <w:rFonts w:ascii="Athiti" w:eastAsia="Athiti" w:hAnsi="Athiti" w:cs="Athiti"/>
              </w:rPr>
              <w:t>Možnost, že hrozba využije zranitelnosti a způsobí škodu na aktivech organizace.</w:t>
            </w:r>
          </w:p>
        </w:tc>
      </w:tr>
      <w:tr w:rsidR="00191C31" w:rsidTr="00B97B7A">
        <w:trPr>
          <w:cantSplit/>
          <w:trHeight w:val="785"/>
          <w:tblHeader/>
        </w:trPr>
        <w:tc>
          <w:tcPr>
            <w:tcW w:w="206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b/>
              </w:rPr>
            </w:pPr>
            <w:r>
              <w:rPr>
                <w:rFonts w:ascii="Athiti" w:eastAsia="Athiti" w:hAnsi="Athiti" w:cs="Athiti"/>
                <w:b/>
              </w:rPr>
              <w:t>Opatření</w:t>
            </w:r>
          </w:p>
        </w:tc>
        <w:tc>
          <w:tcPr>
            <w:tcW w:w="738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rPr>
            </w:pPr>
            <w:r>
              <w:rPr>
                <w:rFonts w:ascii="Athiti" w:eastAsia="Athiti" w:hAnsi="Athiti" w:cs="Athiti"/>
              </w:rPr>
              <w:t>Konkrétní akce, proces nebo technické řešení implementované za účelem zmírnění rizik.</w:t>
            </w:r>
          </w:p>
        </w:tc>
      </w:tr>
      <w:tr w:rsidR="00191C31" w:rsidTr="00B97B7A">
        <w:trPr>
          <w:cantSplit/>
          <w:trHeight w:val="785"/>
          <w:tblHeader/>
        </w:trPr>
        <w:tc>
          <w:tcPr>
            <w:tcW w:w="206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b/>
              </w:rPr>
            </w:pPr>
            <w:r>
              <w:rPr>
                <w:rFonts w:ascii="Athiti" w:eastAsia="Athiti" w:hAnsi="Athiti" w:cs="Athiti"/>
                <w:b/>
              </w:rPr>
              <w:t>Prohlášení o použitelnosti</w:t>
            </w:r>
          </w:p>
        </w:tc>
        <w:tc>
          <w:tcPr>
            <w:tcW w:w="738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rPr>
            </w:pPr>
            <w:r>
              <w:rPr>
                <w:rFonts w:ascii="Athiti" w:eastAsia="Athiti" w:hAnsi="Athiti" w:cs="Athiti"/>
              </w:rPr>
              <w:t>Dokument shrnující všechna bezpečnostní opatření, která organizace přijala v rámci ISMS, včetně informací o jejich implementaci.</w:t>
            </w:r>
          </w:p>
        </w:tc>
      </w:tr>
      <w:tr w:rsidR="00191C31" w:rsidTr="00B97B7A">
        <w:trPr>
          <w:cantSplit/>
          <w:trHeight w:val="785"/>
          <w:tblHeader/>
        </w:trPr>
        <w:tc>
          <w:tcPr>
            <w:tcW w:w="206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b/>
              </w:rPr>
            </w:pPr>
            <w:r>
              <w:rPr>
                <w:rFonts w:ascii="Athiti" w:eastAsia="Athiti" w:hAnsi="Athiti" w:cs="Athiti"/>
                <w:b/>
              </w:rPr>
              <w:t>Hardening (zpevnění)</w:t>
            </w:r>
          </w:p>
        </w:tc>
        <w:tc>
          <w:tcPr>
            <w:tcW w:w="738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rPr>
            </w:pPr>
            <w:r>
              <w:rPr>
                <w:rFonts w:ascii="Athiti" w:eastAsia="Athiti" w:hAnsi="Athiti" w:cs="Athiti"/>
              </w:rPr>
              <w:t>Proces zvyšování bezpečnosti systémů prostřednictvím odstranění zbytečných služeb, nastavení oprávnění a aplikace aktualizací.</w:t>
            </w:r>
          </w:p>
        </w:tc>
      </w:tr>
      <w:tr w:rsidR="00191C31" w:rsidTr="00B97B7A">
        <w:trPr>
          <w:cantSplit/>
          <w:trHeight w:val="785"/>
          <w:tblHeader/>
        </w:trPr>
        <w:tc>
          <w:tcPr>
            <w:tcW w:w="206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b/>
              </w:rPr>
            </w:pPr>
            <w:r>
              <w:rPr>
                <w:rFonts w:ascii="Athiti" w:eastAsia="Athiti" w:hAnsi="Athiti" w:cs="Athiti"/>
                <w:b/>
              </w:rPr>
              <w:t>Due diligence</w:t>
            </w:r>
          </w:p>
        </w:tc>
        <w:tc>
          <w:tcPr>
            <w:tcW w:w="738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rPr>
            </w:pPr>
            <w:r>
              <w:rPr>
                <w:rFonts w:ascii="Athiti" w:eastAsia="Athiti" w:hAnsi="Athiti" w:cs="Athiti"/>
              </w:rPr>
              <w:t>Proces prověřování třetí strany (např. dodavatele) z hlediska souladu s požadavky na informační bezpečnost a smluvními povinnostmi.</w:t>
            </w:r>
          </w:p>
        </w:tc>
      </w:tr>
      <w:tr w:rsidR="00191C31" w:rsidTr="00B97B7A">
        <w:trPr>
          <w:cantSplit/>
          <w:trHeight w:val="785"/>
          <w:tblHeader/>
        </w:trPr>
        <w:tc>
          <w:tcPr>
            <w:tcW w:w="206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b/>
              </w:rPr>
            </w:pPr>
            <w:r>
              <w:rPr>
                <w:rFonts w:ascii="Athiti" w:eastAsia="Athiti" w:hAnsi="Athiti" w:cs="Athiti"/>
                <w:b/>
              </w:rPr>
              <w:lastRenderedPageBreak/>
              <w:t>Princip nejmenších výsad</w:t>
            </w:r>
          </w:p>
        </w:tc>
        <w:tc>
          <w:tcPr>
            <w:tcW w:w="738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rPr>
            </w:pPr>
            <w:r>
              <w:rPr>
                <w:rFonts w:ascii="Athiti" w:eastAsia="Athiti" w:hAnsi="Athiti" w:cs="Athiti"/>
              </w:rPr>
              <w:t>Zásada omezující přístupová práva uživatelů pouze na minimum potřebné pro výkon jejich povinností.</w:t>
            </w:r>
          </w:p>
        </w:tc>
      </w:tr>
      <w:tr w:rsidR="00191C31" w:rsidTr="00B97B7A">
        <w:trPr>
          <w:cantSplit/>
          <w:trHeight w:val="785"/>
          <w:tblHeader/>
        </w:trPr>
        <w:tc>
          <w:tcPr>
            <w:tcW w:w="206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b/>
              </w:rPr>
            </w:pPr>
            <w:r>
              <w:rPr>
                <w:rFonts w:ascii="Athiti" w:eastAsia="Athiti" w:hAnsi="Athiti" w:cs="Athiti"/>
                <w:b/>
              </w:rPr>
              <w:t>Obrana do hloubky</w:t>
            </w:r>
          </w:p>
        </w:tc>
        <w:tc>
          <w:tcPr>
            <w:tcW w:w="738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191C31" w:rsidRDefault="00191C31" w:rsidP="00B97B7A">
            <w:pPr>
              <w:pStyle w:val="normal"/>
              <w:rPr>
                <w:rFonts w:ascii="Athiti" w:eastAsia="Athiti" w:hAnsi="Athiti" w:cs="Athiti"/>
              </w:rPr>
            </w:pPr>
            <w:r>
              <w:rPr>
                <w:rFonts w:ascii="Athiti" w:eastAsia="Athiti" w:hAnsi="Athiti" w:cs="Athiti"/>
              </w:rPr>
              <w:t>Přístup k bezpečnosti, který zahrnuje více vrstev ochrany s cílem minimalizovat rizika selhání jednotlivých opatření.</w:t>
            </w:r>
          </w:p>
        </w:tc>
      </w:tr>
    </w:tbl>
    <w:p w:rsidR="00191C31" w:rsidRDefault="00191C31" w:rsidP="00191C31">
      <w:pPr>
        <w:pStyle w:val="normal"/>
        <w:rPr>
          <w:rFonts w:ascii="Athiti" w:eastAsia="Athiti" w:hAnsi="Athiti" w:cs="Athiti"/>
        </w:rPr>
      </w:pPr>
    </w:p>
    <w:p w:rsidR="00191C31" w:rsidRDefault="00191C31" w:rsidP="00191C31">
      <w:pPr>
        <w:pStyle w:val="Nadpis1"/>
        <w:rPr>
          <w:rFonts w:ascii="Athiti" w:eastAsia="Athiti" w:hAnsi="Athiti" w:cs="Athiti"/>
        </w:rPr>
      </w:pPr>
      <w:bookmarkStart w:id="2" w:name="_heading=h.lnahys1gdoif" w:colFirst="0" w:colLast="0"/>
      <w:bookmarkEnd w:id="2"/>
      <w:r>
        <w:rPr>
          <w:rFonts w:ascii="Athiti" w:eastAsia="Athiti" w:hAnsi="Athiti" w:cs="Athiti"/>
        </w:rPr>
        <w:t>1 Úvod</w:t>
      </w:r>
    </w:p>
    <w:p w:rsidR="00191C31" w:rsidRDefault="00191C31" w:rsidP="00191C31">
      <w:pPr>
        <w:pStyle w:val="normal"/>
        <w:spacing w:before="240" w:after="240"/>
        <w:rPr>
          <w:rFonts w:ascii="Athiti" w:eastAsia="Athiti" w:hAnsi="Athiti" w:cs="Athiti"/>
          <w:color w:val="444444"/>
        </w:rPr>
      </w:pPr>
      <w:r>
        <w:rPr>
          <w:rFonts w:ascii="Athiti" w:eastAsia="Athiti" w:hAnsi="Athiti" w:cs="Athiti"/>
          <w:color w:val="444444"/>
        </w:rPr>
        <w:t>Společnost si plně uvědomuje význam informační bezpečnosti jako klíčového prvku pro zajištění důvěryhodnosti, kontinuity provozu a ochrany citlivých informací. V dnešním digitálně propojeném světě představují informace jedno z nejcennějších aktiv společnosti, a proto jejich ochrana není pouze technickou otázkou, ale strategickou prioritou vrcholového vedení.</w:t>
      </w:r>
    </w:p>
    <w:p w:rsidR="00191C31" w:rsidRDefault="00191C31" w:rsidP="00191C31">
      <w:pPr>
        <w:pStyle w:val="normal"/>
        <w:spacing w:before="240" w:after="240"/>
        <w:rPr>
          <w:rFonts w:ascii="Athiti" w:eastAsia="Athiti" w:hAnsi="Athiti" w:cs="Athiti"/>
          <w:color w:val="444444"/>
        </w:rPr>
      </w:pPr>
      <w:r>
        <w:rPr>
          <w:rFonts w:ascii="Athiti" w:eastAsia="Athiti" w:hAnsi="Athiti" w:cs="Athiti"/>
          <w:color w:val="444444"/>
        </w:rPr>
        <w:t xml:space="preserve">Tato </w:t>
      </w:r>
      <w:r>
        <w:rPr>
          <w:rFonts w:ascii="Athiti" w:eastAsia="Athiti" w:hAnsi="Athiti" w:cs="Athiti"/>
          <w:b/>
          <w:color w:val="444444"/>
        </w:rPr>
        <w:t>Politika informační bezpečnosti</w:t>
      </w:r>
      <w:r>
        <w:rPr>
          <w:rFonts w:ascii="Athiti" w:eastAsia="Athiti" w:hAnsi="Athiti" w:cs="Athiti"/>
          <w:color w:val="444444"/>
        </w:rPr>
        <w:t xml:space="preserve"> stanovuje rámec pro řízení informační bezpečnosti ve společnosti, definuje cíle, zásady a odpovědnosti napříč organizační strukturou a určuje směr pro implementaci a udržování Systému řízení informační bezpečnosti (ISMS) v souladu s mezinárodními standardy ISO/IEC 27001 a ISO/IEC 27701. Politika reflektuje závazek společnosti k ochraně dat, zajištění kontinuity provozu, minimalizaci rizik spojených s kybernetickými hrozbami a dodržování platných právních a regulačních požadavků, zejména v kontextu evropské legislativy, jako jsou </w:t>
      </w:r>
      <w:r>
        <w:rPr>
          <w:rFonts w:ascii="Athiti" w:eastAsia="Athiti" w:hAnsi="Athiti" w:cs="Athiti"/>
          <w:b/>
          <w:color w:val="444444"/>
        </w:rPr>
        <w:t>GDPR</w:t>
      </w:r>
      <w:r>
        <w:rPr>
          <w:rFonts w:ascii="Athiti" w:eastAsia="Athiti" w:hAnsi="Athiti" w:cs="Athiti"/>
          <w:color w:val="444444"/>
        </w:rPr>
        <w:t xml:space="preserve">, </w:t>
      </w:r>
      <w:r>
        <w:rPr>
          <w:rFonts w:ascii="Athiti" w:eastAsia="Athiti" w:hAnsi="Athiti" w:cs="Athiti"/>
          <w:b/>
          <w:color w:val="444444"/>
        </w:rPr>
        <w:t>DORA</w:t>
      </w:r>
      <w:r>
        <w:rPr>
          <w:rFonts w:ascii="Athiti" w:eastAsia="Athiti" w:hAnsi="Athiti" w:cs="Athiti"/>
          <w:color w:val="444444"/>
        </w:rPr>
        <w:t xml:space="preserve"> a </w:t>
      </w:r>
      <w:r>
        <w:rPr>
          <w:rFonts w:ascii="Athiti" w:eastAsia="Athiti" w:hAnsi="Athiti" w:cs="Athiti"/>
          <w:b/>
          <w:color w:val="444444"/>
        </w:rPr>
        <w:t>MiCA</w:t>
      </w:r>
      <w:r>
        <w:rPr>
          <w:rFonts w:ascii="Athiti" w:eastAsia="Athiti" w:hAnsi="Athiti" w:cs="Athiti"/>
          <w:color w:val="444444"/>
        </w:rPr>
        <w:t>.</w:t>
      </w:r>
    </w:p>
    <w:p w:rsidR="00191C31" w:rsidRDefault="00191C31" w:rsidP="00191C31">
      <w:pPr>
        <w:pStyle w:val="normal"/>
        <w:spacing w:before="240" w:after="240"/>
        <w:rPr>
          <w:rFonts w:ascii="Athiti" w:eastAsia="Athiti" w:hAnsi="Athiti" w:cs="Athiti"/>
          <w:color w:val="444444"/>
        </w:rPr>
      </w:pPr>
      <w:r>
        <w:rPr>
          <w:rFonts w:ascii="Athiti" w:eastAsia="Athiti" w:hAnsi="Athiti" w:cs="Athiti"/>
          <w:color w:val="444444"/>
        </w:rPr>
        <w:t>Cílem této Politiky je zajistit, že všechna aktiva společnosti, zejména informace a informační systémy, jsou chráněna před neoprávněným přístupem, ztrátou, zničením, změnou nebo jiným poškozením, které by mohlo mít negativní dopad na důvěryhodnost společnosti, její klienty, obchodní partnery a další zúčastněné strany. Ochrana informací zahrnuje jak technická opatření (například řízení přístupu, šifrování, zálohování), tak organizační opatření (školení zaměstnanců, interní postupy, plány reakce na incidenty).</w:t>
      </w:r>
    </w:p>
    <w:p w:rsidR="00191C31" w:rsidRDefault="00191C31" w:rsidP="00191C31">
      <w:pPr>
        <w:pStyle w:val="normal"/>
        <w:spacing w:before="240" w:after="240"/>
        <w:rPr>
          <w:rFonts w:ascii="Athiti" w:eastAsia="Athiti" w:hAnsi="Athiti" w:cs="Athiti"/>
          <w:color w:val="444444"/>
        </w:rPr>
      </w:pPr>
      <w:r>
        <w:rPr>
          <w:rFonts w:ascii="Athiti" w:eastAsia="Athiti" w:hAnsi="Athiti" w:cs="Athiti"/>
          <w:color w:val="444444"/>
        </w:rPr>
        <w:t>Společnost se zavazuje k neustálému zlepšování bezpečnostních opatření, zvyšování povědomí zaměstnanců a třetích stran, se kterými spolupracuje, a dodržování všech relevantních právních, smluvních a regulatorních požadavků v oblasti informační bezpečnosti. Tento přístup je nezbytný pro zajištění ochrany nejen technické infrastruktury, ale i obchodní pověsti a důvěry klientů.</w:t>
      </w:r>
    </w:p>
    <w:p w:rsidR="00191C31" w:rsidRDefault="00191C31" w:rsidP="00191C31">
      <w:pPr>
        <w:pStyle w:val="normal"/>
        <w:spacing w:before="240" w:after="240"/>
        <w:rPr>
          <w:rFonts w:ascii="Athiti" w:eastAsia="Athiti" w:hAnsi="Athiti" w:cs="Athiti"/>
          <w:color w:val="444444"/>
        </w:rPr>
      </w:pPr>
      <w:r>
        <w:rPr>
          <w:rFonts w:ascii="Athiti" w:eastAsia="Athiti" w:hAnsi="Athiti" w:cs="Athiti"/>
          <w:color w:val="444444"/>
        </w:rPr>
        <w:t>Tato Politika se vztahuje na všechny zaměstnance, dodavatele, smluvní partnery, externí spolupracovníky a další osoby, které mají přístup k informačním aktivům společnosti, bez ohledu na jejich pracovní zařazení, smluvní vztah nebo formu spolupráce. Každý, kdo má přístup k informacím a systémům společnosti, nese osobní odpovědnost za dodržování zásad této Politiky a je povinen přispívat k ochraně důvěrnosti, integrity a dostupnosti informací. Dodržování této Politiky je závazné a nezbytné pro ochranu obchodních zájmů společnosti, její klientely a celkového ekosystému, ve kterém společnost působí.</w:t>
      </w:r>
    </w:p>
    <w:p w:rsidR="00191C31" w:rsidRDefault="00191C31" w:rsidP="00191C31">
      <w:pPr>
        <w:pStyle w:val="Nadpis1"/>
        <w:rPr>
          <w:rFonts w:ascii="Athiti" w:eastAsia="Athiti" w:hAnsi="Athiti" w:cs="Athiti"/>
        </w:rPr>
      </w:pPr>
      <w:bookmarkStart w:id="3" w:name="_heading=h.fkvg0gf1nv2t" w:colFirst="0" w:colLast="0"/>
      <w:bookmarkEnd w:id="3"/>
      <w:r>
        <w:rPr>
          <w:rFonts w:ascii="Athiti" w:eastAsia="Athiti" w:hAnsi="Athiti" w:cs="Athiti"/>
        </w:rPr>
        <w:lastRenderedPageBreak/>
        <w:t>2 Obecná ustanovení</w:t>
      </w:r>
    </w:p>
    <w:p w:rsidR="00191C31" w:rsidRDefault="00191C31" w:rsidP="00191C31">
      <w:pPr>
        <w:pStyle w:val="Nadpis2"/>
        <w:rPr>
          <w:rFonts w:ascii="Athiti" w:eastAsia="Athiti" w:hAnsi="Athiti" w:cs="Athiti"/>
        </w:rPr>
      </w:pPr>
      <w:bookmarkStart w:id="4" w:name="_heading=h.8dajyzrw0yz7" w:colFirst="0" w:colLast="0"/>
      <w:bookmarkEnd w:id="4"/>
      <w:r>
        <w:rPr>
          <w:rFonts w:ascii="Athiti" w:eastAsia="Athiti" w:hAnsi="Athiti" w:cs="Athiti"/>
        </w:rPr>
        <w:t>2.1 Rozsah</w:t>
      </w:r>
    </w:p>
    <w:p w:rsidR="00191C31" w:rsidRDefault="00191C31" w:rsidP="00191C31">
      <w:pPr>
        <w:pStyle w:val="normal"/>
        <w:spacing w:before="240" w:after="240"/>
        <w:rPr>
          <w:rFonts w:ascii="Athiti" w:eastAsia="Athiti" w:hAnsi="Athiti" w:cs="Athiti"/>
          <w:color w:val="444444"/>
        </w:rPr>
      </w:pPr>
      <w:r>
        <w:rPr>
          <w:rFonts w:ascii="Athiti" w:eastAsia="Athiti" w:hAnsi="Athiti" w:cs="Athiti"/>
          <w:color w:val="444444"/>
        </w:rPr>
        <w:t>Tato Politika se vztahuje na veškeré informační aktivity, procesy, systémy a technologie, které jsou využívány v rámci společnosti pro podporu obchodní činnosti, poskytování služeb a zajištění provozu. Je závazná pro všechny osoby a subjekty, které mají přístup k informačním aktivům společnosti, ať už přímo, nebo nepřímo. To zahrnuje zejména:</w:t>
      </w:r>
    </w:p>
    <w:p w:rsidR="00191C31" w:rsidRDefault="00191C31" w:rsidP="00191C31">
      <w:pPr>
        <w:pStyle w:val="normal"/>
        <w:numPr>
          <w:ilvl w:val="0"/>
          <w:numId w:val="11"/>
        </w:numPr>
        <w:spacing w:before="240" w:after="0"/>
        <w:rPr>
          <w:rFonts w:ascii="Athiti" w:eastAsia="Athiti" w:hAnsi="Athiti" w:cs="Athiti"/>
          <w:color w:val="444444"/>
        </w:rPr>
      </w:pPr>
      <w:r>
        <w:rPr>
          <w:rFonts w:ascii="Athiti" w:eastAsia="Athiti" w:hAnsi="Athiti" w:cs="Athiti"/>
          <w:color w:val="444444"/>
        </w:rPr>
        <w:t>členy představenstva a vrcholové vedení,</w:t>
      </w:r>
    </w:p>
    <w:p w:rsidR="00191C31" w:rsidRDefault="00191C31" w:rsidP="00191C31">
      <w:pPr>
        <w:pStyle w:val="normal"/>
        <w:numPr>
          <w:ilvl w:val="0"/>
          <w:numId w:val="11"/>
        </w:numPr>
        <w:spacing w:after="0"/>
        <w:rPr>
          <w:rFonts w:ascii="Athiti" w:eastAsia="Athiti" w:hAnsi="Athiti" w:cs="Athiti"/>
          <w:color w:val="444444"/>
        </w:rPr>
      </w:pPr>
      <w:r>
        <w:rPr>
          <w:rFonts w:ascii="Athiti" w:eastAsia="Athiti" w:hAnsi="Athiti" w:cs="Athiti"/>
          <w:color w:val="444444"/>
        </w:rPr>
        <w:t>zaměstnance společnosti bez ohledu na typ pracovního poměru nebo zařazení,</w:t>
      </w:r>
    </w:p>
    <w:p w:rsidR="00191C31" w:rsidRDefault="00191C31" w:rsidP="00191C31">
      <w:pPr>
        <w:pStyle w:val="normal"/>
        <w:numPr>
          <w:ilvl w:val="0"/>
          <w:numId w:val="11"/>
        </w:numPr>
        <w:spacing w:after="0"/>
        <w:rPr>
          <w:rFonts w:ascii="Athiti" w:eastAsia="Athiti" w:hAnsi="Athiti" w:cs="Athiti"/>
          <w:color w:val="444444"/>
        </w:rPr>
      </w:pPr>
      <w:r>
        <w:rPr>
          <w:rFonts w:ascii="Athiti" w:eastAsia="Athiti" w:hAnsi="Athiti" w:cs="Athiti"/>
          <w:color w:val="444444"/>
        </w:rPr>
        <w:t>externí spolupracovníky a konzultanty, kteří se podílejí na provozu, správě nebo údržbě informačních systémů,</w:t>
      </w:r>
    </w:p>
    <w:p w:rsidR="00191C31" w:rsidRDefault="00191C31" w:rsidP="00191C31">
      <w:pPr>
        <w:pStyle w:val="normal"/>
        <w:numPr>
          <w:ilvl w:val="0"/>
          <w:numId w:val="11"/>
        </w:numPr>
        <w:spacing w:after="0"/>
        <w:rPr>
          <w:rFonts w:ascii="Athiti" w:eastAsia="Athiti" w:hAnsi="Athiti" w:cs="Athiti"/>
          <w:color w:val="444444"/>
        </w:rPr>
      </w:pPr>
      <w:r>
        <w:rPr>
          <w:rFonts w:ascii="Athiti" w:eastAsia="Athiti" w:hAnsi="Athiti" w:cs="Athiti"/>
          <w:color w:val="444444"/>
        </w:rPr>
        <w:t>dodavatele a subdodavatele poskytující IT služby, infrastrukturu, poradenství, školení, údržbu nebo jinou podporu,</w:t>
      </w:r>
    </w:p>
    <w:p w:rsidR="00191C31" w:rsidRDefault="00191C31" w:rsidP="00191C31">
      <w:pPr>
        <w:pStyle w:val="normal"/>
        <w:numPr>
          <w:ilvl w:val="0"/>
          <w:numId w:val="11"/>
        </w:numPr>
        <w:spacing w:after="240"/>
        <w:rPr>
          <w:rFonts w:ascii="Athiti" w:eastAsia="Athiti" w:hAnsi="Athiti" w:cs="Athiti"/>
          <w:color w:val="444444"/>
        </w:rPr>
      </w:pPr>
      <w:r>
        <w:rPr>
          <w:rFonts w:ascii="Athiti" w:eastAsia="Athiti" w:hAnsi="Athiti" w:cs="Athiti"/>
          <w:color w:val="444444"/>
        </w:rPr>
        <w:t>další třetí strany, které mají na základě smlouvy nebo jiného právního titulu přístup k informačním systémům, datům nebo jiným aktivům společnosti.</w:t>
      </w:r>
    </w:p>
    <w:p w:rsidR="00191C31" w:rsidRDefault="00191C31" w:rsidP="00191C31">
      <w:pPr>
        <w:pStyle w:val="normal"/>
        <w:spacing w:before="240" w:after="240"/>
        <w:rPr>
          <w:rFonts w:ascii="Athiti" w:eastAsia="Athiti" w:hAnsi="Athiti" w:cs="Athiti"/>
          <w:color w:val="444444"/>
        </w:rPr>
      </w:pPr>
      <w:r>
        <w:rPr>
          <w:rFonts w:ascii="Athiti" w:eastAsia="Athiti" w:hAnsi="Athiti" w:cs="Athiti"/>
          <w:color w:val="444444"/>
        </w:rPr>
        <w:t>Politika se vztahuje na všechna informační aktiva společnosti, a to bez ohledu na jejich umístění, formu nebo způsob uložení a zpracování. To zahrnuje zejména:</w:t>
      </w:r>
    </w:p>
    <w:p w:rsidR="00191C31" w:rsidRDefault="00191C31" w:rsidP="00191C31">
      <w:pPr>
        <w:pStyle w:val="normal"/>
        <w:numPr>
          <w:ilvl w:val="0"/>
          <w:numId w:val="3"/>
        </w:numPr>
        <w:spacing w:before="240" w:after="0"/>
        <w:rPr>
          <w:rFonts w:ascii="Athiti" w:eastAsia="Athiti" w:hAnsi="Athiti" w:cs="Athiti"/>
          <w:color w:val="444444"/>
        </w:rPr>
      </w:pPr>
      <w:r>
        <w:rPr>
          <w:rFonts w:ascii="Athiti" w:eastAsia="Athiti" w:hAnsi="Athiti" w:cs="Athiti"/>
          <w:color w:val="444444"/>
        </w:rPr>
        <w:t>fyzická aktiva (například servery, pracovní stanice, notebooky, mobilní zařízení, paměťová média, tiskárny a další hardware),</w:t>
      </w:r>
    </w:p>
    <w:p w:rsidR="00191C31" w:rsidRDefault="00191C31" w:rsidP="00191C31">
      <w:pPr>
        <w:pStyle w:val="normal"/>
        <w:numPr>
          <w:ilvl w:val="0"/>
          <w:numId w:val="3"/>
        </w:numPr>
        <w:spacing w:after="0"/>
        <w:rPr>
          <w:rFonts w:ascii="Athiti" w:eastAsia="Athiti" w:hAnsi="Athiti" w:cs="Athiti"/>
          <w:color w:val="444444"/>
        </w:rPr>
      </w:pPr>
      <w:r>
        <w:rPr>
          <w:rFonts w:ascii="Athiti" w:eastAsia="Athiti" w:hAnsi="Athiti" w:cs="Athiti"/>
          <w:color w:val="444444"/>
        </w:rPr>
        <w:t>logická aktiva (například software, aplikace, operační systémy, konfigurační soubory, zdrojové kódy a licencovaný obsah),</w:t>
      </w:r>
    </w:p>
    <w:p w:rsidR="00191C31" w:rsidRDefault="00191C31" w:rsidP="00191C31">
      <w:pPr>
        <w:pStyle w:val="normal"/>
        <w:numPr>
          <w:ilvl w:val="0"/>
          <w:numId w:val="3"/>
        </w:numPr>
        <w:spacing w:after="0"/>
        <w:rPr>
          <w:rFonts w:ascii="Athiti" w:eastAsia="Athiti" w:hAnsi="Athiti" w:cs="Athiti"/>
          <w:color w:val="444444"/>
        </w:rPr>
      </w:pPr>
      <w:r>
        <w:rPr>
          <w:rFonts w:ascii="Athiti" w:eastAsia="Athiti" w:hAnsi="Athiti" w:cs="Athiti"/>
          <w:color w:val="444444"/>
        </w:rPr>
        <w:t>data a informace v jakékoliv formě (elektronické soubory, databáze, záznamy, dokumentace, e-maily, smlouvy, osobní údaje a další citlivé údaje),</w:t>
      </w:r>
    </w:p>
    <w:p w:rsidR="00191C31" w:rsidRDefault="00191C31" w:rsidP="00191C31">
      <w:pPr>
        <w:pStyle w:val="normal"/>
        <w:numPr>
          <w:ilvl w:val="0"/>
          <w:numId w:val="3"/>
        </w:numPr>
        <w:spacing w:after="240"/>
        <w:rPr>
          <w:rFonts w:ascii="Athiti" w:eastAsia="Athiti" w:hAnsi="Athiti" w:cs="Athiti"/>
          <w:color w:val="444444"/>
        </w:rPr>
      </w:pPr>
      <w:r>
        <w:rPr>
          <w:rFonts w:ascii="Athiti" w:eastAsia="Athiti" w:hAnsi="Athiti" w:cs="Athiti"/>
          <w:color w:val="444444"/>
        </w:rPr>
        <w:t>síťovou infrastrukturu a komunikační kanály (včetně interních sítí, VPN, připojení k internetu, cloudových služeb a přenosových cest).</w:t>
      </w:r>
    </w:p>
    <w:p w:rsidR="00191C31" w:rsidRDefault="00191C31" w:rsidP="00191C31">
      <w:pPr>
        <w:pStyle w:val="normal"/>
        <w:spacing w:before="240" w:after="240"/>
        <w:rPr>
          <w:rFonts w:ascii="Athiti" w:eastAsia="Athiti" w:hAnsi="Athiti" w:cs="Athiti"/>
          <w:color w:val="444444"/>
        </w:rPr>
      </w:pPr>
      <w:r>
        <w:rPr>
          <w:rFonts w:ascii="Athiti" w:eastAsia="Athiti" w:hAnsi="Athiti" w:cs="Athiti"/>
          <w:color w:val="444444"/>
        </w:rPr>
        <w:t>Politika pokrývá všechny fáze životního cyklu informačních aktiv – od jejich vytvoření, zpracování, ukládání, přenosu, sdílení, až po archivaci nebo bezpečnou likvidaci. Vztahuje se také na přístupová práva, správu oprávnění, ochranu před neoprávněným přístupem a monitorování činností souvisejících s bezpečností informací.</w:t>
      </w:r>
    </w:p>
    <w:p w:rsidR="00191C31" w:rsidRDefault="00191C31" w:rsidP="00191C31">
      <w:pPr>
        <w:pStyle w:val="normal"/>
        <w:spacing w:before="240" w:after="240"/>
        <w:rPr>
          <w:rFonts w:ascii="Athiti" w:eastAsia="Athiti" w:hAnsi="Athiti" w:cs="Athiti"/>
          <w:color w:val="444444"/>
        </w:rPr>
      </w:pPr>
      <w:r>
        <w:rPr>
          <w:rFonts w:ascii="Athiti" w:eastAsia="Athiti" w:hAnsi="Athiti" w:cs="Athiti"/>
          <w:color w:val="444444"/>
        </w:rPr>
        <w:t>Dodržování této Politiky je závazné pro všechny subjekty uvedené výše, a to bez ohledu na jejich pracovní pozici, úroveň přístupu, geografické umístění nebo typ pracovního vztahu (zaměstnanecký poměr, smlouva o dílo, mandátní smlouva apod.).</w:t>
      </w:r>
    </w:p>
    <w:p w:rsidR="00191C31" w:rsidRDefault="00191C31" w:rsidP="00191C31">
      <w:pPr>
        <w:pStyle w:val="Nadpis2"/>
        <w:rPr>
          <w:rFonts w:ascii="Athiti" w:eastAsia="Athiti" w:hAnsi="Athiti" w:cs="Athiti"/>
        </w:rPr>
      </w:pPr>
      <w:bookmarkStart w:id="5" w:name="_heading=h.u6ixj7cnxcso" w:colFirst="0" w:colLast="0"/>
      <w:bookmarkEnd w:id="5"/>
      <w:r>
        <w:rPr>
          <w:rFonts w:ascii="Athiti" w:eastAsia="Athiti" w:hAnsi="Athiti" w:cs="Athiti"/>
        </w:rPr>
        <w:t>2.2 Cíle</w:t>
      </w:r>
    </w:p>
    <w:p w:rsidR="00191C31" w:rsidRDefault="00191C31" w:rsidP="00191C31">
      <w:pPr>
        <w:pStyle w:val="normal"/>
        <w:spacing w:before="240" w:after="240"/>
        <w:rPr>
          <w:rFonts w:ascii="Athiti" w:eastAsia="Athiti" w:hAnsi="Athiti" w:cs="Athiti"/>
          <w:color w:val="444444"/>
        </w:rPr>
      </w:pPr>
      <w:r>
        <w:rPr>
          <w:rFonts w:ascii="Athiti" w:eastAsia="Athiti" w:hAnsi="Athiti" w:cs="Athiti"/>
          <w:color w:val="444444"/>
        </w:rPr>
        <w:t>Obecné cíle pro ISMS jsou následující:</w:t>
      </w:r>
    </w:p>
    <w:p w:rsidR="00191C31" w:rsidRDefault="00191C31" w:rsidP="00191C31">
      <w:pPr>
        <w:pStyle w:val="normal"/>
        <w:numPr>
          <w:ilvl w:val="0"/>
          <w:numId w:val="9"/>
        </w:numPr>
        <w:spacing w:before="240" w:after="0"/>
        <w:rPr>
          <w:rFonts w:ascii="Athiti" w:eastAsia="Athiti" w:hAnsi="Athiti" w:cs="Athiti"/>
        </w:rPr>
      </w:pPr>
      <w:r>
        <w:rPr>
          <w:rFonts w:ascii="Athiti" w:eastAsia="Athiti" w:hAnsi="Athiti" w:cs="Athiti"/>
          <w:color w:val="444444"/>
        </w:rPr>
        <w:t>posílení důvěry a věrohodnosti ze strany potenciálních klientů, partnerů a zainteresovaných stran a ujištění, že organizace bere bezpečnost a ochranu údajů vážně</w:t>
      </w:r>
    </w:p>
    <w:p w:rsidR="00191C31" w:rsidRDefault="00191C31" w:rsidP="00191C31">
      <w:pPr>
        <w:pStyle w:val="normal"/>
        <w:numPr>
          <w:ilvl w:val="0"/>
          <w:numId w:val="9"/>
        </w:numPr>
        <w:spacing w:after="0"/>
        <w:rPr>
          <w:rFonts w:ascii="Athiti" w:eastAsia="Athiti" w:hAnsi="Athiti" w:cs="Athiti"/>
        </w:rPr>
      </w:pPr>
      <w:r>
        <w:rPr>
          <w:rFonts w:ascii="Athiti" w:eastAsia="Athiti" w:hAnsi="Athiti" w:cs="Athiti"/>
          <w:color w:val="444444"/>
        </w:rPr>
        <w:lastRenderedPageBreak/>
        <w:t>získání konkurenční výhody, jelikož mnoho klientů a partnerů vyžaduje, aby jejich poskytovatelé služeb splňovali požadavky norem ISO/IEC 27001:2022 a/nebo ISO/IEC 27701:2019, aby byla zajištěna ochrana jejich dat</w:t>
      </w:r>
    </w:p>
    <w:p w:rsidR="00191C31" w:rsidRDefault="00191C31" w:rsidP="00191C31">
      <w:pPr>
        <w:pStyle w:val="normal"/>
        <w:numPr>
          <w:ilvl w:val="0"/>
          <w:numId w:val="9"/>
        </w:numPr>
        <w:spacing w:after="0"/>
        <w:rPr>
          <w:rFonts w:ascii="Athiti" w:eastAsia="Athiti" w:hAnsi="Athiti" w:cs="Athiti"/>
        </w:rPr>
      </w:pPr>
      <w:r>
        <w:rPr>
          <w:rFonts w:ascii="Athiti" w:eastAsia="Athiti" w:hAnsi="Athiti" w:cs="Athiti"/>
          <w:color w:val="444444"/>
        </w:rPr>
        <w:t>zlepšení interních procesů za účelem zvýšení celkové efektivity a účinnosti fungování společnosti</w:t>
      </w:r>
    </w:p>
    <w:p w:rsidR="00191C31" w:rsidRDefault="00191C31" w:rsidP="00191C31">
      <w:pPr>
        <w:pStyle w:val="normal"/>
        <w:numPr>
          <w:ilvl w:val="0"/>
          <w:numId w:val="9"/>
        </w:numPr>
        <w:spacing w:after="0"/>
        <w:rPr>
          <w:rFonts w:ascii="Athiti" w:eastAsia="Athiti" w:hAnsi="Athiti" w:cs="Athiti"/>
        </w:rPr>
      </w:pPr>
      <w:r>
        <w:rPr>
          <w:rFonts w:ascii="Athiti" w:eastAsia="Athiti" w:hAnsi="Athiti" w:cs="Athiti"/>
          <w:color w:val="444444"/>
        </w:rPr>
        <w:t>ochrana aktiv před vnějšími i vnitřními hrozbami</w:t>
      </w:r>
    </w:p>
    <w:p w:rsidR="00191C31" w:rsidRDefault="00191C31" w:rsidP="00191C31">
      <w:pPr>
        <w:pStyle w:val="normal"/>
        <w:numPr>
          <w:ilvl w:val="0"/>
          <w:numId w:val="9"/>
        </w:numPr>
        <w:spacing w:after="240"/>
        <w:rPr>
          <w:rFonts w:ascii="Athiti" w:eastAsia="Athiti" w:hAnsi="Athiti" w:cs="Athiti"/>
        </w:rPr>
      </w:pPr>
      <w:r>
        <w:rPr>
          <w:rFonts w:ascii="Athiti" w:eastAsia="Athiti" w:hAnsi="Athiti" w:cs="Athiti"/>
          <w:color w:val="444444"/>
        </w:rPr>
        <w:t>zajištění souladu s právními a regulačními požadavky</w:t>
      </w:r>
    </w:p>
    <w:p w:rsidR="00191C31" w:rsidRDefault="00191C31" w:rsidP="00191C31">
      <w:pPr>
        <w:pStyle w:val="normal"/>
        <w:spacing w:after="240"/>
        <w:rPr>
          <w:rFonts w:ascii="Athiti" w:eastAsia="Athiti" w:hAnsi="Athiti" w:cs="Athiti"/>
          <w:color w:val="444444"/>
        </w:rPr>
      </w:pPr>
      <w:r>
        <w:rPr>
          <w:rFonts w:ascii="Athiti" w:eastAsia="Athiti" w:hAnsi="Athiti" w:cs="Athiti"/>
          <w:color w:val="444444"/>
        </w:rPr>
        <w:t>Vrcholové vedení a Vedoucí pracovník pro informační bezpečnost (CISO) jsou odpovědní za přezkum těchto obecných cílů ISMS a za stanovení nových. Všechny cíle musí být přezkoumávány alespoň jednou ročně.</w:t>
      </w:r>
    </w:p>
    <w:p w:rsidR="00191C31" w:rsidRDefault="00191C31" w:rsidP="00191C31">
      <w:pPr>
        <w:pStyle w:val="Nadpis2"/>
        <w:rPr>
          <w:rFonts w:ascii="Athiti" w:eastAsia="Athiti" w:hAnsi="Athiti" w:cs="Athiti"/>
        </w:rPr>
      </w:pPr>
      <w:bookmarkStart w:id="6" w:name="_heading=h.9qthqr7dzn6p" w:colFirst="0" w:colLast="0"/>
      <w:bookmarkEnd w:id="6"/>
      <w:r>
        <w:rPr>
          <w:rFonts w:ascii="Athiti" w:eastAsia="Athiti" w:hAnsi="Athiti" w:cs="Athiti"/>
        </w:rPr>
        <w:t>2.3 Přezkum politiky</w:t>
      </w:r>
    </w:p>
    <w:p w:rsidR="00191C31" w:rsidRDefault="00191C31" w:rsidP="00191C31">
      <w:pPr>
        <w:pStyle w:val="normal"/>
        <w:spacing w:before="240" w:after="240"/>
        <w:rPr>
          <w:rFonts w:ascii="Athiti" w:eastAsia="Athiti" w:hAnsi="Athiti" w:cs="Athiti"/>
          <w:color w:val="444444"/>
        </w:rPr>
      </w:pPr>
      <w:r>
        <w:rPr>
          <w:rFonts w:ascii="Athiti" w:eastAsia="Athiti" w:hAnsi="Athiti" w:cs="Athiti"/>
          <w:color w:val="444444"/>
        </w:rPr>
        <w:t>Vlastníkem tohoto dokumentu je CISO, který je povinen dokument alespoň jednou ročně přezkoumat a v případě potřeby aktualizovat.</w:t>
      </w:r>
      <w:r>
        <w:rPr>
          <w:rFonts w:ascii="Athiti" w:eastAsia="Athiti" w:hAnsi="Athiti" w:cs="Athiti"/>
          <w:color w:val="444444"/>
        </w:rPr>
        <w:br/>
        <w:t>Všechny změny provedené v této Politice musí být zaznamenány v části „Historie revizí“. Změny musí být projednány Výborem pro informační bezpečnost a schváleny Vrcholovým vedením.</w:t>
      </w:r>
    </w:p>
    <w:p w:rsidR="00191C31" w:rsidRDefault="00191C31" w:rsidP="00191C31">
      <w:pPr>
        <w:pStyle w:val="normal"/>
        <w:spacing w:before="240" w:after="240"/>
        <w:rPr>
          <w:rFonts w:ascii="Athiti" w:eastAsia="Athiti" w:hAnsi="Athiti" w:cs="Athiti"/>
          <w:color w:val="444444"/>
        </w:rPr>
      </w:pPr>
      <w:r>
        <w:rPr>
          <w:rFonts w:ascii="Athiti" w:eastAsia="Athiti" w:hAnsi="Athiti" w:cs="Athiti"/>
          <w:color w:val="444444"/>
        </w:rPr>
        <w:t>Při hodnocení účinnosti a přiměřenosti tohoto dokumentu je třeba zvážit následující kritéria:</w:t>
      </w:r>
    </w:p>
    <w:p w:rsidR="00191C31" w:rsidRDefault="00191C31" w:rsidP="00191C31">
      <w:pPr>
        <w:pStyle w:val="normal"/>
        <w:numPr>
          <w:ilvl w:val="0"/>
          <w:numId w:val="8"/>
        </w:numPr>
        <w:spacing w:after="0"/>
        <w:rPr>
          <w:rFonts w:ascii="Athiti" w:eastAsia="Athiti" w:hAnsi="Athiti" w:cs="Athiti"/>
          <w:sz w:val="22"/>
          <w:szCs w:val="22"/>
        </w:rPr>
      </w:pPr>
      <w:r>
        <w:rPr>
          <w:rFonts w:ascii="Athiti" w:eastAsia="Athiti" w:hAnsi="Athiti" w:cs="Athiti"/>
          <w:color w:val="444444"/>
        </w:rPr>
        <w:t>počet zaměstnanců, dodavatelů a externích stran, kteří mají roli v ISMS, ale nejsou s tímto dokumentem obeznámeni</w:t>
      </w:r>
    </w:p>
    <w:p w:rsidR="00191C31" w:rsidRDefault="00191C31" w:rsidP="00191C31">
      <w:pPr>
        <w:pStyle w:val="normal"/>
        <w:numPr>
          <w:ilvl w:val="0"/>
          <w:numId w:val="8"/>
        </w:numPr>
        <w:spacing w:after="0"/>
        <w:rPr>
          <w:rFonts w:ascii="Athiti" w:eastAsia="Athiti" w:hAnsi="Athiti" w:cs="Athiti"/>
          <w:sz w:val="22"/>
          <w:szCs w:val="22"/>
        </w:rPr>
      </w:pPr>
      <w:r>
        <w:rPr>
          <w:rFonts w:ascii="Athiti" w:eastAsia="Athiti" w:hAnsi="Athiti" w:cs="Athiti"/>
          <w:color w:val="444444"/>
        </w:rPr>
        <w:t>nesoulad ISMS s právními a regulačními požadavky, smluvními závazky a dalšími interními dokumenty organizace</w:t>
      </w:r>
    </w:p>
    <w:p w:rsidR="00191C31" w:rsidRDefault="00191C31" w:rsidP="00191C31">
      <w:pPr>
        <w:pStyle w:val="normal"/>
        <w:numPr>
          <w:ilvl w:val="0"/>
          <w:numId w:val="8"/>
        </w:numPr>
        <w:spacing w:after="0"/>
        <w:rPr>
          <w:rFonts w:ascii="Athiti" w:eastAsia="Athiti" w:hAnsi="Athiti" w:cs="Athiti"/>
          <w:sz w:val="22"/>
          <w:szCs w:val="22"/>
        </w:rPr>
      </w:pPr>
      <w:r>
        <w:rPr>
          <w:rFonts w:ascii="Athiti" w:eastAsia="Athiti" w:hAnsi="Athiti" w:cs="Athiti"/>
          <w:color w:val="444444"/>
        </w:rPr>
        <w:t>neúčinnost implementace a údržby ISMS</w:t>
      </w:r>
    </w:p>
    <w:p w:rsidR="00191C31" w:rsidRDefault="00191C31" w:rsidP="00191C31">
      <w:pPr>
        <w:pStyle w:val="normal"/>
        <w:numPr>
          <w:ilvl w:val="0"/>
          <w:numId w:val="9"/>
        </w:numPr>
        <w:spacing w:after="240"/>
        <w:rPr>
          <w:rFonts w:ascii="Athiti" w:eastAsia="Athiti" w:hAnsi="Athiti" w:cs="Athiti"/>
        </w:rPr>
      </w:pPr>
      <w:r>
        <w:rPr>
          <w:rFonts w:ascii="Athiti" w:eastAsia="Athiti" w:hAnsi="Athiti" w:cs="Athiti"/>
          <w:color w:val="444444"/>
        </w:rPr>
        <w:t>nejasně definované odpovědnosti za implementaci ISMS</w:t>
      </w:r>
    </w:p>
    <w:p w:rsidR="00191C31" w:rsidRDefault="00191C31" w:rsidP="00191C31">
      <w:pPr>
        <w:pStyle w:val="Nadpis2"/>
        <w:rPr>
          <w:rFonts w:ascii="Athiti" w:eastAsia="Athiti" w:hAnsi="Athiti" w:cs="Athiti"/>
        </w:rPr>
      </w:pPr>
      <w:bookmarkStart w:id="7" w:name="_heading=h.9bhrddit0xft" w:colFirst="0" w:colLast="0"/>
      <w:bookmarkEnd w:id="7"/>
      <w:r>
        <w:rPr>
          <w:rFonts w:ascii="Athiti" w:eastAsia="Athiti" w:hAnsi="Athiti" w:cs="Athiti"/>
        </w:rPr>
        <w:t>2.4 Komunikace politiky</w:t>
      </w:r>
    </w:p>
    <w:p w:rsidR="00191C31" w:rsidRDefault="00191C31" w:rsidP="00191C31">
      <w:pPr>
        <w:pStyle w:val="normal"/>
        <w:spacing w:before="240" w:after="240"/>
        <w:rPr>
          <w:rFonts w:ascii="Athiti" w:eastAsia="Athiti" w:hAnsi="Athiti" w:cs="Athiti"/>
          <w:color w:val="444444"/>
        </w:rPr>
      </w:pPr>
      <w:r>
        <w:rPr>
          <w:rFonts w:ascii="Athiti" w:eastAsia="Athiti" w:hAnsi="Athiti" w:cs="Athiti"/>
          <w:color w:val="444444"/>
        </w:rPr>
        <w:t>Nejnovější schválená verze Politiky musí být interně dostupná všem zaměstnancům a dodavatelům. Dokument může být také distribuován třetím stranám oprávněnými osobami, pokud to bude vyžadováno.</w:t>
      </w:r>
    </w:p>
    <w:p w:rsidR="00191C31" w:rsidRDefault="00191C31" w:rsidP="00191C31">
      <w:pPr>
        <w:pStyle w:val="normal"/>
        <w:spacing w:before="240" w:after="240"/>
        <w:rPr>
          <w:rFonts w:ascii="Athiti" w:eastAsia="Athiti" w:hAnsi="Athiti" w:cs="Athiti"/>
          <w:color w:val="444444"/>
        </w:rPr>
      </w:pPr>
      <w:r>
        <w:rPr>
          <w:rFonts w:ascii="Athiti" w:eastAsia="Athiti" w:hAnsi="Athiti" w:cs="Athiti"/>
          <w:color w:val="444444"/>
        </w:rPr>
        <w:t>Aktualizace Politiky, stejně jako dalších dokumentů souvisejících s bezpečností, budou zaměstnancům a dodavatelům sdělovány prostřednictvím školení zvyšujících povědomí.</w:t>
      </w:r>
    </w:p>
    <w:p w:rsidR="00191C31" w:rsidRDefault="00191C31" w:rsidP="00191C31">
      <w:pPr>
        <w:pStyle w:val="normal"/>
        <w:spacing w:before="240" w:after="240"/>
        <w:rPr>
          <w:rFonts w:ascii="Athiti" w:eastAsia="Athiti" w:hAnsi="Athiti" w:cs="Athiti"/>
          <w:color w:val="444444"/>
        </w:rPr>
      </w:pPr>
      <w:r>
        <w:rPr>
          <w:rFonts w:ascii="Athiti" w:eastAsia="Athiti" w:hAnsi="Athiti" w:cs="Athiti"/>
          <w:color w:val="444444"/>
        </w:rPr>
        <w:t xml:space="preserve">Dotazy týkající se jakékoliv politiky informační bezpečnosti by měly být zasílány týmu informační bezpečnosti prostřednictvím e-mailu na adresu </w:t>
      </w:r>
      <w:r>
        <w:rPr>
          <w:rFonts w:ascii="Athiti" w:eastAsia="Athiti" w:hAnsi="Athiti" w:cs="Athiti"/>
          <w:color w:val="1155CC"/>
          <w:u w:val="single"/>
        </w:rPr>
        <w:t>security@</w:t>
      </w:r>
      <w:r w:rsidR="000A57D4">
        <w:rPr>
          <w:rFonts w:ascii="Athiti" w:eastAsia="Athiti" w:hAnsi="Athiti" w:cs="Athiti"/>
          <w:color w:val="1155CC"/>
          <w:u w:val="single"/>
        </w:rPr>
        <w:t>zman-kesef.eu</w:t>
      </w:r>
      <w:r>
        <w:rPr>
          <w:rFonts w:ascii="Athiti" w:eastAsia="Athiti" w:hAnsi="Athiti" w:cs="Athiti"/>
          <w:color w:val="444444"/>
        </w:rPr>
        <w:t xml:space="preserve">. </w:t>
      </w:r>
    </w:p>
    <w:p w:rsidR="00191C31" w:rsidRDefault="00191C31" w:rsidP="00191C31">
      <w:pPr>
        <w:pStyle w:val="Nadpis1"/>
        <w:rPr>
          <w:rFonts w:ascii="Athiti" w:eastAsia="Athiti" w:hAnsi="Athiti" w:cs="Athiti"/>
        </w:rPr>
      </w:pPr>
      <w:bookmarkStart w:id="8" w:name="_heading=h.g7jhsfmeavys" w:colFirst="0" w:colLast="0"/>
      <w:bookmarkEnd w:id="8"/>
      <w:r>
        <w:rPr>
          <w:rFonts w:ascii="Athiti" w:eastAsia="Athiti" w:hAnsi="Athiti" w:cs="Athiti"/>
        </w:rPr>
        <w:t>3 Řízení informační bezpečnosti</w:t>
      </w:r>
    </w:p>
    <w:p w:rsidR="00191C31" w:rsidRDefault="00191C31" w:rsidP="00191C31">
      <w:pPr>
        <w:pStyle w:val="Nadpis2"/>
        <w:rPr>
          <w:rFonts w:ascii="Athiti" w:eastAsia="Athiti" w:hAnsi="Athiti" w:cs="Athiti"/>
        </w:rPr>
      </w:pPr>
      <w:bookmarkStart w:id="9" w:name="_heading=h.dlhchye3zrwo" w:colFirst="0" w:colLast="0"/>
      <w:bookmarkEnd w:id="9"/>
      <w:r>
        <w:rPr>
          <w:rFonts w:ascii="Athiti" w:eastAsia="Athiti" w:hAnsi="Athiti" w:cs="Athiti"/>
        </w:rPr>
        <w:t>3.1 Zásady informační bezpečnosti</w:t>
      </w:r>
    </w:p>
    <w:p w:rsidR="00191C31" w:rsidRDefault="00191C31" w:rsidP="00191C31">
      <w:pPr>
        <w:pStyle w:val="normal"/>
        <w:spacing w:before="240" w:after="240"/>
        <w:rPr>
          <w:rFonts w:ascii="Athiti" w:eastAsia="Athiti" w:hAnsi="Athiti" w:cs="Athiti"/>
          <w:color w:val="44546A"/>
        </w:rPr>
      </w:pPr>
      <w:r>
        <w:rPr>
          <w:rFonts w:ascii="Athiti" w:eastAsia="Athiti" w:hAnsi="Athiti" w:cs="Athiti"/>
        </w:rPr>
        <w:t>ISMS je založen na následujících principech:</w:t>
      </w:r>
    </w:p>
    <w:tbl>
      <w:tblPr>
        <w:tblW w:w="9015" w:type="dxa"/>
        <w:tblLayout w:type="fixed"/>
        <w:tblLook w:val="0400"/>
      </w:tblPr>
      <w:tblGrid>
        <w:gridCol w:w="2625"/>
        <w:gridCol w:w="6390"/>
      </w:tblGrid>
      <w:tr w:rsidR="00191C31" w:rsidTr="00B97B7A">
        <w:trPr>
          <w:cantSplit/>
          <w:tblHeader/>
        </w:trPr>
        <w:tc>
          <w:tcPr>
            <w:tcW w:w="2625" w:type="dxa"/>
          </w:tcPr>
          <w:p w:rsidR="00191C31" w:rsidRDefault="00191C31" w:rsidP="00B97B7A">
            <w:pPr>
              <w:pStyle w:val="normal"/>
              <w:spacing w:after="240"/>
              <w:jc w:val="left"/>
              <w:rPr>
                <w:rFonts w:ascii="Athiti" w:eastAsia="Athiti" w:hAnsi="Athiti" w:cs="Athiti"/>
                <w:b/>
              </w:rPr>
            </w:pPr>
            <w:r>
              <w:rPr>
                <w:rFonts w:ascii="Athiti" w:eastAsia="Athiti" w:hAnsi="Athiti" w:cs="Athiti"/>
                <w:b/>
              </w:rPr>
              <w:lastRenderedPageBreak/>
              <w:t>Odpovědnost</w:t>
            </w:r>
          </w:p>
        </w:tc>
        <w:tc>
          <w:tcPr>
            <w:tcW w:w="6390" w:type="dxa"/>
          </w:tcPr>
          <w:p w:rsidR="00191C31" w:rsidRDefault="00191C31" w:rsidP="00B97B7A">
            <w:pPr>
              <w:pStyle w:val="normal"/>
              <w:spacing w:after="240"/>
              <w:rPr>
                <w:rFonts w:ascii="Athiti" w:eastAsia="Athiti" w:hAnsi="Athiti" w:cs="Athiti"/>
              </w:rPr>
            </w:pPr>
            <w:r>
              <w:rPr>
                <w:rFonts w:ascii="Athiti" w:eastAsia="Athiti" w:hAnsi="Athiti" w:cs="Athiti"/>
              </w:rPr>
              <w:t>Zaměstnanci, dodavatelé a třetí strany jsou osobně odpovědní za informační bezpečnost.</w:t>
            </w:r>
          </w:p>
        </w:tc>
      </w:tr>
      <w:tr w:rsidR="00191C31" w:rsidTr="00B97B7A">
        <w:trPr>
          <w:cantSplit/>
          <w:tblHeader/>
        </w:trPr>
        <w:tc>
          <w:tcPr>
            <w:tcW w:w="2625" w:type="dxa"/>
          </w:tcPr>
          <w:p w:rsidR="00191C31" w:rsidRDefault="00191C31" w:rsidP="00B97B7A">
            <w:pPr>
              <w:pStyle w:val="normal"/>
              <w:spacing w:after="240"/>
              <w:jc w:val="left"/>
              <w:rPr>
                <w:rFonts w:ascii="Athiti" w:eastAsia="Athiti" w:hAnsi="Athiti" w:cs="Athiti"/>
                <w:b/>
              </w:rPr>
            </w:pPr>
            <w:r>
              <w:rPr>
                <w:rFonts w:ascii="Athiti" w:eastAsia="Athiti" w:hAnsi="Athiti" w:cs="Athiti"/>
                <w:b/>
              </w:rPr>
              <w:t>Povědomí</w:t>
            </w:r>
          </w:p>
        </w:tc>
        <w:tc>
          <w:tcPr>
            <w:tcW w:w="6390" w:type="dxa"/>
          </w:tcPr>
          <w:p w:rsidR="00191C31" w:rsidRDefault="00191C31" w:rsidP="00B97B7A">
            <w:pPr>
              <w:pStyle w:val="normal"/>
              <w:spacing w:after="240"/>
              <w:rPr>
                <w:rFonts w:ascii="Athiti" w:eastAsia="Athiti" w:hAnsi="Athiti" w:cs="Athiti"/>
              </w:rPr>
            </w:pPr>
            <w:r>
              <w:rPr>
                <w:rFonts w:ascii="Athiti" w:eastAsia="Athiti" w:hAnsi="Athiti" w:cs="Athiti"/>
              </w:rPr>
              <w:t>Mezi zaměstnanci a dodavateli musí být podporována kultura povědomí o bezpečnosti. Měla by být poskytována školení, která jim pomohou rozpoznat a reagovat na bezpečnostní hrozby.</w:t>
            </w:r>
          </w:p>
        </w:tc>
      </w:tr>
      <w:tr w:rsidR="00191C31" w:rsidTr="00B97B7A">
        <w:trPr>
          <w:cantSplit/>
          <w:tblHeader/>
        </w:trPr>
        <w:tc>
          <w:tcPr>
            <w:tcW w:w="2625" w:type="dxa"/>
          </w:tcPr>
          <w:p w:rsidR="00191C31" w:rsidRDefault="00191C31" w:rsidP="00B97B7A">
            <w:pPr>
              <w:pStyle w:val="normal"/>
              <w:spacing w:after="240"/>
              <w:jc w:val="left"/>
              <w:rPr>
                <w:rFonts w:ascii="Athiti" w:eastAsia="Athiti" w:hAnsi="Athiti" w:cs="Athiti"/>
                <w:b/>
              </w:rPr>
            </w:pPr>
            <w:r>
              <w:rPr>
                <w:rFonts w:ascii="Athiti" w:eastAsia="Athiti" w:hAnsi="Athiti" w:cs="Athiti"/>
                <w:b/>
              </w:rPr>
              <w:t>Bezpečnost již v návrhu</w:t>
            </w:r>
          </w:p>
        </w:tc>
        <w:tc>
          <w:tcPr>
            <w:tcW w:w="6390" w:type="dxa"/>
          </w:tcPr>
          <w:p w:rsidR="00191C31" w:rsidRDefault="00191C31" w:rsidP="00B97B7A">
            <w:pPr>
              <w:pStyle w:val="normal"/>
              <w:spacing w:after="240"/>
              <w:rPr>
                <w:rFonts w:ascii="Athiti" w:eastAsia="Athiti" w:hAnsi="Athiti" w:cs="Athiti"/>
              </w:rPr>
            </w:pPr>
            <w:r>
              <w:rPr>
                <w:rFonts w:ascii="Athiti" w:eastAsia="Athiti" w:hAnsi="Athiti" w:cs="Athiti"/>
              </w:rPr>
              <w:t>Bezpečnostní aspekty musí být integrovány během celého životního cyklu vývoje softwaru a nasazení systémů.</w:t>
            </w:r>
          </w:p>
        </w:tc>
      </w:tr>
      <w:tr w:rsidR="00191C31" w:rsidTr="00B97B7A">
        <w:trPr>
          <w:cantSplit/>
          <w:tblHeader/>
        </w:trPr>
        <w:tc>
          <w:tcPr>
            <w:tcW w:w="2625" w:type="dxa"/>
          </w:tcPr>
          <w:p w:rsidR="00191C31" w:rsidRDefault="00191C31" w:rsidP="00B97B7A">
            <w:pPr>
              <w:pStyle w:val="normal"/>
              <w:spacing w:after="240"/>
              <w:jc w:val="left"/>
              <w:rPr>
                <w:rFonts w:ascii="Athiti" w:eastAsia="Athiti" w:hAnsi="Athiti" w:cs="Athiti"/>
                <w:b/>
              </w:rPr>
            </w:pPr>
            <w:r>
              <w:rPr>
                <w:rFonts w:ascii="Athiti" w:eastAsia="Athiti" w:hAnsi="Athiti" w:cs="Athiti"/>
                <w:b/>
              </w:rPr>
              <w:t>Obrana do hloubky</w:t>
            </w:r>
          </w:p>
        </w:tc>
        <w:tc>
          <w:tcPr>
            <w:tcW w:w="6390" w:type="dxa"/>
          </w:tcPr>
          <w:p w:rsidR="00191C31" w:rsidRDefault="00191C31" w:rsidP="00B97B7A">
            <w:pPr>
              <w:pStyle w:val="normal"/>
              <w:spacing w:after="240"/>
              <w:rPr>
                <w:rFonts w:ascii="Athiti" w:eastAsia="Athiti" w:hAnsi="Athiti" w:cs="Athiti"/>
              </w:rPr>
            </w:pPr>
            <w:r>
              <w:rPr>
                <w:rFonts w:ascii="Athiti" w:eastAsia="Athiti" w:hAnsi="Athiti" w:cs="Athiti"/>
              </w:rPr>
              <w:t>Bezpečnostní opatření je třeba zavést na různých úrovních a zahrnout přitom záměrné redundance. To zajistí, že v případě selhání jednoho obranného mechanismu existuje alternativní kontrola, která dokáže odvrátit potenciální útok.</w:t>
            </w:r>
          </w:p>
        </w:tc>
      </w:tr>
      <w:tr w:rsidR="00191C31" w:rsidTr="00B97B7A">
        <w:trPr>
          <w:cantSplit/>
          <w:trHeight w:val="270"/>
          <w:tblHeader/>
        </w:trPr>
        <w:tc>
          <w:tcPr>
            <w:tcW w:w="2625" w:type="dxa"/>
          </w:tcPr>
          <w:p w:rsidR="00191C31" w:rsidRDefault="00191C31" w:rsidP="00B97B7A">
            <w:pPr>
              <w:pStyle w:val="normal"/>
              <w:spacing w:after="240"/>
              <w:rPr>
                <w:rFonts w:ascii="Athiti" w:eastAsia="Athiti" w:hAnsi="Athiti" w:cs="Athiti"/>
                <w:b/>
              </w:rPr>
            </w:pPr>
            <w:r>
              <w:rPr>
                <w:rFonts w:ascii="Athiti" w:eastAsia="Athiti" w:hAnsi="Athiti" w:cs="Athiti"/>
                <w:b/>
              </w:rPr>
              <w:t>Nejméně výsad</w:t>
            </w:r>
          </w:p>
        </w:tc>
        <w:tc>
          <w:tcPr>
            <w:tcW w:w="6390" w:type="dxa"/>
          </w:tcPr>
          <w:p w:rsidR="00191C31" w:rsidRDefault="00191C31" w:rsidP="00B97B7A">
            <w:pPr>
              <w:pStyle w:val="normal"/>
              <w:spacing w:after="240"/>
              <w:rPr>
                <w:rFonts w:ascii="Athiti" w:eastAsia="Athiti" w:hAnsi="Athiti" w:cs="Athiti"/>
              </w:rPr>
            </w:pPr>
            <w:r>
              <w:rPr>
                <w:rFonts w:ascii="Athiti" w:eastAsia="Athiti" w:hAnsi="Athiti" w:cs="Athiti"/>
              </w:rPr>
              <w:t>Zaměstnanci a dodavatelé obdrží pouze ta přístupová práva, která jsou nezbytná pro výkon jejich povinností.</w:t>
            </w:r>
          </w:p>
        </w:tc>
      </w:tr>
      <w:tr w:rsidR="00191C31" w:rsidTr="00B97B7A">
        <w:trPr>
          <w:cantSplit/>
          <w:tblHeader/>
        </w:trPr>
        <w:tc>
          <w:tcPr>
            <w:tcW w:w="2625" w:type="dxa"/>
          </w:tcPr>
          <w:p w:rsidR="00191C31" w:rsidRDefault="00191C31" w:rsidP="00B97B7A">
            <w:pPr>
              <w:pStyle w:val="normal"/>
              <w:spacing w:after="240"/>
              <w:rPr>
                <w:rFonts w:ascii="Athiti" w:eastAsia="Athiti" w:hAnsi="Athiti" w:cs="Athiti"/>
                <w:b/>
              </w:rPr>
            </w:pPr>
            <w:r>
              <w:rPr>
                <w:rFonts w:ascii="Athiti" w:eastAsia="Athiti" w:hAnsi="Athiti" w:cs="Athiti"/>
                <w:b/>
              </w:rPr>
              <w:t>Nepřetržité zlepšování</w:t>
            </w:r>
          </w:p>
        </w:tc>
        <w:tc>
          <w:tcPr>
            <w:tcW w:w="6390" w:type="dxa"/>
          </w:tcPr>
          <w:p w:rsidR="00191C31" w:rsidRDefault="00191C31" w:rsidP="00B97B7A">
            <w:pPr>
              <w:pStyle w:val="normal"/>
              <w:spacing w:after="240"/>
              <w:rPr>
                <w:rFonts w:ascii="Athiti" w:eastAsia="Athiti" w:hAnsi="Athiti" w:cs="Athiti"/>
              </w:rPr>
            </w:pPr>
            <w:r>
              <w:rPr>
                <w:rFonts w:ascii="Athiti" w:eastAsia="Athiti" w:hAnsi="Athiti" w:cs="Athiti"/>
              </w:rPr>
              <w:t>Společnost bude udržovat proaktivní přístup vůči hrozbám, bude agilní ve svých bezpečnostních strategiích a zajistí, že bezpečnostní opatření zůstanou účinná v neustále se měnícím prostředí.</w:t>
            </w:r>
          </w:p>
        </w:tc>
      </w:tr>
      <w:tr w:rsidR="00191C31" w:rsidTr="00B97B7A">
        <w:trPr>
          <w:cantSplit/>
          <w:tblHeader/>
        </w:trPr>
        <w:tc>
          <w:tcPr>
            <w:tcW w:w="2625" w:type="dxa"/>
          </w:tcPr>
          <w:p w:rsidR="00191C31" w:rsidRDefault="00191C31" w:rsidP="00B97B7A">
            <w:pPr>
              <w:pStyle w:val="normal"/>
              <w:spacing w:after="240"/>
              <w:jc w:val="left"/>
              <w:rPr>
                <w:rFonts w:ascii="Athiti" w:eastAsia="Athiti" w:hAnsi="Athiti" w:cs="Athiti"/>
                <w:b/>
              </w:rPr>
            </w:pPr>
            <w:r>
              <w:rPr>
                <w:rFonts w:ascii="Athiti" w:eastAsia="Athiti" w:hAnsi="Athiti" w:cs="Athiti"/>
                <w:b/>
              </w:rPr>
              <w:t>Soulad s předpisy</w:t>
            </w:r>
          </w:p>
        </w:tc>
        <w:tc>
          <w:tcPr>
            <w:tcW w:w="6390" w:type="dxa"/>
          </w:tcPr>
          <w:p w:rsidR="00191C31" w:rsidRDefault="00191C31" w:rsidP="00B97B7A">
            <w:pPr>
              <w:pStyle w:val="normal"/>
              <w:spacing w:after="240"/>
              <w:rPr>
                <w:rFonts w:ascii="Athiti" w:eastAsia="Athiti" w:hAnsi="Athiti" w:cs="Athiti"/>
              </w:rPr>
            </w:pPr>
            <w:r>
              <w:rPr>
                <w:rFonts w:ascii="Athiti" w:eastAsia="Athiti" w:hAnsi="Athiti" w:cs="Athiti"/>
              </w:rPr>
              <w:t>Přístupy k zavedení a udržování ISMS musí být v souladu s relevantními předpisy, normami a právními požadavky vztahujícími se k informační bezpečnosti, ochraně dat a ochraně soukromí.</w:t>
            </w:r>
          </w:p>
        </w:tc>
      </w:tr>
    </w:tbl>
    <w:p w:rsidR="00191C31" w:rsidRDefault="00191C31" w:rsidP="00191C31">
      <w:pPr>
        <w:pStyle w:val="normal"/>
        <w:spacing w:before="240" w:after="240"/>
        <w:rPr>
          <w:rFonts w:ascii="Athiti" w:eastAsia="Athiti" w:hAnsi="Athiti" w:cs="Athiti"/>
        </w:rPr>
      </w:pPr>
    </w:p>
    <w:p w:rsidR="00191C31" w:rsidRDefault="00191C31" w:rsidP="00191C31">
      <w:pPr>
        <w:pStyle w:val="Nadpis2"/>
        <w:rPr>
          <w:rFonts w:ascii="Athiti" w:eastAsia="Athiti" w:hAnsi="Athiti" w:cs="Athiti"/>
        </w:rPr>
      </w:pPr>
      <w:bookmarkStart w:id="10" w:name="_heading=h.gsfkup2g9uu7" w:colFirst="0" w:colLast="0"/>
      <w:bookmarkEnd w:id="10"/>
      <w:r>
        <w:rPr>
          <w:rFonts w:ascii="Athiti" w:eastAsia="Athiti" w:hAnsi="Athiti" w:cs="Athiti"/>
        </w:rPr>
        <w:t>3.2 Odpovědnosti</w:t>
      </w:r>
    </w:p>
    <w:p w:rsidR="00191C31" w:rsidRDefault="00191C31" w:rsidP="00191C31">
      <w:pPr>
        <w:pStyle w:val="normal"/>
        <w:spacing w:before="240" w:after="240"/>
        <w:rPr>
          <w:rFonts w:ascii="Athiti" w:eastAsia="Athiti" w:hAnsi="Athiti" w:cs="Athiti"/>
        </w:rPr>
      </w:pPr>
      <w:r>
        <w:rPr>
          <w:rFonts w:ascii="Athiti" w:eastAsia="Athiti" w:hAnsi="Athiti" w:cs="Athiti"/>
        </w:rPr>
        <w:t>V rámci procesu řízení informační bezpečnosti ve Společnosti jsou definovány následující role:</w:t>
      </w:r>
    </w:p>
    <w:p w:rsidR="00191C31" w:rsidRDefault="00191C31" w:rsidP="00191C31">
      <w:pPr>
        <w:pStyle w:val="normal"/>
        <w:numPr>
          <w:ilvl w:val="0"/>
          <w:numId w:val="10"/>
        </w:numPr>
        <w:spacing w:before="240" w:after="240"/>
        <w:rPr>
          <w:rFonts w:ascii="Athiti" w:eastAsia="Athiti" w:hAnsi="Athiti" w:cs="Athiti"/>
        </w:rPr>
      </w:pPr>
      <w:r>
        <w:rPr>
          <w:rFonts w:ascii="Athiti" w:eastAsia="Athiti" w:hAnsi="Athiti" w:cs="Athiti"/>
        </w:rPr>
        <w:t>Vrcholové vedení a Výbor pro informační bezpečnost</w:t>
      </w:r>
    </w:p>
    <w:p w:rsidR="00191C31" w:rsidRDefault="00191C31" w:rsidP="00191C31">
      <w:pPr>
        <w:pStyle w:val="normal"/>
        <w:numPr>
          <w:ilvl w:val="1"/>
          <w:numId w:val="10"/>
        </w:numPr>
        <w:spacing w:after="0"/>
        <w:rPr>
          <w:rFonts w:ascii="Athiti" w:eastAsia="Athiti" w:hAnsi="Athiti" w:cs="Athiti"/>
        </w:rPr>
      </w:pPr>
      <w:r>
        <w:rPr>
          <w:rFonts w:ascii="Athiti" w:eastAsia="Athiti" w:hAnsi="Athiti" w:cs="Athiti"/>
        </w:rPr>
        <w:t>provádí obecnou koordinaci procesů informační bezpečnosti</w:t>
      </w:r>
    </w:p>
    <w:p w:rsidR="00191C31" w:rsidRDefault="00191C31" w:rsidP="00191C31">
      <w:pPr>
        <w:pStyle w:val="normal"/>
        <w:numPr>
          <w:ilvl w:val="1"/>
          <w:numId w:val="10"/>
        </w:numPr>
        <w:spacing w:after="0"/>
        <w:rPr>
          <w:rFonts w:ascii="Athiti" w:eastAsia="Athiti" w:hAnsi="Athiti" w:cs="Athiti"/>
        </w:rPr>
      </w:pPr>
      <w:r>
        <w:rPr>
          <w:rFonts w:ascii="Athiti" w:eastAsia="Athiti" w:hAnsi="Athiti" w:cs="Athiti"/>
        </w:rPr>
        <w:t>zajišťuje, že program informační bezpečnosti je v souladu s obchodními cíli</w:t>
      </w:r>
    </w:p>
    <w:p w:rsidR="00191C31" w:rsidRDefault="00191C31" w:rsidP="00191C31">
      <w:pPr>
        <w:pStyle w:val="normal"/>
        <w:numPr>
          <w:ilvl w:val="1"/>
          <w:numId w:val="10"/>
        </w:numPr>
        <w:spacing w:after="0"/>
        <w:rPr>
          <w:rFonts w:ascii="Athiti" w:eastAsia="Athiti" w:hAnsi="Athiti" w:cs="Athiti"/>
        </w:rPr>
      </w:pPr>
      <w:r>
        <w:rPr>
          <w:rFonts w:ascii="Athiti" w:eastAsia="Athiti" w:hAnsi="Athiti" w:cs="Athiti"/>
        </w:rPr>
        <w:t>rozhoduje o přijetí reziduálních rizik</w:t>
      </w:r>
    </w:p>
    <w:p w:rsidR="00191C31" w:rsidRDefault="00191C31" w:rsidP="00191C31">
      <w:pPr>
        <w:pStyle w:val="normal"/>
        <w:numPr>
          <w:ilvl w:val="1"/>
          <w:numId w:val="10"/>
        </w:numPr>
        <w:spacing w:after="0"/>
        <w:rPr>
          <w:rFonts w:ascii="Athiti" w:eastAsia="Athiti" w:hAnsi="Athiti" w:cs="Athiti"/>
        </w:rPr>
      </w:pPr>
      <w:r>
        <w:rPr>
          <w:rFonts w:ascii="Athiti" w:eastAsia="Athiti" w:hAnsi="Athiti" w:cs="Athiti"/>
        </w:rPr>
        <w:t>přiděluje zdroje potřebné k zajištění informační bezpečnosti</w:t>
      </w:r>
    </w:p>
    <w:p w:rsidR="00191C31" w:rsidRDefault="00191C31" w:rsidP="00191C31">
      <w:pPr>
        <w:pStyle w:val="normal"/>
        <w:numPr>
          <w:ilvl w:val="0"/>
          <w:numId w:val="10"/>
        </w:numPr>
        <w:spacing w:after="0"/>
        <w:rPr>
          <w:rFonts w:ascii="Athiti" w:eastAsia="Athiti" w:hAnsi="Athiti" w:cs="Athiti"/>
        </w:rPr>
      </w:pPr>
      <w:r>
        <w:rPr>
          <w:rFonts w:ascii="Athiti" w:eastAsia="Athiti" w:hAnsi="Athiti" w:cs="Athiti"/>
        </w:rPr>
        <w:t>CISO</w:t>
      </w:r>
    </w:p>
    <w:p w:rsidR="00191C31" w:rsidRDefault="00191C31" w:rsidP="00191C31">
      <w:pPr>
        <w:pStyle w:val="normal"/>
        <w:numPr>
          <w:ilvl w:val="1"/>
          <w:numId w:val="10"/>
        </w:numPr>
        <w:spacing w:after="0"/>
        <w:rPr>
          <w:rFonts w:ascii="Athiti" w:eastAsia="Athiti" w:hAnsi="Athiti" w:cs="Athiti"/>
        </w:rPr>
      </w:pPr>
      <w:r>
        <w:rPr>
          <w:rFonts w:ascii="Athiti" w:eastAsia="Athiti" w:hAnsi="Athiti" w:cs="Athiti"/>
        </w:rPr>
        <w:t>definuje strategii informační bezpečnosti a stanovuje cíle informační bezpečnosti</w:t>
      </w:r>
    </w:p>
    <w:p w:rsidR="00191C31" w:rsidRDefault="00191C31" w:rsidP="00191C31">
      <w:pPr>
        <w:pStyle w:val="normal"/>
        <w:numPr>
          <w:ilvl w:val="1"/>
          <w:numId w:val="10"/>
        </w:numPr>
        <w:spacing w:after="0"/>
        <w:rPr>
          <w:rFonts w:ascii="Athiti" w:eastAsia="Athiti" w:hAnsi="Athiti" w:cs="Athiti"/>
        </w:rPr>
      </w:pPr>
      <w:r>
        <w:rPr>
          <w:rFonts w:ascii="Athiti" w:eastAsia="Athiti" w:hAnsi="Athiti" w:cs="Athiti"/>
        </w:rPr>
        <w:t>zajišťuje implementaci a udržování ISMS v souladu s touto Politikou a dostupnost všech nezbytných zdrojů</w:t>
      </w:r>
    </w:p>
    <w:p w:rsidR="00191C31" w:rsidRDefault="00191C31" w:rsidP="00191C31">
      <w:pPr>
        <w:pStyle w:val="normal"/>
        <w:numPr>
          <w:ilvl w:val="1"/>
          <w:numId w:val="10"/>
        </w:numPr>
        <w:spacing w:after="0"/>
        <w:rPr>
          <w:rFonts w:ascii="Athiti" w:eastAsia="Athiti" w:hAnsi="Athiti" w:cs="Athiti"/>
        </w:rPr>
      </w:pPr>
      <w:r>
        <w:rPr>
          <w:rFonts w:ascii="Athiti" w:eastAsia="Athiti" w:hAnsi="Athiti" w:cs="Athiti"/>
        </w:rPr>
        <w:t>koordinuje reakce na narušení důvěrnosti, integrity nebo dostupnosti aktiv</w:t>
      </w:r>
    </w:p>
    <w:p w:rsidR="00191C31" w:rsidRDefault="00191C31" w:rsidP="00191C31">
      <w:pPr>
        <w:pStyle w:val="normal"/>
        <w:numPr>
          <w:ilvl w:val="1"/>
          <w:numId w:val="10"/>
        </w:numPr>
        <w:spacing w:after="0"/>
        <w:rPr>
          <w:rFonts w:ascii="Athiti" w:eastAsia="Athiti" w:hAnsi="Athiti" w:cs="Athiti"/>
        </w:rPr>
      </w:pPr>
      <w:r>
        <w:rPr>
          <w:rFonts w:ascii="Athiti" w:eastAsia="Athiti" w:hAnsi="Athiti" w:cs="Athiti"/>
        </w:rPr>
        <w:lastRenderedPageBreak/>
        <w:t>určuje, jaké informace týkající se informační bezpečnosti budou komunikovány kterým zainteresovaným stranám (interním i externím), kým a kdy</w:t>
      </w:r>
    </w:p>
    <w:p w:rsidR="00191C31" w:rsidRDefault="00191C31" w:rsidP="00191C31">
      <w:pPr>
        <w:pStyle w:val="normal"/>
        <w:numPr>
          <w:ilvl w:val="0"/>
          <w:numId w:val="10"/>
        </w:numPr>
        <w:spacing w:after="0"/>
        <w:rPr>
          <w:rFonts w:ascii="Athiti" w:eastAsia="Athiti" w:hAnsi="Athiti" w:cs="Athiti"/>
        </w:rPr>
      </w:pPr>
      <w:r>
        <w:rPr>
          <w:rFonts w:ascii="Athiti" w:eastAsia="Athiti" w:hAnsi="Athiti" w:cs="Athiti"/>
        </w:rPr>
        <w:t>Tým informační bezpečnosti (IS Tým)</w:t>
      </w:r>
    </w:p>
    <w:p w:rsidR="00191C31" w:rsidRDefault="00191C31" w:rsidP="00191C31">
      <w:pPr>
        <w:pStyle w:val="normal"/>
        <w:numPr>
          <w:ilvl w:val="1"/>
          <w:numId w:val="10"/>
        </w:numPr>
        <w:spacing w:after="0"/>
        <w:rPr>
          <w:rFonts w:ascii="Athiti" w:eastAsia="Athiti" w:hAnsi="Athiti" w:cs="Athiti"/>
        </w:rPr>
      </w:pPr>
      <w:r>
        <w:rPr>
          <w:rFonts w:ascii="Athiti" w:eastAsia="Athiti" w:hAnsi="Athiti" w:cs="Athiti"/>
        </w:rPr>
        <w:t>implementuje, udržuje a řeší problémy s bezpečnostními řešeními</w:t>
      </w:r>
    </w:p>
    <w:p w:rsidR="00191C31" w:rsidRDefault="00191C31" w:rsidP="00191C31">
      <w:pPr>
        <w:pStyle w:val="normal"/>
        <w:numPr>
          <w:ilvl w:val="1"/>
          <w:numId w:val="10"/>
        </w:numPr>
        <w:spacing w:after="0"/>
        <w:rPr>
          <w:rFonts w:ascii="Athiti" w:eastAsia="Athiti" w:hAnsi="Athiti" w:cs="Athiti"/>
        </w:rPr>
      </w:pPr>
      <w:r>
        <w:rPr>
          <w:rFonts w:ascii="Athiti" w:eastAsia="Athiti" w:hAnsi="Athiti" w:cs="Athiti"/>
        </w:rPr>
        <w:t>provádí zpevnění (hardening) informačních systémů</w:t>
      </w:r>
    </w:p>
    <w:p w:rsidR="00191C31" w:rsidRDefault="00191C31" w:rsidP="00191C31">
      <w:pPr>
        <w:pStyle w:val="normal"/>
        <w:numPr>
          <w:ilvl w:val="1"/>
          <w:numId w:val="10"/>
        </w:numPr>
        <w:spacing w:after="0"/>
        <w:rPr>
          <w:rFonts w:ascii="Athiti" w:eastAsia="Athiti" w:hAnsi="Athiti" w:cs="Athiti"/>
        </w:rPr>
      </w:pPr>
      <w:r>
        <w:rPr>
          <w:rFonts w:ascii="Athiti" w:eastAsia="Athiti" w:hAnsi="Athiti" w:cs="Athiti"/>
        </w:rPr>
        <w:t>kontinuálně monitoruje události informační bezpečnosti</w:t>
      </w:r>
    </w:p>
    <w:p w:rsidR="00191C31" w:rsidRDefault="00191C31" w:rsidP="00191C31">
      <w:pPr>
        <w:pStyle w:val="normal"/>
        <w:numPr>
          <w:ilvl w:val="0"/>
          <w:numId w:val="10"/>
        </w:numPr>
        <w:spacing w:after="0"/>
        <w:rPr>
          <w:rFonts w:ascii="Athiti" w:eastAsia="Athiti" w:hAnsi="Athiti" w:cs="Athiti"/>
        </w:rPr>
      </w:pPr>
      <w:r>
        <w:rPr>
          <w:rFonts w:ascii="Athiti" w:eastAsia="Athiti" w:hAnsi="Athiti" w:cs="Athiti"/>
        </w:rPr>
        <w:t>Vlastník aktiva</w:t>
      </w:r>
    </w:p>
    <w:p w:rsidR="00191C31" w:rsidRDefault="00191C31" w:rsidP="00191C31">
      <w:pPr>
        <w:pStyle w:val="normal"/>
        <w:numPr>
          <w:ilvl w:val="1"/>
          <w:numId w:val="10"/>
        </w:numPr>
        <w:spacing w:after="0"/>
        <w:rPr>
          <w:rFonts w:ascii="Athiti" w:eastAsia="Athiti" w:hAnsi="Athiti" w:cs="Athiti"/>
        </w:rPr>
      </w:pPr>
      <w:r>
        <w:rPr>
          <w:rFonts w:ascii="Athiti" w:eastAsia="Athiti" w:hAnsi="Athiti" w:cs="Athiti"/>
        </w:rPr>
        <w:t>definuje a přezkoumává přístupová práva k aktivům</w:t>
      </w:r>
    </w:p>
    <w:p w:rsidR="00191C31" w:rsidRDefault="00191C31" w:rsidP="00191C31">
      <w:pPr>
        <w:pStyle w:val="normal"/>
        <w:numPr>
          <w:ilvl w:val="1"/>
          <w:numId w:val="10"/>
        </w:numPr>
        <w:spacing w:after="0"/>
        <w:rPr>
          <w:rFonts w:ascii="Athiti" w:eastAsia="Athiti" w:hAnsi="Athiti" w:cs="Athiti"/>
        </w:rPr>
      </w:pPr>
      <w:r>
        <w:rPr>
          <w:rFonts w:ascii="Athiti" w:eastAsia="Athiti" w:hAnsi="Athiti" w:cs="Athiti"/>
        </w:rPr>
        <w:t>hlásí bezpečnostní rizika a jejich dopad na aktiva</w:t>
      </w:r>
    </w:p>
    <w:p w:rsidR="00191C31" w:rsidRDefault="00191C31" w:rsidP="00191C31">
      <w:pPr>
        <w:pStyle w:val="normal"/>
        <w:numPr>
          <w:ilvl w:val="1"/>
          <w:numId w:val="10"/>
        </w:numPr>
        <w:spacing w:after="0"/>
        <w:rPr>
          <w:rFonts w:ascii="Athiti" w:eastAsia="Athiti" w:hAnsi="Athiti" w:cs="Athiti"/>
        </w:rPr>
      </w:pPr>
      <w:r>
        <w:rPr>
          <w:rFonts w:ascii="Athiti" w:eastAsia="Athiti" w:hAnsi="Athiti" w:cs="Athiti"/>
        </w:rPr>
        <w:t>zajišťuje řádné zabezpečení aktiv a že implementovaná bezpečnostní opatření jsou dostatečná k ochraně důvěrnosti, integrity a dostupnosti aktiv</w:t>
      </w:r>
    </w:p>
    <w:p w:rsidR="00191C31" w:rsidRDefault="00191C31" w:rsidP="00191C31">
      <w:pPr>
        <w:pStyle w:val="normal"/>
        <w:numPr>
          <w:ilvl w:val="0"/>
          <w:numId w:val="10"/>
        </w:numPr>
        <w:spacing w:after="0"/>
        <w:rPr>
          <w:rFonts w:ascii="Athiti" w:eastAsia="Athiti" w:hAnsi="Athiti" w:cs="Athiti"/>
        </w:rPr>
      </w:pPr>
      <w:r>
        <w:rPr>
          <w:rFonts w:ascii="Athiti" w:eastAsia="Athiti" w:hAnsi="Athiti" w:cs="Athiti"/>
        </w:rPr>
        <w:t>Uživatel aktiva</w:t>
      </w:r>
    </w:p>
    <w:p w:rsidR="00191C31" w:rsidRDefault="00191C31" w:rsidP="00191C31">
      <w:pPr>
        <w:pStyle w:val="normal"/>
        <w:numPr>
          <w:ilvl w:val="1"/>
          <w:numId w:val="10"/>
        </w:numPr>
        <w:spacing w:after="0"/>
        <w:rPr>
          <w:rFonts w:ascii="Athiti" w:eastAsia="Athiti" w:hAnsi="Athiti" w:cs="Athiti"/>
        </w:rPr>
      </w:pPr>
      <w:r>
        <w:rPr>
          <w:rFonts w:ascii="Athiti" w:eastAsia="Athiti" w:hAnsi="Athiti" w:cs="Athiti"/>
        </w:rPr>
        <w:t>dodržuje politiky, směrnice a postupy informační bezpečnosti společnosti</w:t>
      </w:r>
    </w:p>
    <w:p w:rsidR="00191C31" w:rsidRDefault="00191C31" w:rsidP="00191C31">
      <w:pPr>
        <w:pStyle w:val="normal"/>
        <w:numPr>
          <w:ilvl w:val="1"/>
          <w:numId w:val="10"/>
        </w:numPr>
        <w:spacing w:after="240"/>
        <w:rPr>
          <w:rFonts w:ascii="Athiti" w:eastAsia="Athiti" w:hAnsi="Athiti" w:cs="Athiti"/>
        </w:rPr>
      </w:pPr>
      <w:r>
        <w:rPr>
          <w:rFonts w:ascii="Athiti" w:eastAsia="Athiti" w:hAnsi="Athiti" w:cs="Athiti"/>
        </w:rPr>
        <w:t>hlásí skutečné nebo podezřelé bezpečnostní zranitelnosti, porušení nebo incidenty svému nadřízenému nebo IS týmu</w:t>
      </w:r>
    </w:p>
    <w:p w:rsidR="00191C31" w:rsidRDefault="00191C31" w:rsidP="00191C31">
      <w:pPr>
        <w:pStyle w:val="normal"/>
        <w:spacing w:after="200"/>
        <w:rPr>
          <w:rFonts w:ascii="Athiti" w:eastAsia="Athiti" w:hAnsi="Athiti" w:cs="Athiti"/>
        </w:rPr>
      </w:pPr>
      <w:r>
        <w:rPr>
          <w:rFonts w:ascii="Athiti" w:eastAsia="Athiti" w:hAnsi="Athiti" w:cs="Athiti"/>
        </w:rPr>
        <w:t>Politiky uvedené v tomto dokumentu a v sadě podpůrných politik uvedených v Tabulce 1 byly přezkoumány a schváleny vrcholovým vedením společnosti Společnost a je nutné je dodržovat.</w:t>
      </w:r>
    </w:p>
    <w:p w:rsidR="00191C31" w:rsidRDefault="00191C31" w:rsidP="00191C31">
      <w:pPr>
        <w:pStyle w:val="normal"/>
        <w:spacing w:after="200"/>
        <w:rPr>
          <w:rFonts w:ascii="Athiti" w:eastAsia="Athiti" w:hAnsi="Athiti" w:cs="Athiti"/>
        </w:rPr>
      </w:pPr>
      <w:r>
        <w:rPr>
          <w:rFonts w:ascii="Athiti" w:eastAsia="Athiti" w:hAnsi="Athiti" w:cs="Athiti"/>
        </w:rPr>
        <w:t>Porušení této Politiky může vést k sankcím pro uživatele, včetně ztráty přístupových práv, disciplinárních opatření, pozastavení, ukončení smlouvy a/nebo právních kroků.</w:t>
      </w:r>
    </w:p>
    <w:p w:rsidR="00191C31" w:rsidRDefault="00191C31" w:rsidP="00191C31">
      <w:pPr>
        <w:pStyle w:val="Nadpis2"/>
        <w:rPr>
          <w:rFonts w:ascii="Athiti" w:eastAsia="Athiti" w:hAnsi="Athiti" w:cs="Athiti"/>
        </w:rPr>
      </w:pPr>
      <w:bookmarkStart w:id="11" w:name="_heading=h.ckfli4ibkg0v" w:colFirst="0" w:colLast="0"/>
      <w:bookmarkEnd w:id="11"/>
      <w:r>
        <w:rPr>
          <w:rFonts w:ascii="Athiti" w:eastAsia="Athiti" w:hAnsi="Athiti" w:cs="Athiti"/>
        </w:rPr>
        <w:t>3.3 Požadavky na informační bezpečnost</w:t>
      </w:r>
    </w:p>
    <w:p w:rsidR="00191C31" w:rsidRDefault="00191C31" w:rsidP="00191C31">
      <w:pPr>
        <w:pStyle w:val="normal"/>
        <w:spacing w:before="240" w:after="240"/>
        <w:rPr>
          <w:rFonts w:ascii="Athiti" w:eastAsia="Athiti" w:hAnsi="Athiti" w:cs="Athiti"/>
          <w:color w:val="444444"/>
        </w:rPr>
      </w:pPr>
      <w:r>
        <w:rPr>
          <w:rFonts w:ascii="Athiti" w:eastAsia="Athiti" w:hAnsi="Athiti" w:cs="Athiti"/>
          <w:color w:val="444444"/>
        </w:rPr>
        <w:t xml:space="preserve">Tato Politika a celý </w:t>
      </w:r>
      <w:r>
        <w:rPr>
          <w:rFonts w:ascii="Athiti" w:eastAsia="Athiti" w:hAnsi="Athiti" w:cs="Athiti"/>
          <w:b/>
          <w:color w:val="444444"/>
        </w:rPr>
        <w:t>Systém řízení informační bezpečnosti (ISMS)</w:t>
      </w:r>
      <w:r>
        <w:rPr>
          <w:rFonts w:ascii="Athiti" w:eastAsia="Athiti" w:hAnsi="Athiti" w:cs="Athiti"/>
          <w:color w:val="444444"/>
        </w:rPr>
        <w:t xml:space="preserve"> musí být v souladu se všemi právními, regulatorními a smluvními požadavky, které jsou pro Společnost relevantní. Jedná se zejména o požadavky vyplývající z:</w:t>
      </w:r>
    </w:p>
    <w:p w:rsidR="00191C31" w:rsidRDefault="00191C31" w:rsidP="00191C31">
      <w:pPr>
        <w:pStyle w:val="normal"/>
        <w:numPr>
          <w:ilvl w:val="0"/>
          <w:numId w:val="1"/>
        </w:numPr>
        <w:spacing w:before="240" w:after="0"/>
        <w:jc w:val="left"/>
        <w:rPr>
          <w:rFonts w:ascii="Athiti" w:eastAsia="Athiti" w:hAnsi="Athiti" w:cs="Athiti"/>
          <w:color w:val="444444"/>
        </w:rPr>
      </w:pPr>
      <w:r>
        <w:rPr>
          <w:rFonts w:ascii="Athiti" w:eastAsia="Athiti" w:hAnsi="Athiti" w:cs="Athiti"/>
          <w:color w:val="444444"/>
        </w:rPr>
        <w:t>právních předpisů České republiky a Evropské unie (např. GDPR, Zákon o kybernetické bezpečnosti, DORA, MiCA),</w:t>
      </w:r>
    </w:p>
    <w:p w:rsidR="00191C31" w:rsidRDefault="00191C31" w:rsidP="00191C31">
      <w:pPr>
        <w:pStyle w:val="normal"/>
        <w:numPr>
          <w:ilvl w:val="0"/>
          <w:numId w:val="1"/>
        </w:numPr>
        <w:spacing w:after="0"/>
        <w:jc w:val="left"/>
        <w:rPr>
          <w:rFonts w:ascii="Athiti" w:eastAsia="Athiti" w:hAnsi="Athiti" w:cs="Athiti"/>
          <w:color w:val="444444"/>
        </w:rPr>
      </w:pPr>
      <w:r>
        <w:rPr>
          <w:rFonts w:ascii="Athiti" w:eastAsia="Athiti" w:hAnsi="Athiti" w:cs="Athiti"/>
          <w:color w:val="444444"/>
        </w:rPr>
        <w:t>doporučení a standardů vydávaných odbornými orgány (např. ČNB, EBA, ESMA, ENISA),</w:t>
      </w:r>
    </w:p>
    <w:p w:rsidR="00191C31" w:rsidRDefault="00191C31" w:rsidP="00191C31">
      <w:pPr>
        <w:pStyle w:val="normal"/>
        <w:numPr>
          <w:ilvl w:val="0"/>
          <w:numId w:val="1"/>
        </w:numPr>
        <w:spacing w:after="0"/>
        <w:jc w:val="left"/>
        <w:rPr>
          <w:rFonts w:ascii="Athiti" w:eastAsia="Athiti" w:hAnsi="Athiti" w:cs="Athiti"/>
          <w:color w:val="444444"/>
        </w:rPr>
      </w:pPr>
      <w:r>
        <w:rPr>
          <w:rFonts w:ascii="Athiti" w:eastAsia="Athiti" w:hAnsi="Athiti" w:cs="Athiti"/>
          <w:color w:val="444444"/>
        </w:rPr>
        <w:t>smluvních závazků vůči klientům, partnerům a dodavatelům,</w:t>
      </w:r>
    </w:p>
    <w:p w:rsidR="00191C31" w:rsidRDefault="00191C31" w:rsidP="00191C31">
      <w:pPr>
        <w:pStyle w:val="normal"/>
        <w:numPr>
          <w:ilvl w:val="0"/>
          <w:numId w:val="1"/>
        </w:numPr>
        <w:spacing w:after="240"/>
        <w:jc w:val="left"/>
        <w:rPr>
          <w:rFonts w:ascii="Athiti" w:eastAsia="Athiti" w:hAnsi="Athiti" w:cs="Athiti"/>
          <w:color w:val="444444"/>
        </w:rPr>
      </w:pPr>
      <w:r>
        <w:rPr>
          <w:rFonts w:ascii="Athiti" w:eastAsia="Athiti" w:hAnsi="Athiti" w:cs="Athiti"/>
          <w:color w:val="444444"/>
        </w:rPr>
        <w:t>interních předpisů a zásad Společnosti, které doplňují nebo upřesňují legislativní rámec.</w:t>
      </w:r>
    </w:p>
    <w:p w:rsidR="00191C31" w:rsidRDefault="00191C31" w:rsidP="00191C31">
      <w:pPr>
        <w:pStyle w:val="normal"/>
        <w:spacing w:before="240" w:after="240"/>
        <w:rPr>
          <w:rFonts w:ascii="Athiti" w:eastAsia="Athiti" w:hAnsi="Athiti" w:cs="Athiti"/>
          <w:color w:val="444444"/>
        </w:rPr>
      </w:pPr>
      <w:r>
        <w:rPr>
          <w:rFonts w:ascii="Athiti" w:eastAsia="Athiti" w:hAnsi="Athiti" w:cs="Athiti"/>
          <w:color w:val="444444"/>
        </w:rPr>
        <w:t xml:space="preserve">Pro zajištění transparentnosti a jednotného postupu vede Společnost </w:t>
      </w:r>
      <w:r>
        <w:rPr>
          <w:rFonts w:ascii="Athiti" w:eastAsia="Athiti" w:hAnsi="Athiti" w:cs="Athiti"/>
          <w:b/>
          <w:color w:val="444444"/>
        </w:rPr>
        <w:t>Registr právních, regulačních a smluvních závazků</w:t>
      </w:r>
      <w:r>
        <w:rPr>
          <w:rFonts w:ascii="Athiti" w:eastAsia="Athiti" w:hAnsi="Athiti" w:cs="Athiti"/>
          <w:color w:val="444444"/>
        </w:rPr>
        <w:t>, který obsahuje úplný a aktuální seznam všech povinností, které Společnost musí z hlediska informační bezpečnosti a ochrany dat dodržovat. Tento registr je pravidelně aktualizován a jeho správa je svěřena Vedoucímu pracovníkovi pro informační bezpečnost (CISO).</w:t>
      </w:r>
    </w:p>
    <w:p w:rsidR="00191C31" w:rsidRDefault="00191C31" w:rsidP="00191C31">
      <w:pPr>
        <w:pStyle w:val="normal"/>
        <w:spacing w:before="240" w:after="240"/>
        <w:rPr>
          <w:rFonts w:ascii="Athiti" w:eastAsia="Athiti" w:hAnsi="Athiti" w:cs="Athiti"/>
          <w:color w:val="444444"/>
        </w:rPr>
      </w:pPr>
      <w:r>
        <w:rPr>
          <w:rFonts w:ascii="Athiti" w:eastAsia="Athiti" w:hAnsi="Athiti" w:cs="Athiti"/>
          <w:color w:val="444444"/>
        </w:rPr>
        <w:t>Dodržování těchto požadavků je závazné pro všechny zaměstnance, dodavatele a další osoby, které mají přístup k informačním aktivům Společnosti, a je považováno za základní součást odpovědného chování v rámci firemní kultury.</w:t>
      </w:r>
    </w:p>
    <w:p w:rsidR="00191C31" w:rsidRDefault="00191C31" w:rsidP="00191C31">
      <w:pPr>
        <w:pStyle w:val="Nadpis2"/>
        <w:rPr>
          <w:rFonts w:ascii="Athiti" w:eastAsia="Athiti" w:hAnsi="Athiti" w:cs="Athiti"/>
        </w:rPr>
      </w:pPr>
      <w:bookmarkStart w:id="12" w:name="_heading=h.a3fqxgrp4wxr" w:colFirst="0" w:colLast="0"/>
      <w:bookmarkEnd w:id="12"/>
      <w:r>
        <w:rPr>
          <w:rFonts w:ascii="Athiti" w:eastAsia="Athiti" w:hAnsi="Athiti" w:cs="Athiti"/>
        </w:rPr>
        <w:lastRenderedPageBreak/>
        <w:t>3.4 Opatření informační bezpečnosti</w:t>
      </w:r>
    </w:p>
    <w:p w:rsidR="00191C31" w:rsidRDefault="00191C31" w:rsidP="00191C31">
      <w:pPr>
        <w:pStyle w:val="normal"/>
        <w:spacing w:before="240" w:after="240"/>
        <w:jc w:val="left"/>
        <w:rPr>
          <w:rFonts w:ascii="Athiti" w:eastAsia="Athiti" w:hAnsi="Athiti" w:cs="Athiti"/>
          <w:color w:val="444444"/>
        </w:rPr>
      </w:pPr>
      <w:r>
        <w:rPr>
          <w:rFonts w:ascii="Athiti" w:eastAsia="Athiti" w:hAnsi="Athiti" w:cs="Athiti"/>
          <w:color w:val="444444"/>
        </w:rPr>
        <w:t xml:space="preserve">Bezpečnostní opatření jsou základním prvkem pro zajištění ochrany informačních aktiv Společnosti a minimalizaci rizik spojených s jejich zpracováním. Proces výběru, zavádění a udržování bezpečnostních opatření je definován v </w:t>
      </w:r>
      <w:r>
        <w:rPr>
          <w:rFonts w:ascii="Athiti" w:eastAsia="Athiti" w:hAnsi="Athiti" w:cs="Athiti"/>
          <w:b/>
          <w:color w:val="444444"/>
        </w:rPr>
        <w:t>Metodice hodnocení rizik a řešení rizik</w:t>
      </w:r>
      <w:r>
        <w:rPr>
          <w:rFonts w:ascii="Athiti" w:eastAsia="Athiti" w:hAnsi="Athiti" w:cs="Athiti"/>
          <w:color w:val="444444"/>
        </w:rPr>
        <w:t>, která stanovuje zásady pro identifikaci hrozeb, hodnocení zranitelností, určení rizik a určení adekvátních způsobů jejich mitigace.</w:t>
      </w:r>
    </w:p>
    <w:p w:rsidR="00191C31" w:rsidRDefault="00191C31" w:rsidP="00191C31">
      <w:pPr>
        <w:pStyle w:val="normal"/>
        <w:spacing w:before="240" w:after="240"/>
        <w:jc w:val="left"/>
        <w:rPr>
          <w:rFonts w:ascii="Athiti" w:eastAsia="Athiti" w:hAnsi="Athiti" w:cs="Athiti"/>
          <w:color w:val="444444"/>
        </w:rPr>
      </w:pPr>
      <w:r>
        <w:rPr>
          <w:rFonts w:ascii="Athiti" w:eastAsia="Athiti" w:hAnsi="Athiti" w:cs="Athiti"/>
          <w:color w:val="444444"/>
        </w:rPr>
        <w:t>Opatření informační bezpečnosti musí být navržena tak, aby byla přiměřená povaze aktiv, charakteru činností a úrovni rizik, která byla pro daná aktiva identifikována. Při návrhu opatření se zohledňují zejména:</w:t>
      </w:r>
    </w:p>
    <w:p w:rsidR="00191C31" w:rsidRDefault="00191C31" w:rsidP="00191C31">
      <w:pPr>
        <w:pStyle w:val="normal"/>
        <w:numPr>
          <w:ilvl w:val="0"/>
          <w:numId w:val="2"/>
        </w:numPr>
        <w:spacing w:before="240" w:after="0"/>
        <w:jc w:val="left"/>
        <w:rPr>
          <w:rFonts w:ascii="Athiti" w:eastAsia="Athiti" w:hAnsi="Athiti" w:cs="Athiti"/>
          <w:color w:val="444444"/>
        </w:rPr>
      </w:pPr>
      <w:r>
        <w:rPr>
          <w:rFonts w:ascii="Athiti" w:eastAsia="Athiti" w:hAnsi="Athiti" w:cs="Athiti"/>
          <w:color w:val="444444"/>
        </w:rPr>
        <w:t>relevantní právní a regulatorní požadavky (např. GDPR, DORA, MiCA),</w:t>
      </w:r>
    </w:p>
    <w:p w:rsidR="00191C31" w:rsidRDefault="00191C31" w:rsidP="00191C31">
      <w:pPr>
        <w:pStyle w:val="normal"/>
        <w:numPr>
          <w:ilvl w:val="0"/>
          <w:numId w:val="2"/>
        </w:numPr>
        <w:spacing w:after="0"/>
        <w:jc w:val="left"/>
        <w:rPr>
          <w:rFonts w:ascii="Athiti" w:eastAsia="Athiti" w:hAnsi="Athiti" w:cs="Athiti"/>
          <w:color w:val="444444"/>
        </w:rPr>
      </w:pPr>
      <w:r>
        <w:rPr>
          <w:rFonts w:ascii="Athiti" w:eastAsia="Athiti" w:hAnsi="Athiti" w:cs="Athiti"/>
          <w:color w:val="444444"/>
        </w:rPr>
        <w:t>doporučené standardy a osvědčené postupy (např. ISO/IEC 27001, ISO/IEC 27002, NIST),</w:t>
      </w:r>
    </w:p>
    <w:p w:rsidR="00191C31" w:rsidRDefault="00191C31" w:rsidP="00191C31">
      <w:pPr>
        <w:pStyle w:val="normal"/>
        <w:numPr>
          <w:ilvl w:val="0"/>
          <w:numId w:val="2"/>
        </w:numPr>
        <w:spacing w:after="0"/>
        <w:jc w:val="left"/>
        <w:rPr>
          <w:rFonts w:ascii="Athiti" w:eastAsia="Athiti" w:hAnsi="Athiti" w:cs="Athiti"/>
          <w:color w:val="444444"/>
        </w:rPr>
      </w:pPr>
      <w:r>
        <w:rPr>
          <w:rFonts w:ascii="Athiti" w:eastAsia="Athiti" w:hAnsi="Athiti" w:cs="Athiti"/>
          <w:color w:val="444444"/>
        </w:rPr>
        <w:t>výsledky hodnocení rizik,</w:t>
      </w:r>
    </w:p>
    <w:p w:rsidR="00191C31" w:rsidRDefault="00191C31" w:rsidP="00191C31">
      <w:pPr>
        <w:pStyle w:val="normal"/>
        <w:numPr>
          <w:ilvl w:val="0"/>
          <w:numId w:val="2"/>
        </w:numPr>
        <w:spacing w:after="0"/>
        <w:jc w:val="left"/>
        <w:rPr>
          <w:rFonts w:ascii="Athiti" w:eastAsia="Athiti" w:hAnsi="Athiti" w:cs="Athiti"/>
          <w:color w:val="444444"/>
        </w:rPr>
      </w:pPr>
      <w:r>
        <w:rPr>
          <w:rFonts w:ascii="Athiti" w:eastAsia="Athiti" w:hAnsi="Athiti" w:cs="Athiti"/>
          <w:color w:val="444444"/>
        </w:rPr>
        <w:t>technologické možnosti a dostupné zdroje Společnosti,</w:t>
      </w:r>
    </w:p>
    <w:p w:rsidR="00191C31" w:rsidRDefault="00191C31" w:rsidP="00191C31">
      <w:pPr>
        <w:pStyle w:val="normal"/>
        <w:numPr>
          <w:ilvl w:val="0"/>
          <w:numId w:val="2"/>
        </w:numPr>
        <w:spacing w:after="240"/>
        <w:jc w:val="left"/>
        <w:rPr>
          <w:rFonts w:ascii="Athiti" w:eastAsia="Athiti" w:hAnsi="Athiti" w:cs="Athiti"/>
          <w:color w:val="444444"/>
        </w:rPr>
      </w:pPr>
      <w:r>
        <w:rPr>
          <w:rFonts w:ascii="Athiti" w:eastAsia="Athiti" w:hAnsi="Athiti" w:cs="Athiti"/>
          <w:color w:val="444444"/>
        </w:rPr>
        <w:t>dopad opatření na obchodní procesy a uživatelskou zkušenost.</w:t>
      </w:r>
    </w:p>
    <w:p w:rsidR="00191C31" w:rsidRDefault="00191C31" w:rsidP="00191C31">
      <w:pPr>
        <w:pStyle w:val="normal"/>
        <w:spacing w:before="240" w:after="240"/>
        <w:jc w:val="left"/>
        <w:rPr>
          <w:rFonts w:ascii="Athiti" w:eastAsia="Athiti" w:hAnsi="Athiti" w:cs="Athiti"/>
          <w:color w:val="444444"/>
        </w:rPr>
      </w:pPr>
      <w:r>
        <w:rPr>
          <w:rFonts w:ascii="Athiti" w:eastAsia="Athiti" w:hAnsi="Athiti" w:cs="Athiti"/>
          <w:color w:val="444444"/>
        </w:rPr>
        <w:t>Opatření mohou být technická (např. šifrování dat, vícefaktorová autentizace, segmentace sítě), organizační (např. školení zaměstnanců, řízení přístupových práv, procesy hlášení incidentů) nebo fyzická (např. kontrola přístupu do prostor, zabezpečení serveroven, kamerové systémy).</w:t>
      </w:r>
    </w:p>
    <w:p w:rsidR="00191C31" w:rsidRDefault="00191C31" w:rsidP="00191C31">
      <w:pPr>
        <w:pStyle w:val="normal"/>
        <w:spacing w:before="240" w:after="240"/>
        <w:jc w:val="left"/>
        <w:rPr>
          <w:rFonts w:ascii="Athiti" w:eastAsia="Athiti" w:hAnsi="Athiti" w:cs="Athiti"/>
          <w:color w:val="444444"/>
        </w:rPr>
      </w:pPr>
      <w:r>
        <w:rPr>
          <w:rFonts w:ascii="Athiti" w:eastAsia="Athiti" w:hAnsi="Athiti" w:cs="Athiti"/>
          <w:color w:val="444444"/>
        </w:rPr>
        <w:t xml:space="preserve">Všechna implementovaná opatření a jejich stav zavedení jsou evidována v </w:t>
      </w:r>
      <w:r>
        <w:rPr>
          <w:rFonts w:ascii="Athiti" w:eastAsia="Athiti" w:hAnsi="Athiti" w:cs="Athiti"/>
          <w:b/>
          <w:color w:val="444444"/>
        </w:rPr>
        <w:t>Prohlášení o použitelnosti</w:t>
      </w:r>
      <w:r>
        <w:rPr>
          <w:rFonts w:ascii="Athiti" w:eastAsia="Athiti" w:hAnsi="Athiti" w:cs="Athiti"/>
          <w:color w:val="444444"/>
        </w:rPr>
        <w:t xml:space="preserve"> (Statement of Applicability), které slouží jako referenční dokument a podklad pro interní audity, inspekce a hodnocení souladu s požadavky ISMS.</w:t>
      </w:r>
    </w:p>
    <w:p w:rsidR="00191C31" w:rsidRDefault="00191C31" w:rsidP="00191C31">
      <w:pPr>
        <w:pStyle w:val="normal"/>
        <w:spacing w:before="240" w:after="240"/>
        <w:jc w:val="left"/>
        <w:rPr>
          <w:rFonts w:ascii="Athiti" w:eastAsia="Athiti" w:hAnsi="Athiti" w:cs="Athiti"/>
          <w:color w:val="444444"/>
        </w:rPr>
      </w:pPr>
      <w:r>
        <w:rPr>
          <w:rFonts w:ascii="Athiti" w:eastAsia="Athiti" w:hAnsi="Athiti" w:cs="Athiti"/>
          <w:color w:val="444444"/>
        </w:rPr>
        <w:t>Cílem je zajistit, aby přijatá opatření byla efektivní, aktuální a odpovídala dynamickému prostředí hrozeb a technologickým změnám. Odpovědnost za jejich pravidelný přezkum a aktualizaci nese Vedoucí pracovník pro informační bezpečnost (CISO).</w:t>
      </w:r>
    </w:p>
    <w:p w:rsidR="00191C31" w:rsidRDefault="00191C31" w:rsidP="00191C31">
      <w:pPr>
        <w:pStyle w:val="Nadpis2"/>
        <w:rPr>
          <w:rFonts w:ascii="Athiti" w:eastAsia="Athiti" w:hAnsi="Athiti" w:cs="Athiti"/>
        </w:rPr>
      </w:pPr>
      <w:bookmarkStart w:id="13" w:name="_heading=h.41slq4eioce2" w:colFirst="0" w:colLast="0"/>
      <w:bookmarkEnd w:id="13"/>
      <w:r>
        <w:rPr>
          <w:rFonts w:ascii="Athiti" w:eastAsia="Athiti" w:hAnsi="Athiti" w:cs="Athiti"/>
        </w:rPr>
        <w:t>3.5 Měření a neustálé zlepšování</w:t>
      </w:r>
    </w:p>
    <w:p w:rsidR="00191C31" w:rsidRDefault="00191C31" w:rsidP="00191C31">
      <w:pPr>
        <w:pStyle w:val="normal"/>
        <w:spacing w:before="240" w:after="240"/>
        <w:rPr>
          <w:rFonts w:ascii="Athiti" w:eastAsia="Athiti" w:hAnsi="Athiti" w:cs="Athiti"/>
          <w:color w:val="444444"/>
        </w:rPr>
      </w:pPr>
      <w:r>
        <w:rPr>
          <w:rFonts w:ascii="Athiti" w:eastAsia="Athiti" w:hAnsi="Athiti" w:cs="Athiti"/>
          <w:color w:val="444444"/>
        </w:rPr>
        <w:t xml:space="preserve">Společnost se zavazuje k neustálému zlepšování svého </w:t>
      </w:r>
      <w:r>
        <w:rPr>
          <w:rFonts w:ascii="Athiti" w:eastAsia="Athiti" w:hAnsi="Athiti" w:cs="Athiti"/>
          <w:b/>
          <w:color w:val="444444"/>
        </w:rPr>
        <w:t>Systému řízení informační bezpečnosti (ISMS)</w:t>
      </w:r>
      <w:r>
        <w:rPr>
          <w:rFonts w:ascii="Athiti" w:eastAsia="Athiti" w:hAnsi="Athiti" w:cs="Athiti"/>
          <w:color w:val="444444"/>
        </w:rPr>
        <w:t xml:space="preserve"> prostřednictvím pravidelného měření, hodnocení a optimalizace stanovených cílů a přijatých opatření. Měření slouží jako klíčový nástroj pro sledování efektivity implementovaných bezpečnostních kontrol a odhalování potenciálních slabin, které by mohly ohrozit důvěrnost, integritu a dostupnost informačních aktiv.</w:t>
      </w:r>
    </w:p>
    <w:p w:rsidR="00191C31" w:rsidRDefault="00191C31" w:rsidP="00191C31">
      <w:pPr>
        <w:pStyle w:val="normal"/>
        <w:spacing w:before="240" w:after="240"/>
        <w:rPr>
          <w:rFonts w:ascii="Athiti" w:eastAsia="Athiti" w:hAnsi="Athiti" w:cs="Athiti"/>
          <w:color w:val="444444"/>
        </w:rPr>
      </w:pPr>
      <w:r>
        <w:rPr>
          <w:rFonts w:ascii="Athiti" w:eastAsia="Athiti" w:hAnsi="Athiti" w:cs="Athiti"/>
          <w:color w:val="444444"/>
        </w:rPr>
        <w:t>Vedoucí pracovník pro informační bezpečnost (CISO) je odpovědný za návrh metod měření a určení relevantních ukazatelů výkonnosti (</w:t>
      </w:r>
      <w:r>
        <w:rPr>
          <w:rFonts w:ascii="Athiti" w:eastAsia="Athiti" w:hAnsi="Athiti" w:cs="Athiti"/>
          <w:b/>
          <w:color w:val="444444"/>
        </w:rPr>
        <w:t>Key Performance Indicators – KPIs</w:t>
      </w:r>
      <w:r>
        <w:rPr>
          <w:rFonts w:ascii="Athiti" w:eastAsia="Athiti" w:hAnsi="Athiti" w:cs="Athiti"/>
          <w:color w:val="444444"/>
        </w:rPr>
        <w:t>) a ukazatelů účinnosti (</w:t>
      </w:r>
      <w:r>
        <w:rPr>
          <w:rFonts w:ascii="Athiti" w:eastAsia="Athiti" w:hAnsi="Athiti" w:cs="Athiti"/>
          <w:b/>
          <w:color w:val="444444"/>
        </w:rPr>
        <w:t>Key Risk Indicators – KRIs</w:t>
      </w:r>
      <w:r>
        <w:rPr>
          <w:rFonts w:ascii="Athiti" w:eastAsia="Athiti" w:hAnsi="Athiti" w:cs="Athiti"/>
          <w:color w:val="444444"/>
        </w:rPr>
        <w:t>). Tyto ukazatele mohou zahrnovat například:</w:t>
      </w:r>
    </w:p>
    <w:p w:rsidR="00191C31" w:rsidRDefault="00191C31" w:rsidP="00191C31">
      <w:pPr>
        <w:pStyle w:val="normal"/>
        <w:numPr>
          <w:ilvl w:val="0"/>
          <w:numId w:val="7"/>
        </w:numPr>
        <w:spacing w:before="240" w:after="0"/>
        <w:jc w:val="left"/>
        <w:rPr>
          <w:rFonts w:ascii="Athiti" w:eastAsia="Athiti" w:hAnsi="Athiti" w:cs="Athiti"/>
          <w:color w:val="444444"/>
        </w:rPr>
      </w:pPr>
      <w:r>
        <w:rPr>
          <w:rFonts w:ascii="Athiti" w:eastAsia="Athiti" w:hAnsi="Athiti" w:cs="Athiti"/>
          <w:color w:val="444444"/>
        </w:rPr>
        <w:t>počet a závažnost zjištěných bezpečnostních incidentů,</w:t>
      </w:r>
    </w:p>
    <w:p w:rsidR="00191C31" w:rsidRDefault="00191C31" w:rsidP="00191C31">
      <w:pPr>
        <w:pStyle w:val="normal"/>
        <w:numPr>
          <w:ilvl w:val="0"/>
          <w:numId w:val="7"/>
        </w:numPr>
        <w:spacing w:after="0"/>
        <w:jc w:val="left"/>
        <w:rPr>
          <w:rFonts w:ascii="Athiti" w:eastAsia="Athiti" w:hAnsi="Athiti" w:cs="Athiti"/>
          <w:color w:val="444444"/>
        </w:rPr>
      </w:pPr>
      <w:r>
        <w:rPr>
          <w:rFonts w:ascii="Athiti" w:eastAsia="Athiti" w:hAnsi="Athiti" w:cs="Athiti"/>
          <w:color w:val="444444"/>
        </w:rPr>
        <w:t>úspěšnost pravidelného zálohování a obnovy dat,</w:t>
      </w:r>
    </w:p>
    <w:p w:rsidR="00191C31" w:rsidRDefault="00191C31" w:rsidP="00191C31">
      <w:pPr>
        <w:pStyle w:val="normal"/>
        <w:numPr>
          <w:ilvl w:val="0"/>
          <w:numId w:val="7"/>
        </w:numPr>
        <w:spacing w:after="0"/>
        <w:jc w:val="left"/>
        <w:rPr>
          <w:rFonts w:ascii="Athiti" w:eastAsia="Athiti" w:hAnsi="Athiti" w:cs="Athiti"/>
          <w:color w:val="444444"/>
        </w:rPr>
      </w:pPr>
      <w:r>
        <w:rPr>
          <w:rFonts w:ascii="Athiti" w:eastAsia="Athiti" w:hAnsi="Athiti" w:cs="Athiti"/>
          <w:color w:val="444444"/>
        </w:rPr>
        <w:t>míru absolvování školení v oblasti bezpečnosti informací,</w:t>
      </w:r>
    </w:p>
    <w:p w:rsidR="00191C31" w:rsidRDefault="00191C31" w:rsidP="00191C31">
      <w:pPr>
        <w:pStyle w:val="normal"/>
        <w:numPr>
          <w:ilvl w:val="0"/>
          <w:numId w:val="7"/>
        </w:numPr>
        <w:spacing w:after="0"/>
        <w:jc w:val="left"/>
        <w:rPr>
          <w:rFonts w:ascii="Athiti" w:eastAsia="Athiti" w:hAnsi="Athiti" w:cs="Athiti"/>
          <w:color w:val="444444"/>
        </w:rPr>
      </w:pPr>
      <w:r>
        <w:rPr>
          <w:rFonts w:ascii="Athiti" w:eastAsia="Athiti" w:hAnsi="Athiti" w:cs="Athiti"/>
          <w:color w:val="444444"/>
        </w:rPr>
        <w:t>počet dokončených přezkumů přístupových práv,</w:t>
      </w:r>
    </w:p>
    <w:p w:rsidR="00191C31" w:rsidRDefault="00191C31" w:rsidP="00191C31">
      <w:pPr>
        <w:pStyle w:val="normal"/>
        <w:numPr>
          <w:ilvl w:val="0"/>
          <w:numId w:val="7"/>
        </w:numPr>
        <w:spacing w:after="0"/>
        <w:jc w:val="left"/>
        <w:rPr>
          <w:rFonts w:ascii="Athiti" w:eastAsia="Athiti" w:hAnsi="Athiti" w:cs="Athiti"/>
          <w:color w:val="444444"/>
        </w:rPr>
      </w:pPr>
      <w:r>
        <w:rPr>
          <w:rFonts w:ascii="Athiti" w:eastAsia="Athiti" w:hAnsi="Athiti" w:cs="Athiti"/>
          <w:color w:val="444444"/>
        </w:rPr>
        <w:lastRenderedPageBreak/>
        <w:t>dodržování stanovených termínů pro aktualizace a údržbu systémů,</w:t>
      </w:r>
    </w:p>
    <w:p w:rsidR="00191C31" w:rsidRDefault="00191C31" w:rsidP="00191C31">
      <w:pPr>
        <w:pStyle w:val="normal"/>
        <w:numPr>
          <w:ilvl w:val="0"/>
          <w:numId w:val="7"/>
        </w:numPr>
        <w:spacing w:after="240"/>
        <w:jc w:val="left"/>
        <w:rPr>
          <w:rFonts w:ascii="Athiti" w:eastAsia="Athiti" w:hAnsi="Athiti" w:cs="Athiti"/>
          <w:color w:val="444444"/>
        </w:rPr>
      </w:pPr>
      <w:r>
        <w:rPr>
          <w:rFonts w:ascii="Athiti" w:eastAsia="Athiti" w:hAnsi="Athiti" w:cs="Athiti"/>
          <w:color w:val="444444"/>
        </w:rPr>
        <w:t>výsledky interních a externích auditů.</w:t>
      </w:r>
    </w:p>
    <w:p w:rsidR="00191C31" w:rsidRDefault="00191C31" w:rsidP="00191C31">
      <w:pPr>
        <w:pStyle w:val="normal"/>
        <w:spacing w:before="240" w:after="240"/>
        <w:rPr>
          <w:rFonts w:ascii="Athiti" w:eastAsia="Athiti" w:hAnsi="Athiti" w:cs="Athiti"/>
          <w:color w:val="444444"/>
        </w:rPr>
      </w:pPr>
      <w:r>
        <w:rPr>
          <w:rFonts w:ascii="Athiti" w:eastAsia="Athiti" w:hAnsi="Athiti" w:cs="Athiti"/>
          <w:color w:val="444444"/>
        </w:rPr>
        <w:t xml:space="preserve">Měření musí být prováděno minimálně </w:t>
      </w:r>
      <w:r>
        <w:rPr>
          <w:rFonts w:ascii="Athiti" w:eastAsia="Athiti" w:hAnsi="Athiti" w:cs="Athiti"/>
          <w:b/>
          <w:color w:val="444444"/>
        </w:rPr>
        <w:t>jednou ročně</w:t>
      </w:r>
      <w:r>
        <w:rPr>
          <w:rFonts w:ascii="Athiti" w:eastAsia="Athiti" w:hAnsi="Athiti" w:cs="Athiti"/>
          <w:color w:val="444444"/>
        </w:rPr>
        <w:t>, případně častěji v případě významných změn v technologickém prostředí, legislativních požadavcích nebo po závažných bezpečnostních incidentech. Výsledky měření jsou dokumentovány a předkládány vrcholovému vedení jako podklad pro pravidelný přezkum řízení informační bezpečnosti.</w:t>
      </w:r>
    </w:p>
    <w:p w:rsidR="00191C31" w:rsidRDefault="00191C31" w:rsidP="00191C31">
      <w:pPr>
        <w:pStyle w:val="normal"/>
        <w:spacing w:before="240" w:after="240"/>
        <w:rPr>
          <w:rFonts w:ascii="Athiti" w:eastAsia="Athiti" w:hAnsi="Athiti" w:cs="Athiti"/>
          <w:color w:val="444444"/>
        </w:rPr>
      </w:pPr>
      <w:r>
        <w:rPr>
          <w:rFonts w:ascii="Athiti" w:eastAsia="Athiti" w:hAnsi="Athiti" w:cs="Athiti"/>
          <w:color w:val="444444"/>
        </w:rPr>
        <w:t>Na základě těchto výsledků jsou přijímána nápravná a preventivní opatření, která zajišťují, že bezpečnostní opatření zůstávají účinná, aktuální a přiměřená měnícím se rizikům a potřebám společnosti. Neustálé zlepšování je vnímáno jako nedílná součást kultury informační bezpečnosti a společné odpovědnosti všech zaměstnanců a spolupracovníků.</w:t>
      </w:r>
    </w:p>
    <w:p w:rsidR="00191C31" w:rsidRDefault="00191C31" w:rsidP="00191C31">
      <w:pPr>
        <w:pStyle w:val="Nadpis2"/>
        <w:rPr>
          <w:rFonts w:ascii="Athiti" w:eastAsia="Athiti" w:hAnsi="Athiti" w:cs="Athiti"/>
        </w:rPr>
      </w:pPr>
      <w:bookmarkStart w:id="14" w:name="_heading=h.8pwzmbicyl07" w:colFirst="0" w:colLast="0"/>
      <w:bookmarkEnd w:id="14"/>
      <w:r>
        <w:rPr>
          <w:rFonts w:ascii="Athiti" w:eastAsia="Athiti" w:hAnsi="Athiti" w:cs="Athiti"/>
        </w:rPr>
        <w:t>3.6 Závazek vrcholového vedení k informační bezpečnosti</w:t>
      </w:r>
    </w:p>
    <w:p w:rsidR="00191C31" w:rsidRDefault="00191C31" w:rsidP="00191C31">
      <w:pPr>
        <w:pStyle w:val="normal"/>
        <w:spacing w:before="240" w:after="240"/>
        <w:rPr>
          <w:rFonts w:ascii="Athiti" w:eastAsia="Athiti" w:hAnsi="Athiti" w:cs="Athiti"/>
          <w:sz w:val="22"/>
          <w:szCs w:val="22"/>
        </w:rPr>
      </w:pPr>
      <w:r>
        <w:rPr>
          <w:rFonts w:ascii="Athiti" w:eastAsia="Athiti" w:hAnsi="Athiti" w:cs="Athiti"/>
          <w:sz w:val="22"/>
          <w:szCs w:val="22"/>
        </w:rPr>
        <w:t xml:space="preserve">Vrcholové vedení společnosti se plně zavazuje k zajištění vysoké úrovně ochrany informací a informačních aktiv prostřednictvím efektivní implementace a neustálého zlepšování </w:t>
      </w:r>
      <w:r>
        <w:rPr>
          <w:rFonts w:ascii="Athiti" w:eastAsia="Athiti" w:hAnsi="Athiti" w:cs="Athiti"/>
          <w:b/>
          <w:sz w:val="22"/>
          <w:szCs w:val="22"/>
        </w:rPr>
        <w:t>Systému řízení informační bezpečnosti (ISMS)</w:t>
      </w:r>
      <w:r>
        <w:rPr>
          <w:rFonts w:ascii="Athiti" w:eastAsia="Athiti" w:hAnsi="Athiti" w:cs="Athiti"/>
          <w:sz w:val="22"/>
          <w:szCs w:val="22"/>
        </w:rPr>
        <w:t>.</w:t>
      </w:r>
    </w:p>
    <w:p w:rsidR="00191C31" w:rsidRDefault="00191C31" w:rsidP="00191C31">
      <w:pPr>
        <w:pStyle w:val="normal"/>
        <w:spacing w:before="240" w:after="240"/>
        <w:rPr>
          <w:rFonts w:ascii="Athiti" w:eastAsia="Athiti" w:hAnsi="Athiti" w:cs="Athiti"/>
          <w:sz w:val="22"/>
          <w:szCs w:val="22"/>
        </w:rPr>
      </w:pPr>
      <w:r>
        <w:rPr>
          <w:rFonts w:ascii="Athiti" w:eastAsia="Athiti" w:hAnsi="Athiti" w:cs="Athiti"/>
          <w:sz w:val="22"/>
          <w:szCs w:val="22"/>
        </w:rPr>
        <w:t>Tento závazek se projevuje zejména:</w:t>
      </w:r>
    </w:p>
    <w:p w:rsidR="00191C31" w:rsidRDefault="00191C31" w:rsidP="00191C31">
      <w:pPr>
        <w:pStyle w:val="normal"/>
        <w:numPr>
          <w:ilvl w:val="0"/>
          <w:numId w:val="5"/>
        </w:numPr>
        <w:spacing w:before="240" w:after="0"/>
        <w:jc w:val="left"/>
        <w:rPr>
          <w:rFonts w:ascii="Athiti" w:eastAsia="Athiti" w:hAnsi="Athiti" w:cs="Athiti"/>
          <w:sz w:val="22"/>
          <w:szCs w:val="22"/>
        </w:rPr>
      </w:pPr>
      <w:r>
        <w:rPr>
          <w:rFonts w:ascii="Athiti" w:eastAsia="Athiti" w:hAnsi="Athiti" w:cs="Athiti"/>
          <w:sz w:val="22"/>
          <w:szCs w:val="22"/>
        </w:rPr>
        <w:t xml:space="preserve">alokací dostatečných </w:t>
      </w:r>
      <w:r>
        <w:rPr>
          <w:rFonts w:ascii="Athiti" w:eastAsia="Athiti" w:hAnsi="Athiti" w:cs="Athiti"/>
          <w:b/>
          <w:sz w:val="22"/>
          <w:szCs w:val="22"/>
        </w:rPr>
        <w:t>personálních, technických a finančních zdrojů</w:t>
      </w:r>
      <w:r>
        <w:rPr>
          <w:rFonts w:ascii="Athiti" w:eastAsia="Athiti" w:hAnsi="Athiti" w:cs="Athiti"/>
          <w:sz w:val="22"/>
          <w:szCs w:val="22"/>
        </w:rPr>
        <w:t xml:space="preserve"> potřebných pro udržování a rozvoj ISMS,</w:t>
      </w:r>
    </w:p>
    <w:p w:rsidR="00191C31" w:rsidRDefault="00191C31" w:rsidP="00191C31">
      <w:pPr>
        <w:pStyle w:val="normal"/>
        <w:numPr>
          <w:ilvl w:val="0"/>
          <w:numId w:val="5"/>
        </w:numPr>
        <w:spacing w:after="0"/>
        <w:jc w:val="left"/>
        <w:rPr>
          <w:rFonts w:ascii="Athiti" w:eastAsia="Athiti" w:hAnsi="Athiti" w:cs="Athiti"/>
          <w:sz w:val="22"/>
          <w:szCs w:val="22"/>
        </w:rPr>
      </w:pPr>
      <w:r>
        <w:rPr>
          <w:rFonts w:ascii="Athiti" w:eastAsia="Athiti" w:hAnsi="Athiti" w:cs="Athiti"/>
          <w:sz w:val="22"/>
          <w:szCs w:val="22"/>
        </w:rPr>
        <w:t xml:space="preserve">stanovením </w:t>
      </w:r>
      <w:r>
        <w:rPr>
          <w:rFonts w:ascii="Athiti" w:eastAsia="Athiti" w:hAnsi="Athiti" w:cs="Athiti"/>
          <w:b/>
          <w:sz w:val="22"/>
          <w:szCs w:val="22"/>
        </w:rPr>
        <w:t>jasných rolí, odpovědností a pravomocí</w:t>
      </w:r>
      <w:r>
        <w:rPr>
          <w:rFonts w:ascii="Athiti" w:eastAsia="Athiti" w:hAnsi="Athiti" w:cs="Athiti"/>
          <w:sz w:val="22"/>
          <w:szCs w:val="22"/>
        </w:rPr>
        <w:t xml:space="preserve"> v oblasti informační bezpečnosti napříč organizační strukturou,</w:t>
      </w:r>
    </w:p>
    <w:p w:rsidR="00191C31" w:rsidRDefault="00191C31" w:rsidP="00191C31">
      <w:pPr>
        <w:pStyle w:val="normal"/>
        <w:numPr>
          <w:ilvl w:val="0"/>
          <w:numId w:val="5"/>
        </w:numPr>
        <w:spacing w:after="0"/>
        <w:jc w:val="left"/>
        <w:rPr>
          <w:rFonts w:ascii="Athiti" w:eastAsia="Athiti" w:hAnsi="Athiti" w:cs="Athiti"/>
          <w:sz w:val="22"/>
          <w:szCs w:val="22"/>
        </w:rPr>
      </w:pPr>
      <w:r>
        <w:rPr>
          <w:rFonts w:ascii="Athiti" w:eastAsia="Athiti" w:hAnsi="Athiti" w:cs="Athiti"/>
          <w:sz w:val="22"/>
          <w:szCs w:val="22"/>
        </w:rPr>
        <w:t>podporou tvorby a pravidelné aktualizace vnitřních směrnic, procesů a technických opatření, které odpovídají aktuálním rizikům, legislativním požadavkům (např. GDPR, DORA, MiCA) a standardům (např. ISO/IEC 27001),</w:t>
      </w:r>
      <w:r>
        <w:rPr>
          <w:rFonts w:ascii="Athiti" w:eastAsia="Athiti" w:hAnsi="Athiti" w:cs="Athiti"/>
          <w:sz w:val="22"/>
          <w:szCs w:val="22"/>
        </w:rPr>
        <w:br/>
      </w:r>
    </w:p>
    <w:p w:rsidR="00191C31" w:rsidRDefault="00191C31" w:rsidP="00191C31">
      <w:pPr>
        <w:pStyle w:val="normal"/>
        <w:numPr>
          <w:ilvl w:val="0"/>
          <w:numId w:val="5"/>
        </w:numPr>
        <w:spacing w:after="0"/>
        <w:jc w:val="left"/>
        <w:rPr>
          <w:rFonts w:ascii="Athiti" w:eastAsia="Athiti" w:hAnsi="Athiti" w:cs="Athiti"/>
          <w:sz w:val="22"/>
          <w:szCs w:val="22"/>
        </w:rPr>
      </w:pPr>
      <w:r>
        <w:rPr>
          <w:rFonts w:ascii="Athiti" w:eastAsia="Athiti" w:hAnsi="Athiti" w:cs="Athiti"/>
          <w:b/>
          <w:sz w:val="22"/>
          <w:szCs w:val="22"/>
        </w:rPr>
        <w:t>aktivní účastí na přezkumech řízení informační bezpečnosti</w:t>
      </w:r>
      <w:r>
        <w:rPr>
          <w:rFonts w:ascii="Athiti" w:eastAsia="Athiti" w:hAnsi="Athiti" w:cs="Athiti"/>
          <w:sz w:val="22"/>
          <w:szCs w:val="22"/>
        </w:rPr>
        <w:t xml:space="preserve"> a rozhodování o zásadních otázkách bezpečnosti, včetně schvalování cílů, politik a investic do bezpečnostních technologií,</w:t>
      </w:r>
    </w:p>
    <w:p w:rsidR="00191C31" w:rsidRDefault="00191C31" w:rsidP="00191C31">
      <w:pPr>
        <w:pStyle w:val="normal"/>
        <w:numPr>
          <w:ilvl w:val="0"/>
          <w:numId w:val="5"/>
        </w:numPr>
        <w:spacing w:after="0"/>
        <w:jc w:val="left"/>
        <w:rPr>
          <w:rFonts w:ascii="Athiti" w:eastAsia="Athiti" w:hAnsi="Athiti" w:cs="Athiti"/>
          <w:sz w:val="22"/>
          <w:szCs w:val="22"/>
        </w:rPr>
      </w:pPr>
      <w:r>
        <w:rPr>
          <w:rFonts w:ascii="Athiti" w:eastAsia="Athiti" w:hAnsi="Athiti" w:cs="Athiti"/>
          <w:sz w:val="22"/>
          <w:szCs w:val="22"/>
        </w:rPr>
        <w:t xml:space="preserve">vytvářením firemní kultury, která podporuje </w:t>
      </w:r>
      <w:r>
        <w:rPr>
          <w:rFonts w:ascii="Athiti" w:eastAsia="Athiti" w:hAnsi="Athiti" w:cs="Athiti"/>
          <w:b/>
          <w:sz w:val="22"/>
          <w:szCs w:val="22"/>
        </w:rPr>
        <w:t>povědomí o informační bezpečnosti</w:t>
      </w:r>
      <w:r>
        <w:rPr>
          <w:rFonts w:ascii="Athiti" w:eastAsia="Athiti" w:hAnsi="Athiti" w:cs="Athiti"/>
          <w:sz w:val="22"/>
          <w:szCs w:val="22"/>
        </w:rPr>
        <w:t>, odpovědný přístup k ochraně dat a otevřenou komunikaci o bezpečnostních rizicích a incidentech,</w:t>
      </w:r>
    </w:p>
    <w:p w:rsidR="00191C31" w:rsidRDefault="00191C31" w:rsidP="00191C31">
      <w:pPr>
        <w:pStyle w:val="normal"/>
        <w:numPr>
          <w:ilvl w:val="0"/>
          <w:numId w:val="5"/>
        </w:numPr>
        <w:spacing w:after="240"/>
        <w:jc w:val="left"/>
        <w:rPr>
          <w:rFonts w:ascii="Athiti" w:eastAsia="Athiti" w:hAnsi="Athiti" w:cs="Athiti"/>
          <w:sz w:val="22"/>
          <w:szCs w:val="22"/>
        </w:rPr>
      </w:pPr>
      <w:r>
        <w:rPr>
          <w:rFonts w:ascii="Athiti" w:eastAsia="Athiti" w:hAnsi="Athiti" w:cs="Athiti"/>
          <w:sz w:val="22"/>
          <w:szCs w:val="22"/>
        </w:rPr>
        <w:t>zajištěním souladu s právními, regulatorními a smluvními požadavky, a ochranou práv a zájmů klientů, partnerů a dalších zainteresovaných stran.</w:t>
      </w:r>
    </w:p>
    <w:p w:rsidR="00191C31" w:rsidRDefault="00191C31" w:rsidP="00191C31">
      <w:pPr>
        <w:pStyle w:val="normal"/>
        <w:spacing w:before="240" w:after="240"/>
        <w:rPr>
          <w:rFonts w:ascii="Athiti" w:eastAsia="Athiti" w:hAnsi="Athiti" w:cs="Athiti"/>
        </w:rPr>
      </w:pPr>
      <w:r>
        <w:rPr>
          <w:rFonts w:ascii="Athiti" w:eastAsia="Athiti" w:hAnsi="Athiti" w:cs="Athiti"/>
          <w:sz w:val="22"/>
          <w:szCs w:val="22"/>
        </w:rPr>
        <w:t xml:space="preserve">Vrcholové vedení chápe informační bezpečnost jako </w:t>
      </w:r>
      <w:r>
        <w:rPr>
          <w:rFonts w:ascii="Athiti" w:eastAsia="Athiti" w:hAnsi="Athiti" w:cs="Athiti"/>
          <w:b/>
          <w:sz w:val="22"/>
          <w:szCs w:val="22"/>
        </w:rPr>
        <w:t>nedílnou součást strategického řízení společnosti</w:t>
      </w:r>
      <w:r>
        <w:rPr>
          <w:rFonts w:ascii="Athiti" w:eastAsia="Athiti" w:hAnsi="Athiti" w:cs="Athiti"/>
          <w:sz w:val="22"/>
          <w:szCs w:val="22"/>
        </w:rPr>
        <w:t xml:space="preserve"> a jako klíčový faktor pro udržení důvěry klientů, reputace na trhu a dlouhodobé stability podnikání.</w:t>
      </w:r>
    </w:p>
    <w:p w:rsidR="00191C31" w:rsidRDefault="00191C31" w:rsidP="00191C31">
      <w:pPr>
        <w:pStyle w:val="Nadpis1"/>
        <w:rPr>
          <w:rFonts w:ascii="Athiti" w:eastAsia="Athiti" w:hAnsi="Athiti" w:cs="Athiti"/>
        </w:rPr>
      </w:pPr>
      <w:bookmarkStart w:id="15" w:name="_heading=h.cvhb9fcrnwyz" w:colFirst="0" w:colLast="0"/>
      <w:bookmarkEnd w:id="15"/>
      <w:r>
        <w:rPr>
          <w:rFonts w:ascii="Athiti" w:eastAsia="Athiti" w:hAnsi="Athiti" w:cs="Athiti"/>
        </w:rPr>
        <w:t>4 Oblasti politiky informační bezpečnosti</w:t>
      </w:r>
    </w:p>
    <w:p w:rsidR="00191C31" w:rsidRDefault="00191C31" w:rsidP="00191C31">
      <w:pPr>
        <w:pStyle w:val="normal"/>
        <w:spacing w:before="240" w:after="240" w:line="240" w:lineRule="auto"/>
        <w:rPr>
          <w:rFonts w:ascii="Athiti" w:eastAsia="Athiti" w:hAnsi="Athiti" w:cs="Athiti"/>
          <w:color w:val="444444"/>
        </w:rPr>
      </w:pPr>
      <w:r>
        <w:rPr>
          <w:rFonts w:ascii="Athiti" w:eastAsia="Athiti" w:hAnsi="Athiti" w:cs="Athiti"/>
          <w:color w:val="444444"/>
        </w:rPr>
        <w:t>Společnost definuje politiky v široké škále oblastí souvisejících s informační bezpečností, které jsou podrobně popsány v komplexní sadě dokumentace politik, jež doprovází tuto nadřazenou politiku informační bezpečnosti.</w:t>
      </w:r>
    </w:p>
    <w:p w:rsidR="00191C31" w:rsidRDefault="00191C31" w:rsidP="00191C31">
      <w:pPr>
        <w:pStyle w:val="normal"/>
        <w:spacing w:before="240" w:after="240" w:line="240" w:lineRule="auto"/>
        <w:rPr>
          <w:rFonts w:ascii="Athiti" w:eastAsia="Athiti" w:hAnsi="Athiti" w:cs="Athiti"/>
          <w:color w:val="444444"/>
        </w:rPr>
      </w:pPr>
      <w:r>
        <w:rPr>
          <w:rFonts w:ascii="Athiti" w:eastAsia="Athiti" w:hAnsi="Athiti" w:cs="Athiti"/>
          <w:color w:val="444444"/>
        </w:rPr>
        <w:t>Každá z těchto politik je definována a odsouhlasena jednou nebo více osobami s příslušnou kompetencí v dané oblasti a po formálním schválení je komunikována příslušnému publiku jak uvnitř, tak i vně organizace.</w:t>
      </w:r>
    </w:p>
    <w:p w:rsidR="00191C31" w:rsidRDefault="00191C31" w:rsidP="00191C31">
      <w:pPr>
        <w:pStyle w:val="normal"/>
        <w:spacing w:before="240" w:after="240" w:line="240" w:lineRule="auto"/>
        <w:rPr>
          <w:rFonts w:ascii="Athiti" w:eastAsia="Athiti" w:hAnsi="Athiti" w:cs="Athiti"/>
          <w:color w:val="444444"/>
        </w:rPr>
      </w:pPr>
      <w:r>
        <w:rPr>
          <w:rFonts w:ascii="Athiti" w:eastAsia="Athiti" w:hAnsi="Athiti" w:cs="Athiti"/>
          <w:color w:val="444444"/>
        </w:rPr>
        <w:lastRenderedPageBreak/>
        <w:t>Tabulka níže uvádí jednotlivé politiky v rámci dokumentační sady a shrnuje obsah každé politiky a cílové publikum zainteresovaných stran.</w:t>
      </w:r>
    </w:p>
    <w:tbl>
      <w:tblPr>
        <w:tblW w:w="9690" w:type="dxa"/>
        <w:tblBorders>
          <w:top w:val="single" w:sz="4" w:space="0" w:color="444444"/>
          <w:left w:val="single" w:sz="4" w:space="0" w:color="444444"/>
          <w:bottom w:val="single" w:sz="4" w:space="0" w:color="444444"/>
          <w:right w:val="single" w:sz="4" w:space="0" w:color="444444"/>
          <w:insideH w:val="single" w:sz="4" w:space="0" w:color="444444"/>
          <w:insideV w:val="single" w:sz="4" w:space="0" w:color="444444"/>
        </w:tblBorders>
        <w:tblLayout w:type="fixed"/>
        <w:tblLook w:val="0400"/>
      </w:tblPr>
      <w:tblGrid>
        <w:gridCol w:w="1785"/>
        <w:gridCol w:w="4695"/>
        <w:gridCol w:w="3210"/>
      </w:tblGrid>
      <w:tr w:rsidR="00191C31" w:rsidTr="00B97B7A">
        <w:trPr>
          <w:cantSplit/>
          <w:tblHeader/>
        </w:trPr>
        <w:tc>
          <w:tcPr>
            <w:tcW w:w="1785" w:type="dxa"/>
            <w:shd w:val="clear" w:color="auto" w:fill="FFE599"/>
          </w:tcPr>
          <w:p w:rsidR="00191C31" w:rsidRDefault="00191C31" w:rsidP="00B97B7A">
            <w:pPr>
              <w:pStyle w:val="normal"/>
              <w:spacing w:before="40" w:after="40"/>
              <w:jc w:val="center"/>
              <w:rPr>
                <w:rFonts w:ascii="Athiti" w:eastAsia="Athiti" w:hAnsi="Athiti" w:cs="Athiti"/>
                <w:b/>
              </w:rPr>
            </w:pPr>
            <w:r>
              <w:rPr>
                <w:rFonts w:ascii="Athiti" w:eastAsia="Athiti" w:hAnsi="Athiti" w:cs="Athiti"/>
                <w:b/>
              </w:rPr>
              <w:t>NÁZEV POLITIKY</w:t>
            </w:r>
          </w:p>
        </w:tc>
        <w:tc>
          <w:tcPr>
            <w:tcW w:w="4695" w:type="dxa"/>
            <w:shd w:val="clear" w:color="auto" w:fill="FFE599"/>
          </w:tcPr>
          <w:p w:rsidR="00191C31" w:rsidRDefault="00191C31" w:rsidP="00B97B7A">
            <w:pPr>
              <w:pStyle w:val="normal"/>
              <w:spacing w:before="40" w:after="40"/>
              <w:jc w:val="center"/>
              <w:rPr>
                <w:rFonts w:ascii="Athiti" w:eastAsia="Athiti" w:hAnsi="Athiti" w:cs="Athiti"/>
                <w:b/>
              </w:rPr>
            </w:pPr>
            <w:r>
              <w:rPr>
                <w:rFonts w:ascii="Athiti" w:eastAsia="Athiti" w:hAnsi="Athiti" w:cs="Athiti"/>
                <w:b/>
              </w:rPr>
              <w:t>ŘEŠENÉ OBLASTI</w:t>
            </w:r>
          </w:p>
        </w:tc>
        <w:tc>
          <w:tcPr>
            <w:tcW w:w="3210" w:type="dxa"/>
            <w:shd w:val="clear" w:color="auto" w:fill="FFE599"/>
          </w:tcPr>
          <w:p w:rsidR="00191C31" w:rsidRDefault="00191C31" w:rsidP="00B97B7A">
            <w:pPr>
              <w:pStyle w:val="normal"/>
              <w:spacing w:before="40" w:after="40"/>
              <w:jc w:val="center"/>
              <w:rPr>
                <w:rFonts w:ascii="Athiti" w:eastAsia="Athiti" w:hAnsi="Athiti" w:cs="Athiti"/>
                <w:b/>
              </w:rPr>
            </w:pPr>
            <w:r>
              <w:rPr>
                <w:rFonts w:ascii="Athiti" w:eastAsia="Athiti" w:hAnsi="Athiti" w:cs="Athiti"/>
                <w:b/>
              </w:rPr>
              <w:t>CÍLOVÁ SKUPINA</w:t>
            </w:r>
          </w:p>
        </w:tc>
      </w:tr>
      <w:tr w:rsidR="00191C31" w:rsidTr="00B97B7A">
        <w:trPr>
          <w:cantSplit/>
          <w:tblHeader/>
        </w:trPr>
        <w:tc>
          <w:tcPr>
            <w:tcW w:w="178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Politika klasifikace a nakládání s informacemi</w:t>
            </w:r>
          </w:p>
        </w:tc>
        <w:tc>
          <w:tcPr>
            <w:tcW w:w="469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Zavádí rámec pro klasifikaci dat, jejich označování a nakládání v souladu s požadavky Politiky informační bezpečnosti.</w:t>
            </w:r>
          </w:p>
        </w:tc>
        <w:tc>
          <w:tcPr>
            <w:tcW w:w="3210"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Všichni zaměstnanci</w:t>
            </w:r>
          </w:p>
        </w:tc>
      </w:tr>
      <w:tr w:rsidR="00191C31" w:rsidTr="00B97B7A">
        <w:trPr>
          <w:cantSplit/>
          <w:tblHeader/>
        </w:trPr>
        <w:tc>
          <w:tcPr>
            <w:tcW w:w="1785" w:type="dxa"/>
          </w:tcPr>
          <w:p w:rsidR="00191C31" w:rsidRDefault="00191C31" w:rsidP="00B97B7A">
            <w:pPr>
              <w:pStyle w:val="normal"/>
              <w:jc w:val="left"/>
              <w:rPr>
                <w:rFonts w:ascii="Athiti" w:eastAsia="Athiti" w:hAnsi="Athiti" w:cs="Athiti"/>
                <w:color w:val="444444"/>
              </w:rPr>
            </w:pPr>
            <w:r>
              <w:rPr>
                <w:rFonts w:ascii="Athiti" w:eastAsia="Athiti" w:hAnsi="Athiti" w:cs="Athiti"/>
              </w:rPr>
              <w:t>Politika přijatelného používání</w:t>
            </w:r>
          </w:p>
        </w:tc>
        <w:tc>
          <w:tcPr>
            <w:tcW w:w="469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Závazek zaměstnanců dodržovat politiky organizační informační bezpečnosti..</w:t>
            </w:r>
          </w:p>
        </w:tc>
        <w:tc>
          <w:tcPr>
            <w:tcW w:w="3210"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Všichni zaměstnanci</w:t>
            </w:r>
          </w:p>
        </w:tc>
      </w:tr>
      <w:tr w:rsidR="00191C31" w:rsidTr="00B97B7A">
        <w:trPr>
          <w:cantSplit/>
          <w:tblHeader/>
        </w:trPr>
        <w:tc>
          <w:tcPr>
            <w:tcW w:w="178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Politika řízení přístupu</w:t>
            </w:r>
          </w:p>
        </w:tc>
        <w:tc>
          <w:tcPr>
            <w:tcW w:w="469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Registrace a odregistrování uživatelů, poskytování přístupových práv, externí přístup, přezkumy přístupů, politika hesel, odpovědnosti uživatelů a řízení přístupu k systémům a aplikacím.</w:t>
            </w:r>
          </w:p>
        </w:tc>
        <w:tc>
          <w:tcPr>
            <w:tcW w:w="3210"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Zaměstnanci zapojení do nastavování a správy řízení přístupu</w:t>
            </w:r>
          </w:p>
        </w:tc>
      </w:tr>
      <w:tr w:rsidR="00191C31" w:rsidTr="00B97B7A">
        <w:trPr>
          <w:cantSplit/>
          <w:tblHeader/>
        </w:trPr>
        <w:tc>
          <w:tcPr>
            <w:tcW w:w="178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Kryptografická politika</w:t>
            </w:r>
          </w:p>
        </w:tc>
        <w:tc>
          <w:tcPr>
            <w:tcW w:w="469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Hodnocení rizik, výběr technik, nasazení, testování a přezkum kryptografie a správa klíčů.</w:t>
            </w:r>
          </w:p>
        </w:tc>
        <w:tc>
          <w:tcPr>
            <w:tcW w:w="3210"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Zaměstnanci zapojení do nastavování a správy používání kryptografických technologií a technik</w:t>
            </w:r>
          </w:p>
        </w:tc>
      </w:tr>
      <w:tr w:rsidR="00191C31" w:rsidTr="00B97B7A">
        <w:trPr>
          <w:cantSplit/>
          <w:tblHeader/>
        </w:trPr>
        <w:tc>
          <w:tcPr>
            <w:tcW w:w="178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Politika proti Malwaru</w:t>
            </w:r>
          </w:p>
        </w:tc>
        <w:tc>
          <w:tcPr>
            <w:tcW w:w="469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Firewall, antivirus, filtrování spamu, instalace a skenování softwaru, správa zranitelností, školení uživatelů o povědomí o bezpečnosti, monitorování hrozeb a upozornění, technické kontroly a řízení incidentů s malwarem.</w:t>
            </w:r>
          </w:p>
        </w:tc>
        <w:tc>
          <w:tcPr>
            <w:tcW w:w="3210"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Zaměstnanci odpovědní za ochranu infrastruktury organizace před malwarem</w:t>
            </w:r>
          </w:p>
        </w:tc>
      </w:tr>
      <w:tr w:rsidR="00191C31" w:rsidTr="00B97B7A">
        <w:trPr>
          <w:cantSplit/>
          <w:tblHeader/>
        </w:trPr>
        <w:tc>
          <w:tcPr>
            <w:tcW w:w="178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Backup Policy</w:t>
            </w:r>
          </w:p>
        </w:tc>
        <w:tc>
          <w:tcPr>
            <w:tcW w:w="469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Backup cycles, cloud backups, off-site storage, documentation, recovery testing, and protection of storage media</w:t>
            </w:r>
          </w:p>
        </w:tc>
        <w:tc>
          <w:tcPr>
            <w:tcW w:w="3210"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Employees responsible for designing and implementing backup regimes</w:t>
            </w:r>
          </w:p>
        </w:tc>
      </w:tr>
      <w:tr w:rsidR="00191C31" w:rsidTr="00B97B7A">
        <w:trPr>
          <w:cantSplit/>
          <w:tblHeader/>
        </w:trPr>
        <w:tc>
          <w:tcPr>
            <w:tcW w:w="178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Politika zálohování</w:t>
            </w:r>
          </w:p>
        </w:tc>
        <w:tc>
          <w:tcPr>
            <w:tcW w:w="469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Cykly zálohování, zálohy v cloudu, off-site skladování, dokumentace, testování obnovy a ochrana zálohovacích médií.</w:t>
            </w:r>
          </w:p>
        </w:tc>
        <w:tc>
          <w:tcPr>
            <w:tcW w:w="3210"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Zaměstnanci odpovědní za navrhování a implementaci zálohovacích režimů</w:t>
            </w:r>
          </w:p>
        </w:tc>
      </w:tr>
      <w:tr w:rsidR="00191C31" w:rsidTr="00B97B7A">
        <w:trPr>
          <w:cantSplit/>
          <w:tblHeader/>
        </w:trPr>
        <w:tc>
          <w:tcPr>
            <w:tcW w:w="178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Politika řízení technických zranitelností</w:t>
            </w:r>
          </w:p>
        </w:tc>
        <w:tc>
          <w:tcPr>
            <w:tcW w:w="469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Definice zranitelností, zdroje informací, záplaty a aktualizace, hodnocení zranitelností, zpevnění systémů, školení o povědomí o bezpečnosti a zveřejňování zranitelností.</w:t>
            </w:r>
          </w:p>
        </w:tc>
        <w:tc>
          <w:tcPr>
            <w:tcW w:w="3210"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Zaměstnanci odpovědní za ochranu infrastruktury organizace před malwarem</w:t>
            </w:r>
          </w:p>
        </w:tc>
      </w:tr>
      <w:tr w:rsidR="00191C31" w:rsidTr="00B97B7A">
        <w:trPr>
          <w:cantSplit/>
          <w:tblHeader/>
        </w:trPr>
        <w:tc>
          <w:tcPr>
            <w:tcW w:w="178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lastRenderedPageBreak/>
              <w:t>Politika bezpečného vývoje</w:t>
            </w:r>
          </w:p>
        </w:tc>
        <w:tc>
          <w:tcPr>
            <w:tcW w:w="469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Specifikace obchodních požadavků, návrh systému, vývoj a testování, a outsourcing vývoje softwaru.</w:t>
            </w:r>
          </w:p>
        </w:tc>
        <w:tc>
          <w:tcPr>
            <w:tcW w:w="3210"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Zaměstnanci odpovědní za navrhování, řízení a psaní kódu pro zakázkový vývoj softwaru</w:t>
            </w:r>
          </w:p>
        </w:tc>
      </w:tr>
      <w:tr w:rsidR="00191C31" w:rsidTr="00B97B7A">
        <w:trPr>
          <w:cantSplit/>
          <w:tblHeader/>
        </w:trPr>
        <w:tc>
          <w:tcPr>
            <w:tcW w:w="178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Politika informační bezpečnosti ve vztazích s dodavateli</w:t>
            </w:r>
          </w:p>
        </w:tc>
        <w:tc>
          <w:tcPr>
            <w:tcW w:w="469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Due diligence, smlouvy s dodavateli, monitorování a přezkum služeb, změny, spory a ukončení smlouvy.</w:t>
            </w:r>
          </w:p>
        </w:tc>
        <w:tc>
          <w:tcPr>
            <w:tcW w:w="3210"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Zaměstnanci zapojení do nastavování a správy vztahů s dodavateli</w:t>
            </w:r>
          </w:p>
        </w:tc>
      </w:tr>
      <w:tr w:rsidR="00191C31" w:rsidTr="00B97B7A">
        <w:trPr>
          <w:cantSplit/>
          <w:tblHeader/>
        </w:trPr>
        <w:tc>
          <w:tcPr>
            <w:tcW w:w="178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Politika bezpečnosti HR</w:t>
            </w:r>
          </w:p>
        </w:tc>
        <w:tc>
          <w:tcPr>
            <w:tcW w:w="469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Nábor, pracovní smlouvy, dodržování politik, disciplinární řízení, ukončení pracovního poměru.</w:t>
            </w:r>
          </w:p>
        </w:tc>
        <w:tc>
          <w:tcPr>
            <w:tcW w:w="3210"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Zaměstnanci odpovědní za procesy nástupu a odchodu zaměstnanců</w:t>
            </w:r>
          </w:p>
        </w:tc>
      </w:tr>
      <w:tr w:rsidR="00191C31" w:rsidTr="00B97B7A">
        <w:trPr>
          <w:cantSplit/>
          <w:tblHeader/>
        </w:trPr>
        <w:tc>
          <w:tcPr>
            <w:tcW w:w="178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Politika správy konfigurace</w:t>
            </w:r>
          </w:p>
        </w:tc>
        <w:tc>
          <w:tcPr>
            <w:tcW w:w="469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Bezpečná konfigurace hardwaru, softwaru, služeb a sítí.</w:t>
            </w:r>
          </w:p>
        </w:tc>
        <w:tc>
          <w:tcPr>
            <w:tcW w:w="3210"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Zaměstnanci odpovědní za navrhování systémů a řízení poskytování služeb</w:t>
            </w:r>
          </w:p>
        </w:tc>
      </w:tr>
      <w:tr w:rsidR="00191C31" w:rsidTr="00B97B7A">
        <w:trPr>
          <w:cantSplit/>
          <w:tblHeader/>
        </w:trPr>
        <w:tc>
          <w:tcPr>
            <w:tcW w:w="178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Politika monitorování</w:t>
            </w:r>
          </w:p>
        </w:tc>
        <w:tc>
          <w:tcPr>
            <w:tcW w:w="4695"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Monitorování prostředí za účelem detekce abnormální aktivity.</w:t>
            </w:r>
          </w:p>
        </w:tc>
        <w:tc>
          <w:tcPr>
            <w:tcW w:w="3210" w:type="dxa"/>
          </w:tcPr>
          <w:p w:rsidR="00191C31" w:rsidRDefault="00191C31" w:rsidP="00B97B7A">
            <w:pPr>
              <w:pStyle w:val="normal"/>
              <w:jc w:val="left"/>
              <w:rPr>
                <w:rFonts w:ascii="Athiti" w:eastAsia="Athiti" w:hAnsi="Athiti" w:cs="Athiti"/>
                <w:color w:val="444444"/>
              </w:rPr>
            </w:pPr>
            <w:r>
              <w:rPr>
                <w:rFonts w:ascii="Athiti" w:eastAsia="Athiti" w:hAnsi="Athiti" w:cs="Athiti"/>
                <w:color w:val="444444"/>
              </w:rPr>
              <w:t>Zaměstnanci odpovědní za navrhování systémů a řízení poskytování služeb</w:t>
            </w:r>
          </w:p>
        </w:tc>
      </w:tr>
    </w:tbl>
    <w:p w:rsidR="00191C31" w:rsidRDefault="00191C31" w:rsidP="00191C31">
      <w:pPr>
        <w:pStyle w:val="normal"/>
        <w:spacing w:after="200" w:line="240" w:lineRule="auto"/>
        <w:jc w:val="center"/>
        <w:rPr>
          <w:rFonts w:ascii="Athiti" w:eastAsia="Athiti" w:hAnsi="Athiti" w:cs="Athiti"/>
          <w:i/>
          <w:sz w:val="18"/>
          <w:szCs w:val="18"/>
        </w:rPr>
      </w:pPr>
      <w:bookmarkStart w:id="16" w:name="_heading=h.takzg1gibqk6" w:colFirst="0" w:colLast="0"/>
      <w:bookmarkEnd w:id="16"/>
      <w:r>
        <w:rPr>
          <w:rFonts w:ascii="Athiti" w:eastAsia="Athiti" w:hAnsi="Athiti" w:cs="Athiti"/>
          <w:i/>
          <w:sz w:val="18"/>
          <w:szCs w:val="18"/>
        </w:rPr>
        <w:br/>
        <w:t>Tabulka 1: Oblastní politiky</w:t>
      </w:r>
    </w:p>
    <w:p w:rsidR="00191C31" w:rsidRDefault="00191C31" w:rsidP="00191C31">
      <w:pPr>
        <w:pStyle w:val="normal"/>
        <w:spacing w:after="200" w:line="240" w:lineRule="auto"/>
        <w:jc w:val="center"/>
        <w:rPr>
          <w:rFonts w:ascii="Athiti" w:eastAsia="Athiti" w:hAnsi="Athiti" w:cs="Athiti"/>
          <w:i/>
          <w:sz w:val="18"/>
          <w:szCs w:val="18"/>
        </w:rPr>
      </w:pPr>
      <w:bookmarkStart w:id="17" w:name="_heading=h.305cnnpj2j65" w:colFirst="0" w:colLast="0"/>
      <w:bookmarkEnd w:id="17"/>
    </w:p>
    <w:p w:rsidR="00191C31" w:rsidRDefault="00191C31" w:rsidP="00191C31">
      <w:pPr>
        <w:pStyle w:val="Nadpis1"/>
        <w:spacing w:after="0"/>
        <w:rPr>
          <w:rFonts w:ascii="Athiti" w:eastAsia="Athiti" w:hAnsi="Athiti" w:cs="Athiti"/>
        </w:rPr>
      </w:pPr>
      <w:bookmarkStart w:id="18" w:name="_heading=h.ngy3b8witess" w:colFirst="0" w:colLast="0"/>
      <w:bookmarkEnd w:id="18"/>
      <w:r>
        <w:br w:type="page"/>
      </w:r>
    </w:p>
    <w:p w:rsidR="00191C31" w:rsidRDefault="00191C31" w:rsidP="00191C31">
      <w:pPr>
        <w:pStyle w:val="Nadpis1"/>
        <w:spacing w:after="0"/>
        <w:rPr>
          <w:rFonts w:ascii="Athiti" w:eastAsia="Athiti" w:hAnsi="Athiti" w:cs="Athiti"/>
        </w:rPr>
      </w:pPr>
      <w:bookmarkStart w:id="19" w:name="_heading=h.4bse7ypkdjs9" w:colFirst="0" w:colLast="0"/>
      <w:bookmarkEnd w:id="19"/>
      <w:r>
        <w:rPr>
          <w:rFonts w:ascii="Athiti" w:eastAsia="Athiti" w:hAnsi="Athiti" w:cs="Athiti"/>
        </w:rPr>
        <w:lastRenderedPageBreak/>
        <w:t>5 Závěrečná ustanovení</w:t>
      </w:r>
    </w:p>
    <w:p w:rsidR="00191C31" w:rsidRDefault="00191C31" w:rsidP="00191C31">
      <w:pPr>
        <w:pStyle w:val="normal"/>
        <w:spacing w:before="240" w:after="240"/>
        <w:rPr>
          <w:rFonts w:ascii="Athiti" w:eastAsia="Athiti" w:hAnsi="Athiti" w:cs="Athiti"/>
        </w:rPr>
      </w:pPr>
      <w:r>
        <w:rPr>
          <w:rFonts w:ascii="Athiti" w:eastAsia="Athiti" w:hAnsi="Athiti" w:cs="Athiti"/>
        </w:rPr>
        <w:t>Společnost považuje tyto Zásady za závazný interní dokument, který je nedílnou součástí jejího systému řízení a kultury bezpečnosti. Dodržování těchto Zásad je povinností všech zaměstnanců a pracovníků společnosti bez ohledu na jejich pracovní zařazení, formu pracovního vztahu nebo délku pracovního poměru.</w:t>
      </w:r>
    </w:p>
    <w:p w:rsidR="00191C31" w:rsidRDefault="00191C31" w:rsidP="00191C31">
      <w:pPr>
        <w:pStyle w:val="Nadpis3"/>
        <w:keepNext w:val="0"/>
        <w:keepLines w:val="0"/>
        <w:spacing w:before="280" w:after="80"/>
        <w:rPr>
          <w:rFonts w:ascii="Athiti" w:eastAsia="Athiti" w:hAnsi="Athiti" w:cs="Athiti"/>
          <w:b/>
          <w:color w:val="000000"/>
          <w:sz w:val="26"/>
          <w:szCs w:val="26"/>
        </w:rPr>
      </w:pPr>
      <w:bookmarkStart w:id="20" w:name="_heading=h.89461mo84wlc" w:colFirst="0" w:colLast="0"/>
      <w:bookmarkEnd w:id="20"/>
      <w:r>
        <w:rPr>
          <w:rFonts w:ascii="Athiti" w:eastAsia="Athiti" w:hAnsi="Athiti" w:cs="Athiti"/>
          <w:b/>
          <w:color w:val="000000"/>
          <w:sz w:val="26"/>
          <w:szCs w:val="26"/>
        </w:rPr>
        <w:t>5.1 Zpřístupnění a komunikace Zásad</w:t>
      </w:r>
    </w:p>
    <w:p w:rsidR="00191C31" w:rsidRDefault="00191C31" w:rsidP="00191C31">
      <w:pPr>
        <w:pStyle w:val="normal"/>
        <w:spacing w:before="240" w:after="240"/>
        <w:rPr>
          <w:rFonts w:ascii="Athiti" w:eastAsia="Athiti" w:hAnsi="Athiti" w:cs="Athiti"/>
        </w:rPr>
      </w:pPr>
      <w:r>
        <w:rPr>
          <w:rFonts w:ascii="Athiti" w:eastAsia="Athiti" w:hAnsi="Athiti" w:cs="Athiti"/>
        </w:rPr>
        <w:t>Tyto Zásady budou trvale interně zpřístupněny všem zaměstnancům a pracovníkům společnosti prostřednictvím interní elektronické složky s názvem „Zásady a postupy společnosti“, která je součástí oficiální dokumentace společnosti. O existenci a obsahu tohoto předpisu, jeho aktualizacích, datu účinnosti a případných změnách budou zaměstnanci a pracovníci společnosti pravidelně informováni e-mailem, a to nejpozději do 5 pracovních dnů od provedení jakékoli revize nebo změny.</w:t>
      </w:r>
    </w:p>
    <w:p w:rsidR="00191C31" w:rsidRDefault="00191C31" w:rsidP="00191C31">
      <w:pPr>
        <w:pStyle w:val="normal"/>
        <w:spacing w:before="240" w:after="240"/>
        <w:rPr>
          <w:rFonts w:ascii="Athiti" w:eastAsia="Athiti" w:hAnsi="Athiti" w:cs="Athiti"/>
        </w:rPr>
      </w:pPr>
      <w:r>
        <w:rPr>
          <w:rFonts w:ascii="Athiti" w:eastAsia="Athiti" w:hAnsi="Athiti" w:cs="Athiti"/>
        </w:rPr>
        <w:t>Každý zaměstnanec a pracovník společnosti je povinen se s tímto vnitřním předpisem podrobně seznámit a potvrdit své seznámení formou elektronického potvrzení v systému nebo jiným průkazným způsobem, který stanoví Compliance &amp; AML Officer.</w:t>
      </w:r>
    </w:p>
    <w:p w:rsidR="00191C31" w:rsidRDefault="00191C31" w:rsidP="00191C31">
      <w:pPr>
        <w:pStyle w:val="Nadpis3"/>
        <w:keepNext w:val="0"/>
        <w:keepLines w:val="0"/>
        <w:spacing w:before="280" w:after="80"/>
        <w:rPr>
          <w:rFonts w:ascii="Athiti" w:eastAsia="Athiti" w:hAnsi="Athiti" w:cs="Athiti"/>
          <w:b/>
          <w:color w:val="000000"/>
          <w:sz w:val="26"/>
          <w:szCs w:val="26"/>
        </w:rPr>
      </w:pPr>
      <w:bookmarkStart w:id="21" w:name="_heading=h.xxdge1x2vcro" w:colFirst="0" w:colLast="0"/>
      <w:bookmarkEnd w:id="21"/>
      <w:r>
        <w:rPr>
          <w:rFonts w:ascii="Athiti" w:eastAsia="Athiti" w:hAnsi="Athiti" w:cs="Athiti"/>
          <w:b/>
          <w:color w:val="000000"/>
          <w:sz w:val="26"/>
          <w:szCs w:val="26"/>
        </w:rPr>
        <w:t>5.2 Školení zaměstnanců a pracovníků</w:t>
      </w:r>
    </w:p>
    <w:p w:rsidR="00191C31" w:rsidRDefault="00191C31" w:rsidP="00191C31">
      <w:pPr>
        <w:pStyle w:val="normal"/>
        <w:spacing w:before="240" w:after="240"/>
        <w:rPr>
          <w:rFonts w:ascii="Athiti" w:eastAsia="Athiti" w:hAnsi="Athiti" w:cs="Athiti"/>
        </w:rPr>
      </w:pPr>
      <w:r>
        <w:rPr>
          <w:rFonts w:ascii="Athiti" w:eastAsia="Athiti" w:hAnsi="Athiti" w:cs="Athiti"/>
        </w:rPr>
        <w:t>Za zajištění proškolení všech dotčených osob odpovídá Compliance &amp; AML Officer. Školení musí být realizováno:</w:t>
      </w:r>
    </w:p>
    <w:p w:rsidR="00191C31" w:rsidRDefault="00191C31" w:rsidP="00191C31">
      <w:pPr>
        <w:pStyle w:val="normal"/>
        <w:numPr>
          <w:ilvl w:val="0"/>
          <w:numId w:val="13"/>
        </w:numPr>
        <w:spacing w:before="240" w:after="0"/>
        <w:jc w:val="left"/>
        <w:rPr>
          <w:rFonts w:ascii="Athiti" w:eastAsia="Athiti" w:hAnsi="Athiti" w:cs="Athiti"/>
        </w:rPr>
      </w:pPr>
      <w:r>
        <w:rPr>
          <w:rFonts w:ascii="Athiti" w:eastAsia="Athiti" w:hAnsi="Athiti" w:cs="Athiti"/>
        </w:rPr>
        <w:t>při prvním nástupu zaměstnance nebo pracovníka do společnosti (součást vstupního školení),</w:t>
      </w:r>
    </w:p>
    <w:p w:rsidR="00191C31" w:rsidRDefault="00191C31" w:rsidP="00191C31">
      <w:pPr>
        <w:pStyle w:val="normal"/>
        <w:numPr>
          <w:ilvl w:val="0"/>
          <w:numId w:val="13"/>
        </w:numPr>
        <w:spacing w:after="0"/>
        <w:jc w:val="left"/>
        <w:rPr>
          <w:rFonts w:ascii="Athiti" w:eastAsia="Athiti" w:hAnsi="Athiti" w:cs="Athiti"/>
        </w:rPr>
      </w:pPr>
      <w:r>
        <w:rPr>
          <w:rFonts w:ascii="Athiti" w:eastAsia="Athiti" w:hAnsi="Athiti" w:cs="Athiti"/>
        </w:rPr>
        <w:t>při každé revizi Zásad, pokud dojde k významným změnám v jejich obsahu,</w:t>
      </w:r>
    </w:p>
    <w:p w:rsidR="00191C31" w:rsidRDefault="00191C31" w:rsidP="00191C31">
      <w:pPr>
        <w:pStyle w:val="normal"/>
        <w:numPr>
          <w:ilvl w:val="0"/>
          <w:numId w:val="13"/>
        </w:numPr>
        <w:spacing w:after="240"/>
        <w:jc w:val="left"/>
        <w:rPr>
          <w:rFonts w:ascii="Athiti" w:eastAsia="Athiti" w:hAnsi="Athiti" w:cs="Athiti"/>
        </w:rPr>
      </w:pPr>
      <w:r>
        <w:rPr>
          <w:rFonts w:ascii="Athiti" w:eastAsia="Athiti" w:hAnsi="Athiti" w:cs="Athiti"/>
        </w:rPr>
        <w:t>minimálně jednou ročně jako součást opakovaného školení na udržení povědomí o bezpečnostních pravidlech.</w:t>
      </w:r>
    </w:p>
    <w:p w:rsidR="00191C31" w:rsidRDefault="00191C31" w:rsidP="00191C31">
      <w:pPr>
        <w:pStyle w:val="normal"/>
        <w:spacing w:before="240" w:after="240"/>
        <w:rPr>
          <w:rFonts w:ascii="Athiti" w:eastAsia="Athiti" w:hAnsi="Athiti" w:cs="Athiti"/>
        </w:rPr>
      </w:pPr>
      <w:r>
        <w:rPr>
          <w:rFonts w:ascii="Athiti" w:eastAsia="Athiti" w:hAnsi="Athiti" w:cs="Athiti"/>
        </w:rPr>
        <w:t>Obsah školení bude zahrnovat:</w:t>
      </w:r>
    </w:p>
    <w:p w:rsidR="00191C31" w:rsidRDefault="00191C31" w:rsidP="00191C31">
      <w:pPr>
        <w:pStyle w:val="normal"/>
        <w:numPr>
          <w:ilvl w:val="0"/>
          <w:numId w:val="12"/>
        </w:numPr>
        <w:spacing w:before="240" w:after="0"/>
        <w:jc w:val="left"/>
        <w:rPr>
          <w:rFonts w:ascii="Athiti" w:eastAsia="Athiti" w:hAnsi="Athiti" w:cs="Athiti"/>
        </w:rPr>
      </w:pPr>
      <w:r>
        <w:rPr>
          <w:rFonts w:ascii="Athiti" w:eastAsia="Athiti" w:hAnsi="Athiti" w:cs="Athiti"/>
        </w:rPr>
        <w:t>přehled cílů a zásad tohoto dokumentu,</w:t>
      </w:r>
    </w:p>
    <w:p w:rsidR="00191C31" w:rsidRDefault="00191C31" w:rsidP="00191C31">
      <w:pPr>
        <w:pStyle w:val="normal"/>
        <w:numPr>
          <w:ilvl w:val="0"/>
          <w:numId w:val="12"/>
        </w:numPr>
        <w:spacing w:after="0"/>
        <w:jc w:val="left"/>
        <w:rPr>
          <w:rFonts w:ascii="Athiti" w:eastAsia="Athiti" w:hAnsi="Athiti" w:cs="Athiti"/>
        </w:rPr>
      </w:pPr>
      <w:r>
        <w:rPr>
          <w:rFonts w:ascii="Athiti" w:eastAsia="Athiti" w:hAnsi="Athiti" w:cs="Athiti"/>
        </w:rPr>
        <w:t>praktické příklady aplikace zásad v každodenní činnosti,</w:t>
      </w:r>
    </w:p>
    <w:p w:rsidR="00191C31" w:rsidRDefault="00191C31" w:rsidP="00191C31">
      <w:pPr>
        <w:pStyle w:val="normal"/>
        <w:numPr>
          <w:ilvl w:val="0"/>
          <w:numId w:val="12"/>
        </w:numPr>
        <w:spacing w:after="0"/>
        <w:jc w:val="left"/>
        <w:rPr>
          <w:rFonts w:ascii="Athiti" w:eastAsia="Athiti" w:hAnsi="Athiti" w:cs="Athiti"/>
        </w:rPr>
      </w:pPr>
      <w:r>
        <w:rPr>
          <w:rFonts w:ascii="Athiti" w:eastAsia="Athiti" w:hAnsi="Athiti" w:cs="Athiti"/>
        </w:rPr>
        <w:t>povinnosti jednotlivých zaměstnanců a pracovníků,</w:t>
      </w:r>
    </w:p>
    <w:p w:rsidR="00191C31" w:rsidRDefault="00191C31" w:rsidP="00191C31">
      <w:pPr>
        <w:pStyle w:val="normal"/>
        <w:numPr>
          <w:ilvl w:val="0"/>
          <w:numId w:val="12"/>
        </w:numPr>
        <w:spacing w:after="240"/>
        <w:jc w:val="left"/>
        <w:rPr>
          <w:rFonts w:ascii="Athiti" w:eastAsia="Athiti" w:hAnsi="Athiti" w:cs="Athiti"/>
        </w:rPr>
      </w:pPr>
      <w:r>
        <w:rPr>
          <w:rFonts w:ascii="Athiti" w:eastAsia="Athiti" w:hAnsi="Athiti" w:cs="Athiti"/>
        </w:rPr>
        <w:t>postupy při porušení zásad nebo hlášení incidentů.</w:t>
      </w:r>
    </w:p>
    <w:p w:rsidR="00191C31" w:rsidRDefault="00191C31" w:rsidP="00191C31">
      <w:pPr>
        <w:pStyle w:val="normal"/>
        <w:spacing w:before="240" w:after="240"/>
        <w:rPr>
          <w:rFonts w:ascii="Athiti" w:eastAsia="Athiti" w:hAnsi="Athiti" w:cs="Athiti"/>
        </w:rPr>
      </w:pPr>
      <w:r>
        <w:rPr>
          <w:rFonts w:ascii="Athiti" w:eastAsia="Athiti" w:hAnsi="Athiti" w:cs="Athiti"/>
        </w:rPr>
        <w:t>Proškolení bude dokumentováno prostřednictvím prezenčních listin, záznamů v interním systému nebo jiným průkazným způsobem, který umožní doložit účast jednotlivých osob.</w:t>
      </w:r>
    </w:p>
    <w:p w:rsidR="00191C31" w:rsidRDefault="00191C31" w:rsidP="00191C31">
      <w:pPr>
        <w:pStyle w:val="Nadpis3"/>
        <w:keepNext w:val="0"/>
        <w:keepLines w:val="0"/>
        <w:spacing w:before="280" w:after="80"/>
        <w:rPr>
          <w:rFonts w:ascii="Athiti" w:eastAsia="Athiti" w:hAnsi="Athiti" w:cs="Athiti"/>
          <w:b/>
          <w:color w:val="000000"/>
          <w:sz w:val="26"/>
          <w:szCs w:val="26"/>
        </w:rPr>
      </w:pPr>
      <w:bookmarkStart w:id="22" w:name="_heading=h.pcat43g54mif" w:colFirst="0" w:colLast="0"/>
      <w:bookmarkEnd w:id="22"/>
      <w:r>
        <w:rPr>
          <w:rFonts w:ascii="Athiti" w:eastAsia="Athiti" w:hAnsi="Athiti" w:cs="Athiti"/>
          <w:b/>
          <w:color w:val="000000"/>
          <w:sz w:val="26"/>
          <w:szCs w:val="26"/>
        </w:rPr>
        <w:t>5.3 Revize a aktualizace Zásad</w:t>
      </w:r>
    </w:p>
    <w:p w:rsidR="00191C31" w:rsidRDefault="00191C31" w:rsidP="00191C31">
      <w:pPr>
        <w:pStyle w:val="normal"/>
        <w:spacing w:before="240" w:after="240"/>
        <w:rPr>
          <w:rFonts w:ascii="Athiti" w:eastAsia="Athiti" w:hAnsi="Athiti" w:cs="Athiti"/>
        </w:rPr>
      </w:pPr>
      <w:r>
        <w:rPr>
          <w:rFonts w:ascii="Athiti" w:eastAsia="Athiti" w:hAnsi="Athiti" w:cs="Athiti"/>
        </w:rPr>
        <w:t>Tyto Zásady podléhají pravidelné revizi, která probíhá:</w:t>
      </w:r>
    </w:p>
    <w:p w:rsidR="00191C31" w:rsidRDefault="00191C31" w:rsidP="00191C31">
      <w:pPr>
        <w:pStyle w:val="normal"/>
        <w:numPr>
          <w:ilvl w:val="0"/>
          <w:numId w:val="6"/>
        </w:numPr>
        <w:spacing w:before="240" w:after="0"/>
        <w:jc w:val="left"/>
        <w:rPr>
          <w:rFonts w:ascii="Athiti" w:eastAsia="Athiti" w:hAnsi="Athiti" w:cs="Athiti"/>
        </w:rPr>
      </w:pPr>
      <w:r>
        <w:rPr>
          <w:rFonts w:ascii="Athiti" w:eastAsia="Athiti" w:hAnsi="Athiti" w:cs="Athiti"/>
        </w:rPr>
        <w:t>minimálně jednou ročně v rámci pravidelného cyklu přezkumu,</w:t>
      </w:r>
    </w:p>
    <w:p w:rsidR="00191C31" w:rsidRDefault="00191C31" w:rsidP="00191C31">
      <w:pPr>
        <w:pStyle w:val="normal"/>
        <w:numPr>
          <w:ilvl w:val="0"/>
          <w:numId w:val="6"/>
        </w:numPr>
        <w:spacing w:after="0"/>
        <w:jc w:val="left"/>
        <w:rPr>
          <w:rFonts w:ascii="Athiti" w:eastAsia="Athiti" w:hAnsi="Athiti" w:cs="Athiti"/>
        </w:rPr>
      </w:pPr>
      <w:r>
        <w:rPr>
          <w:rFonts w:ascii="Athiti" w:eastAsia="Athiti" w:hAnsi="Athiti" w:cs="Athiti"/>
        </w:rPr>
        <w:lastRenderedPageBreak/>
        <w:t>bezprostředně při změnách relevantních právních předpisů, zejména nařízení MiCA a jeho prováděcích předpisů,</w:t>
      </w:r>
    </w:p>
    <w:p w:rsidR="00191C31" w:rsidRDefault="00191C31" w:rsidP="00191C31">
      <w:pPr>
        <w:pStyle w:val="normal"/>
        <w:numPr>
          <w:ilvl w:val="0"/>
          <w:numId w:val="6"/>
        </w:numPr>
        <w:spacing w:after="0"/>
        <w:jc w:val="left"/>
        <w:rPr>
          <w:rFonts w:ascii="Athiti" w:eastAsia="Athiti" w:hAnsi="Athiti" w:cs="Athiti"/>
        </w:rPr>
      </w:pPr>
      <w:r>
        <w:rPr>
          <w:rFonts w:ascii="Athiti" w:eastAsia="Athiti" w:hAnsi="Athiti" w:cs="Athiti"/>
        </w:rPr>
        <w:t>při vydání nebo aktualizaci obecných pokynů, doporučení a RTS ze strany ESMA, EBA nebo jiných příslušných orgánů,</w:t>
      </w:r>
    </w:p>
    <w:p w:rsidR="00191C31" w:rsidRDefault="00191C31" w:rsidP="00191C31">
      <w:pPr>
        <w:pStyle w:val="normal"/>
        <w:numPr>
          <w:ilvl w:val="0"/>
          <w:numId w:val="6"/>
        </w:numPr>
        <w:spacing w:after="240"/>
        <w:jc w:val="left"/>
        <w:rPr>
          <w:rFonts w:ascii="Athiti" w:eastAsia="Athiti" w:hAnsi="Athiti" w:cs="Athiti"/>
        </w:rPr>
      </w:pPr>
      <w:r>
        <w:rPr>
          <w:rFonts w:ascii="Athiti" w:eastAsia="Athiti" w:hAnsi="Athiti" w:cs="Athiti"/>
        </w:rPr>
        <w:t>po identifikaci nedostatků nebo incidentu, který odhalí slabinu v dosavadních postupech.</w:t>
      </w:r>
    </w:p>
    <w:p w:rsidR="00191C31" w:rsidRDefault="00191C31" w:rsidP="00191C31">
      <w:pPr>
        <w:pStyle w:val="normal"/>
        <w:spacing w:before="240" w:after="240"/>
        <w:rPr>
          <w:rFonts w:ascii="Athiti" w:eastAsia="Athiti" w:hAnsi="Athiti" w:cs="Athiti"/>
        </w:rPr>
      </w:pPr>
      <w:r>
        <w:rPr>
          <w:rFonts w:ascii="Athiti" w:eastAsia="Athiti" w:hAnsi="Athiti" w:cs="Athiti"/>
        </w:rPr>
        <w:t>Za revizi a aktuálnost těchto Zásad odpovídá Compliance &amp; AML Officer, který zajišťuje:</w:t>
      </w:r>
    </w:p>
    <w:p w:rsidR="00191C31" w:rsidRDefault="00191C31" w:rsidP="00191C31">
      <w:pPr>
        <w:pStyle w:val="normal"/>
        <w:numPr>
          <w:ilvl w:val="0"/>
          <w:numId w:val="4"/>
        </w:numPr>
        <w:spacing w:before="240" w:after="0"/>
        <w:jc w:val="left"/>
        <w:rPr>
          <w:rFonts w:ascii="Athiti" w:eastAsia="Athiti" w:hAnsi="Athiti" w:cs="Athiti"/>
        </w:rPr>
      </w:pPr>
      <w:r>
        <w:rPr>
          <w:rFonts w:ascii="Athiti" w:eastAsia="Athiti" w:hAnsi="Athiti" w:cs="Athiti"/>
        </w:rPr>
        <w:t>vyhodnocení aktuálnosti dokumentu a jeho souladu s právními předpisy,</w:t>
      </w:r>
    </w:p>
    <w:p w:rsidR="00191C31" w:rsidRDefault="00191C31" w:rsidP="00191C31">
      <w:pPr>
        <w:pStyle w:val="normal"/>
        <w:numPr>
          <w:ilvl w:val="0"/>
          <w:numId w:val="4"/>
        </w:numPr>
        <w:spacing w:after="0"/>
        <w:jc w:val="left"/>
        <w:rPr>
          <w:rFonts w:ascii="Athiti" w:eastAsia="Athiti" w:hAnsi="Athiti" w:cs="Athiti"/>
        </w:rPr>
      </w:pPr>
      <w:r>
        <w:rPr>
          <w:rFonts w:ascii="Athiti" w:eastAsia="Athiti" w:hAnsi="Athiti" w:cs="Athiti"/>
        </w:rPr>
        <w:t>přípravu návrhu změn a aktualizací,</w:t>
      </w:r>
    </w:p>
    <w:p w:rsidR="00191C31" w:rsidRDefault="00191C31" w:rsidP="00191C31">
      <w:pPr>
        <w:pStyle w:val="normal"/>
        <w:numPr>
          <w:ilvl w:val="0"/>
          <w:numId w:val="4"/>
        </w:numPr>
        <w:spacing w:after="0"/>
        <w:jc w:val="left"/>
        <w:rPr>
          <w:rFonts w:ascii="Athiti" w:eastAsia="Athiti" w:hAnsi="Athiti" w:cs="Athiti"/>
        </w:rPr>
      </w:pPr>
      <w:r>
        <w:rPr>
          <w:rFonts w:ascii="Athiti" w:eastAsia="Athiti" w:hAnsi="Athiti" w:cs="Athiti"/>
        </w:rPr>
        <w:t>předložení návrhu k projednání a schválení vedením společnosti,</w:t>
      </w:r>
    </w:p>
    <w:p w:rsidR="00191C31" w:rsidRDefault="00191C31" w:rsidP="00191C31">
      <w:pPr>
        <w:pStyle w:val="normal"/>
        <w:numPr>
          <w:ilvl w:val="0"/>
          <w:numId w:val="4"/>
        </w:numPr>
        <w:spacing w:after="240"/>
        <w:jc w:val="left"/>
        <w:rPr>
          <w:rFonts w:ascii="Athiti" w:eastAsia="Athiti" w:hAnsi="Athiti" w:cs="Athiti"/>
        </w:rPr>
      </w:pPr>
      <w:r>
        <w:rPr>
          <w:rFonts w:ascii="Athiti" w:eastAsia="Athiti" w:hAnsi="Athiti" w:cs="Athiti"/>
        </w:rPr>
        <w:t>informování všech dotčených osob o změnách a zajištění aktualizace ve složce „Zásady a postupy společnosti“.</w:t>
      </w:r>
    </w:p>
    <w:p w:rsidR="00191C31" w:rsidRDefault="00191C31" w:rsidP="00191C31">
      <w:pPr>
        <w:pStyle w:val="Nadpis3"/>
        <w:keepNext w:val="0"/>
        <w:keepLines w:val="0"/>
        <w:spacing w:before="280" w:after="80"/>
        <w:rPr>
          <w:rFonts w:ascii="Athiti" w:eastAsia="Athiti" w:hAnsi="Athiti" w:cs="Athiti"/>
          <w:b/>
          <w:color w:val="000000"/>
          <w:sz w:val="26"/>
          <w:szCs w:val="26"/>
        </w:rPr>
      </w:pPr>
      <w:bookmarkStart w:id="23" w:name="_heading=h.snolfgfx5csp" w:colFirst="0" w:colLast="0"/>
      <w:bookmarkEnd w:id="23"/>
      <w:r>
        <w:rPr>
          <w:rFonts w:ascii="Athiti" w:eastAsia="Athiti" w:hAnsi="Athiti" w:cs="Athiti"/>
          <w:b/>
          <w:color w:val="000000"/>
          <w:sz w:val="26"/>
          <w:szCs w:val="26"/>
        </w:rPr>
        <w:t>5.4 Účinnost</w:t>
      </w:r>
    </w:p>
    <w:p w:rsidR="00191C31" w:rsidRDefault="00191C31" w:rsidP="00191C31">
      <w:pPr>
        <w:pStyle w:val="normal"/>
        <w:spacing w:before="240" w:after="240"/>
        <w:rPr>
          <w:rFonts w:ascii="Athiti" w:eastAsia="Athiti" w:hAnsi="Athiti" w:cs="Athiti"/>
        </w:rPr>
      </w:pPr>
      <w:r>
        <w:rPr>
          <w:rFonts w:ascii="Athiti" w:eastAsia="Athiti" w:hAnsi="Athiti" w:cs="Athiti"/>
        </w:rPr>
        <w:t>Tyto Zásady nabývají platnosti a účinnosti ke dni jejich schválení vedením společnosti. Datum schválení a účinnosti je uvedeno v záhlaví dokumentu.</w:t>
      </w:r>
    </w:p>
    <w:p w:rsidR="00191C31" w:rsidRDefault="00191C31" w:rsidP="00191C31">
      <w:pPr>
        <w:pStyle w:val="normal"/>
        <w:spacing w:after="0"/>
        <w:rPr>
          <w:rFonts w:ascii="Athiti" w:eastAsia="Athiti" w:hAnsi="Athiti" w:cs="Athiti"/>
        </w:rPr>
      </w:pPr>
    </w:p>
    <w:p w:rsidR="00191C31" w:rsidRDefault="00191C31" w:rsidP="00191C31">
      <w:pPr>
        <w:pStyle w:val="normal"/>
        <w:spacing w:after="0"/>
        <w:rPr>
          <w:rFonts w:ascii="Athiti" w:eastAsia="Athiti" w:hAnsi="Athiti" w:cs="Athiti"/>
        </w:rPr>
      </w:pPr>
      <w:r>
        <w:rPr>
          <w:rFonts w:ascii="Athiti" w:eastAsia="Athiti" w:hAnsi="Athiti" w:cs="Athiti"/>
          <w:sz w:val="18"/>
          <w:szCs w:val="18"/>
        </w:rPr>
        <w:t xml:space="preserve"> </w:t>
      </w:r>
    </w:p>
    <w:p w:rsidR="00B06DB5" w:rsidRDefault="00B06DB5"/>
    <w:sectPr w:rsidR="00B06DB5" w:rsidSect="005069AA">
      <w:headerReference w:type="default" r:id="rId7"/>
      <w:footerReference w:type="default" r:id="rId8"/>
      <w:headerReference w:type="first" r:id="rId9"/>
      <w:footerReference w:type="first" r:id="rId10"/>
      <w:pgSz w:w="11906" w:h="16838"/>
      <w:pgMar w:top="990" w:right="1134" w:bottom="720" w:left="1134" w:header="709" w:footer="709"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D47" w:rsidRDefault="007F6D47" w:rsidP="00533C26">
      <w:pPr>
        <w:spacing w:after="0" w:line="240" w:lineRule="auto"/>
      </w:pPr>
      <w:r>
        <w:separator/>
      </w:r>
    </w:p>
  </w:endnote>
  <w:endnote w:type="continuationSeparator" w:id="1">
    <w:p w:rsidR="007F6D47" w:rsidRDefault="007F6D47" w:rsidP="00533C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thiti">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12" w:rsidRDefault="00191C31">
    <w:pPr>
      <w:pStyle w:val="normal"/>
      <w:tabs>
        <w:tab w:val="center" w:pos="4677"/>
        <w:tab w:val="right" w:pos="9355"/>
      </w:tabs>
      <w:spacing w:after="0" w:line="240" w:lineRule="auto"/>
      <w:jc w:val="center"/>
    </w:pPr>
    <w:r>
      <w:rPr>
        <w:noProof/>
      </w:rPr>
      <w:drawing>
        <wp:inline distT="0" distB="0" distL="0" distR="0">
          <wp:extent cx="5495925" cy="73660"/>
          <wp:effectExtent l="0" t="0" r="0" b="0"/>
          <wp:docPr id="5" name="image1.png" descr="Light horizontal"/>
          <wp:cNvGraphicFramePr/>
          <a:graphic xmlns:a="http://schemas.openxmlformats.org/drawingml/2006/main">
            <a:graphicData uri="http://schemas.openxmlformats.org/drawingml/2006/picture">
              <pic:pic xmlns:pic="http://schemas.openxmlformats.org/drawingml/2006/picture">
                <pic:nvPicPr>
                  <pic:cNvPr id="0" name="image1.png" descr="Light horizontal"/>
                  <pic:cNvPicPr preferRelativeResize="0"/>
                </pic:nvPicPr>
                <pic:blipFill>
                  <a:blip r:embed="rId1"/>
                  <a:srcRect/>
                  <a:stretch>
                    <a:fillRect/>
                  </a:stretch>
                </pic:blipFill>
                <pic:spPr>
                  <a:xfrm>
                    <a:off x="0" y="0"/>
                    <a:ext cx="5495925" cy="73660"/>
                  </a:xfrm>
                  <a:prstGeom prst="rect">
                    <a:avLst/>
                  </a:prstGeom>
                  <a:ln/>
                </pic:spPr>
              </pic:pic>
            </a:graphicData>
          </a:graphic>
        </wp:inline>
      </w:drawing>
    </w:r>
  </w:p>
  <w:p w:rsidR="00713412" w:rsidRDefault="001F0918">
    <w:pPr>
      <w:pStyle w:val="normal"/>
      <w:tabs>
        <w:tab w:val="center" w:pos="4677"/>
        <w:tab w:val="right" w:pos="9355"/>
      </w:tabs>
      <w:spacing w:after="0" w:line="240" w:lineRule="auto"/>
      <w:jc w:val="center"/>
      <w:rPr>
        <w:rFonts w:ascii="Athiti" w:eastAsia="Athiti" w:hAnsi="Athiti" w:cs="Athiti"/>
      </w:rPr>
    </w:pPr>
    <w:r>
      <w:rPr>
        <w:rFonts w:ascii="Athiti" w:eastAsia="Athiti" w:hAnsi="Athiti" w:cs="Athiti"/>
      </w:rPr>
      <w:fldChar w:fldCharType="begin"/>
    </w:r>
    <w:r w:rsidR="00191C31">
      <w:rPr>
        <w:rFonts w:ascii="Athiti" w:eastAsia="Athiti" w:hAnsi="Athiti" w:cs="Athiti"/>
      </w:rPr>
      <w:instrText>PAGE</w:instrText>
    </w:r>
    <w:r>
      <w:rPr>
        <w:rFonts w:ascii="Athiti" w:eastAsia="Athiti" w:hAnsi="Athiti" w:cs="Athiti"/>
      </w:rPr>
      <w:fldChar w:fldCharType="separate"/>
    </w:r>
    <w:r w:rsidR="00823544">
      <w:rPr>
        <w:rFonts w:ascii="Athiti" w:eastAsia="Athiti" w:hAnsi="Athiti" w:cs="Athiti"/>
        <w:noProof/>
      </w:rPr>
      <w:t>14</w:t>
    </w:r>
    <w:r>
      <w:rPr>
        <w:rFonts w:ascii="Athiti" w:eastAsia="Athiti" w:hAnsi="Athiti" w:cs="Athiti"/>
      </w:rPr>
      <w:fldChar w:fldCharType="end"/>
    </w:r>
  </w:p>
  <w:p w:rsidR="00713412" w:rsidRDefault="007F6D47">
    <w:pPr>
      <w:pStyle w:val="normal"/>
      <w:tabs>
        <w:tab w:val="center" w:pos="4677"/>
        <w:tab w:val="right" w:pos="9355"/>
      </w:tabs>
      <w:spacing w:after="0"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12" w:rsidRDefault="007F6D47">
    <w:pPr>
      <w:pStyle w:val="norma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D47" w:rsidRDefault="007F6D47" w:rsidP="00533C26">
      <w:pPr>
        <w:spacing w:after="0" w:line="240" w:lineRule="auto"/>
      </w:pPr>
      <w:r>
        <w:separator/>
      </w:r>
    </w:p>
  </w:footnote>
  <w:footnote w:type="continuationSeparator" w:id="1">
    <w:p w:rsidR="007F6D47" w:rsidRDefault="007F6D47" w:rsidP="00533C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12" w:rsidRDefault="00191C31">
    <w:pPr>
      <w:pStyle w:val="normal"/>
    </w:pPr>
    <w:r>
      <w:rPr>
        <w:noProof/>
      </w:rPr>
      <w:drawing>
        <wp:anchor distT="0" distB="0" distL="114300" distR="114300" simplePos="0" relativeHeight="251659264" behindDoc="0" locked="0" layoutInCell="1" allowOverlap="1">
          <wp:simplePos x="0" y="0"/>
          <wp:positionH relativeFrom="page">
            <wp:posOffset>-9522</wp:posOffset>
          </wp:positionH>
          <wp:positionV relativeFrom="page">
            <wp:posOffset>-9522</wp:posOffset>
          </wp:positionV>
          <wp:extent cx="109050" cy="10747050"/>
          <wp:effectExtent l="0" t="0" r="0" b="0"/>
          <wp:wrapSquare wrapText="bothSides" distT="0" distB="0" distL="114300" distR="11430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09050" cy="10747050"/>
                  </a:xfrm>
                  <a:prstGeom prst="rect">
                    <a:avLst/>
                  </a:prstGeom>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12" w:rsidRDefault="00191C31">
    <w:pPr>
      <w:pStyle w:val="normal"/>
      <w:jc w:val="right"/>
    </w:pPr>
    <w:r>
      <w:rPr>
        <w:noProof/>
      </w:rPr>
      <w:drawing>
        <wp:anchor distT="0" distB="0" distL="114300" distR="114300" simplePos="0" relativeHeight="251660288" behindDoc="0" locked="0" layoutInCell="1" allowOverlap="1">
          <wp:simplePos x="0" y="0"/>
          <wp:positionH relativeFrom="page">
            <wp:posOffset>-9522</wp:posOffset>
          </wp:positionH>
          <wp:positionV relativeFrom="page">
            <wp:posOffset>-9522</wp:posOffset>
          </wp:positionV>
          <wp:extent cx="109050" cy="10747050"/>
          <wp:effectExtent l="0" t="0" r="0" b="0"/>
          <wp:wrapSquare wrapText="bothSides" distT="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9050" cy="1074705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C5367"/>
    <w:multiLevelType w:val="multilevel"/>
    <w:tmpl w:val="BFB29A0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C631AC8"/>
    <w:multiLevelType w:val="multilevel"/>
    <w:tmpl w:val="29C6D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4AE3AC0"/>
    <w:multiLevelType w:val="multilevel"/>
    <w:tmpl w:val="24E82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55D68B9"/>
    <w:multiLevelType w:val="multilevel"/>
    <w:tmpl w:val="B2785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C6E1660"/>
    <w:multiLevelType w:val="multilevel"/>
    <w:tmpl w:val="2A64A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054267A"/>
    <w:multiLevelType w:val="multilevel"/>
    <w:tmpl w:val="85A20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C7747C7"/>
    <w:multiLevelType w:val="multilevel"/>
    <w:tmpl w:val="B20040A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71D4111"/>
    <w:multiLevelType w:val="multilevel"/>
    <w:tmpl w:val="ED266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79E1D33"/>
    <w:multiLevelType w:val="multilevel"/>
    <w:tmpl w:val="EA020B0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3240" w:hanging="720"/>
      </w:pPr>
      <w:rPr>
        <w:rFonts w:ascii="Calibri" w:eastAsia="Calibri" w:hAnsi="Calibri" w:cs="Calibri"/>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C7C3A59"/>
    <w:multiLevelType w:val="multilevel"/>
    <w:tmpl w:val="3CF03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706D5720"/>
    <w:multiLevelType w:val="multilevel"/>
    <w:tmpl w:val="57467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7CB57AE4"/>
    <w:multiLevelType w:val="multilevel"/>
    <w:tmpl w:val="884A0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EF3142F"/>
    <w:multiLevelType w:val="multilevel"/>
    <w:tmpl w:val="9356A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5"/>
  </w:num>
  <w:num w:numId="3">
    <w:abstractNumId w:val="1"/>
  </w:num>
  <w:num w:numId="4">
    <w:abstractNumId w:val="3"/>
  </w:num>
  <w:num w:numId="5">
    <w:abstractNumId w:val="7"/>
  </w:num>
  <w:num w:numId="6">
    <w:abstractNumId w:val="11"/>
  </w:num>
  <w:num w:numId="7">
    <w:abstractNumId w:val="4"/>
  </w:num>
  <w:num w:numId="8">
    <w:abstractNumId w:val="6"/>
  </w:num>
  <w:num w:numId="9">
    <w:abstractNumId w:val="8"/>
  </w:num>
  <w:num w:numId="10">
    <w:abstractNumId w:val="0"/>
  </w:num>
  <w:num w:numId="11">
    <w:abstractNumId w:val="9"/>
  </w:num>
  <w:num w:numId="12">
    <w:abstractNumId w:val="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191C31"/>
    <w:rsid w:val="000A57D4"/>
    <w:rsid w:val="00191C31"/>
    <w:rsid w:val="001F0918"/>
    <w:rsid w:val="005069AA"/>
    <w:rsid w:val="00533C26"/>
    <w:rsid w:val="007F6D47"/>
    <w:rsid w:val="008019D2"/>
    <w:rsid w:val="00823544"/>
    <w:rsid w:val="00B06DB5"/>
    <w:rsid w:val="00F93E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1C31"/>
    <w:pPr>
      <w:spacing w:after="160"/>
      <w:jc w:val="both"/>
    </w:pPr>
    <w:rPr>
      <w:rFonts w:ascii="Times New Roman" w:eastAsia="Times New Roman" w:hAnsi="Times New Roman" w:cs="Times New Roman"/>
      <w:sz w:val="24"/>
      <w:szCs w:val="24"/>
      <w:lang w:val="cs-CZ"/>
    </w:rPr>
  </w:style>
  <w:style w:type="paragraph" w:styleId="Nadpis1">
    <w:name w:val="heading 1"/>
    <w:basedOn w:val="normal"/>
    <w:next w:val="normal"/>
    <w:link w:val="Nadpis1Char"/>
    <w:rsid w:val="00191C31"/>
    <w:pPr>
      <w:keepNext/>
      <w:keepLines/>
      <w:spacing w:before="360" w:after="240"/>
      <w:outlineLvl w:val="0"/>
    </w:pPr>
    <w:rPr>
      <w:rFonts w:ascii="Calibri" w:eastAsia="Calibri" w:hAnsi="Calibri" w:cs="Calibri"/>
      <w:b/>
      <w:sz w:val="36"/>
      <w:szCs w:val="36"/>
    </w:rPr>
  </w:style>
  <w:style w:type="paragraph" w:styleId="Nadpis2">
    <w:name w:val="heading 2"/>
    <w:basedOn w:val="normal"/>
    <w:next w:val="normal"/>
    <w:link w:val="Nadpis2Char"/>
    <w:rsid w:val="00191C31"/>
    <w:pPr>
      <w:keepNext/>
      <w:keepLines/>
      <w:outlineLvl w:val="1"/>
    </w:pPr>
    <w:rPr>
      <w:rFonts w:ascii="Calibri" w:eastAsia="Calibri" w:hAnsi="Calibri" w:cs="Calibri"/>
      <w:sz w:val="30"/>
      <w:szCs w:val="30"/>
    </w:rPr>
  </w:style>
  <w:style w:type="paragraph" w:styleId="Nadpis3">
    <w:name w:val="heading 3"/>
    <w:basedOn w:val="normal"/>
    <w:next w:val="normal"/>
    <w:link w:val="Nadpis3Char"/>
    <w:rsid w:val="00191C31"/>
    <w:pPr>
      <w:keepNext/>
      <w:keepLines/>
      <w:spacing w:before="40" w:after="0"/>
      <w:outlineLvl w:val="2"/>
    </w:pPr>
    <w:rPr>
      <w:rFonts w:ascii="Calibri" w:eastAsia="Calibri" w:hAnsi="Calibri" w:cs="Calibri"/>
      <w:color w:val="1F386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91C31"/>
    <w:rPr>
      <w:rFonts w:ascii="Calibri" w:eastAsia="Calibri" w:hAnsi="Calibri" w:cs="Calibri"/>
      <w:b/>
      <w:sz w:val="36"/>
      <w:szCs w:val="36"/>
    </w:rPr>
  </w:style>
  <w:style w:type="character" w:customStyle="1" w:styleId="Nadpis2Char">
    <w:name w:val="Nadpis 2 Char"/>
    <w:basedOn w:val="Standardnpsmoodstavce"/>
    <w:link w:val="Nadpis2"/>
    <w:rsid w:val="00191C31"/>
    <w:rPr>
      <w:rFonts w:ascii="Calibri" w:eastAsia="Calibri" w:hAnsi="Calibri" w:cs="Calibri"/>
      <w:sz w:val="30"/>
      <w:szCs w:val="30"/>
    </w:rPr>
  </w:style>
  <w:style w:type="character" w:customStyle="1" w:styleId="Nadpis3Char">
    <w:name w:val="Nadpis 3 Char"/>
    <w:basedOn w:val="Standardnpsmoodstavce"/>
    <w:link w:val="Nadpis3"/>
    <w:rsid w:val="00191C31"/>
    <w:rPr>
      <w:rFonts w:ascii="Calibri" w:eastAsia="Calibri" w:hAnsi="Calibri" w:cs="Calibri"/>
      <w:color w:val="1F3863"/>
      <w:sz w:val="24"/>
      <w:szCs w:val="24"/>
    </w:rPr>
  </w:style>
  <w:style w:type="paragraph" w:styleId="Nzev">
    <w:name w:val="Title"/>
    <w:basedOn w:val="normal"/>
    <w:next w:val="normal"/>
    <w:link w:val="NzevChar"/>
    <w:rsid w:val="00191C31"/>
    <w:pPr>
      <w:keepNext/>
      <w:keepLines/>
      <w:spacing w:before="480" w:after="120"/>
    </w:pPr>
    <w:rPr>
      <w:b/>
      <w:sz w:val="72"/>
      <w:szCs w:val="72"/>
    </w:rPr>
  </w:style>
  <w:style w:type="character" w:customStyle="1" w:styleId="NzevChar">
    <w:name w:val="Název Char"/>
    <w:basedOn w:val="Standardnpsmoodstavce"/>
    <w:link w:val="Nzev"/>
    <w:rsid w:val="00191C31"/>
    <w:rPr>
      <w:rFonts w:ascii="Times New Roman" w:eastAsia="Times New Roman" w:hAnsi="Times New Roman" w:cs="Times New Roman"/>
      <w:b/>
      <w:sz w:val="72"/>
      <w:szCs w:val="72"/>
    </w:rPr>
  </w:style>
  <w:style w:type="paragraph" w:customStyle="1" w:styleId="normal">
    <w:name w:val="normal"/>
    <w:rsid w:val="00191C31"/>
    <w:pPr>
      <w:spacing w:after="160"/>
      <w:jc w:val="both"/>
    </w:pPr>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191C3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91C3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15</Pages>
  <Words>4022</Words>
  <Characters>22928</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Zman Kesef</dc:creator>
  <cp:lastModifiedBy>Zman Kesef</cp:lastModifiedBy>
  <cp:revision>3</cp:revision>
  <dcterms:created xsi:type="dcterms:W3CDTF">2025-07-24T23:39:00Z</dcterms:created>
  <dcterms:modified xsi:type="dcterms:W3CDTF">2025-07-30T02:48:00Z</dcterms:modified>
</cp:coreProperties>
</file>