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DC" w:rsidRPr="007250D1" w:rsidRDefault="005A7CDC" w:rsidP="005A7CDC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bookmarkStart w:id="0" w:name="_heading=h.mvp1zjzdanfo" w:colFirst="0" w:colLast="0"/>
      <w:bookmarkEnd w:id="0"/>
    </w:p>
    <w:p w:rsidR="005A7CDC" w:rsidRPr="007250D1" w:rsidRDefault="005A7CDC" w:rsidP="005A7CDC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</w:p>
    <w:p w:rsidR="005A7CDC" w:rsidRPr="007250D1" w:rsidRDefault="005A7CDC" w:rsidP="005A7CDC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</w:p>
    <w:p w:rsidR="005A7CDC" w:rsidRPr="007250D1" w:rsidRDefault="005A7CDC" w:rsidP="005A7CDC">
      <w:pPr>
        <w:pStyle w:val="normal"/>
        <w:jc w:val="center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r w:rsidRPr="007250D1">
        <w:rPr>
          <w:rFonts w:ascii="Athiti" w:eastAsia="Athiti" w:hAnsi="Athiti" w:cs="Athiti"/>
          <w:b/>
          <w:sz w:val="48"/>
          <w:szCs w:val="48"/>
          <w:lang w:val="cs-CZ"/>
        </w:rPr>
        <w:t>Politika klasifikace a nakládání s informacemi</w:t>
      </w:r>
    </w:p>
    <w:p w:rsidR="005A7CDC" w:rsidRPr="007250D1" w:rsidRDefault="005A7CDC" w:rsidP="005A7CDC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</w:p>
    <w:p w:rsidR="005A7CDC" w:rsidRPr="007250D1" w:rsidRDefault="005A7CDC" w:rsidP="005A7CDC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bookmarkStart w:id="1" w:name="_heading=h.jzwo3hq9hv5w" w:colFirst="0" w:colLast="0"/>
      <w:bookmarkEnd w:id="1"/>
    </w:p>
    <w:p w:rsidR="005A7CDC" w:rsidRPr="007250D1" w:rsidRDefault="005A7CDC" w:rsidP="005A7CDC">
      <w:pPr>
        <w:pStyle w:val="normal"/>
        <w:jc w:val="center"/>
        <w:rPr>
          <w:rFonts w:ascii="Athiti" w:eastAsia="Athiti" w:hAnsi="Athiti" w:cs="Athiti"/>
          <w:lang w:val="cs-CZ"/>
        </w:rPr>
      </w:pPr>
    </w:p>
    <w:p w:rsidR="005A7CDC" w:rsidRPr="007250D1" w:rsidRDefault="005A7CDC" w:rsidP="005A7CDC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18"/>
          <w:szCs w:val="18"/>
          <w:lang w:val="cs-CZ"/>
        </w:rPr>
      </w:pPr>
    </w:p>
    <w:tbl>
      <w:tblPr>
        <w:tblpPr w:leftFromText="180" w:rightFromText="180" w:topFromText="180" w:bottomFromText="180" w:vertAnchor="text" w:horzAnchor="page" w:tblpX="5910" w:tblpY="3080"/>
        <w:tblW w:w="5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9"/>
        <w:gridCol w:w="2746"/>
      </w:tblGrid>
      <w:tr w:rsidR="005A7CDC" w:rsidRPr="007250D1" w:rsidTr="00CF6722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5A7CDC" w:rsidRPr="007250D1" w:rsidRDefault="005A7CDC" w:rsidP="00CF6722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Verze:</w:t>
            </w:r>
          </w:p>
        </w:tc>
        <w:tc>
          <w:tcPr>
            <w:tcW w:w="2746" w:type="dxa"/>
          </w:tcPr>
          <w:p w:rsidR="005A7CDC" w:rsidRPr="007250D1" w:rsidRDefault="005A7CDC" w:rsidP="00CF6722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7250D1">
              <w:rPr>
                <w:rFonts w:ascii="Athiti" w:eastAsia="Athiti" w:hAnsi="Athiti" w:cs="Athiti"/>
                <w:sz w:val="20"/>
                <w:szCs w:val="20"/>
                <w:lang w:val="cs-CZ"/>
              </w:rPr>
              <w:t>1.0</w:t>
            </w:r>
          </w:p>
        </w:tc>
      </w:tr>
      <w:tr w:rsidR="005A7CDC" w:rsidRPr="007250D1" w:rsidTr="00CF6722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5A7CDC" w:rsidRPr="007250D1" w:rsidRDefault="005A7CDC" w:rsidP="00CF6722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dne:</w:t>
            </w:r>
          </w:p>
        </w:tc>
        <w:tc>
          <w:tcPr>
            <w:tcW w:w="2746" w:type="dxa"/>
          </w:tcPr>
          <w:p w:rsidR="005A7CDC" w:rsidRPr="007250D1" w:rsidRDefault="002E4EEC" w:rsidP="00CF6722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  <w:tr w:rsidR="005A7CDC" w:rsidRPr="007250D1" w:rsidTr="00CF6722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5A7CDC" w:rsidRPr="007250D1" w:rsidRDefault="005A7CDC" w:rsidP="00CF6722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oddělením:</w:t>
            </w:r>
          </w:p>
        </w:tc>
        <w:tc>
          <w:tcPr>
            <w:tcW w:w="2746" w:type="dxa"/>
          </w:tcPr>
          <w:p w:rsidR="005A7CDC" w:rsidRPr="007250D1" w:rsidRDefault="005A7CDC" w:rsidP="00CF6722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7250D1">
              <w:rPr>
                <w:rFonts w:ascii="Athiti" w:eastAsia="Athiti" w:hAnsi="Athiti" w:cs="Athiti"/>
                <w:sz w:val="20"/>
                <w:szCs w:val="20"/>
                <w:lang w:val="cs-CZ"/>
              </w:rPr>
              <w:t>Compliance</w:t>
            </w:r>
          </w:p>
        </w:tc>
      </w:tr>
      <w:tr w:rsidR="005A7CDC" w:rsidRPr="007250D1" w:rsidTr="00CF6722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5A7CDC" w:rsidRPr="007250D1" w:rsidRDefault="005A7CDC" w:rsidP="00CF6722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Naposledy aktualizováno:</w:t>
            </w:r>
          </w:p>
        </w:tc>
        <w:tc>
          <w:tcPr>
            <w:tcW w:w="2746" w:type="dxa"/>
          </w:tcPr>
          <w:p w:rsidR="005A7CDC" w:rsidRPr="007250D1" w:rsidRDefault="002E4EEC" w:rsidP="00CF6722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</w:tbl>
    <w:p w:rsidR="005A7CDC" w:rsidRPr="007250D1" w:rsidRDefault="005A7CDC" w:rsidP="005A7CDC">
      <w:pPr>
        <w:pStyle w:val="normal"/>
        <w:spacing w:before="240" w:after="240" w:line="240" w:lineRule="auto"/>
        <w:jc w:val="left"/>
        <w:rPr>
          <w:rFonts w:ascii="Athiti" w:eastAsia="Athiti" w:hAnsi="Athiti" w:cs="Athiti"/>
          <w:sz w:val="18"/>
          <w:szCs w:val="18"/>
          <w:lang w:val="cs-CZ"/>
        </w:rPr>
      </w:pPr>
      <w:r w:rsidRPr="007250D1">
        <w:rPr>
          <w:lang w:val="cs-CZ"/>
        </w:rPr>
        <w:br w:type="page"/>
      </w:r>
    </w:p>
    <w:p w:rsidR="005A7CDC" w:rsidRPr="007250D1" w:rsidRDefault="005A7CDC" w:rsidP="005A7CDC">
      <w:pPr>
        <w:pStyle w:val="normal"/>
        <w:jc w:val="left"/>
        <w:rPr>
          <w:rFonts w:ascii="Athiti" w:eastAsia="Athiti" w:hAnsi="Athiti" w:cs="Athiti"/>
          <w:color w:val="444444"/>
          <w:sz w:val="20"/>
          <w:szCs w:val="20"/>
          <w:lang w:val="cs-CZ"/>
        </w:rPr>
      </w:pPr>
    </w:p>
    <w:p w:rsidR="005A7CDC" w:rsidRPr="007250D1" w:rsidRDefault="005A7CDC" w:rsidP="005A7CDC">
      <w:pPr>
        <w:pStyle w:val="normal"/>
        <w:keepNext/>
        <w:keepLines/>
        <w:spacing w:before="360" w:after="240"/>
        <w:jc w:val="left"/>
        <w:rPr>
          <w:rFonts w:ascii="Athiti" w:eastAsia="Athiti" w:hAnsi="Athiti" w:cs="Athiti"/>
          <w:b/>
          <w:sz w:val="36"/>
          <w:szCs w:val="36"/>
          <w:lang w:val="cs-CZ"/>
        </w:rPr>
      </w:pPr>
      <w:r w:rsidRPr="007250D1">
        <w:rPr>
          <w:rFonts w:ascii="Athiti" w:eastAsia="Athiti" w:hAnsi="Athiti" w:cs="Athiti"/>
          <w:b/>
          <w:sz w:val="36"/>
          <w:szCs w:val="36"/>
          <w:lang w:val="cs-CZ"/>
        </w:rPr>
        <w:t>Obsah</w:t>
      </w:r>
    </w:p>
    <w:sdt>
      <w:sdtPr>
        <w:rPr>
          <w:lang w:val="cs-CZ"/>
        </w:rPr>
        <w:id w:val="168321783"/>
        <w:docPartObj>
          <w:docPartGallery w:val="Table of Contents"/>
          <w:docPartUnique/>
        </w:docPartObj>
      </w:sdtPr>
      <w:sdtContent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rial" w:eastAsia="Arial" w:hAnsi="Arial" w:cs="Arial"/>
              <w:b/>
              <w:color w:val="000000"/>
              <w:sz w:val="22"/>
              <w:szCs w:val="22"/>
              <w:lang w:val="cs-CZ"/>
            </w:rPr>
          </w:pPr>
          <w:r w:rsidRPr="007250D1">
            <w:rPr>
              <w:lang w:val="cs-CZ"/>
            </w:rPr>
            <w:fldChar w:fldCharType="begin"/>
          </w:r>
          <w:r w:rsidR="005A7CDC" w:rsidRPr="007250D1">
            <w:rPr>
              <w:lang w:val="cs-CZ"/>
            </w:rPr>
            <w:instrText xml:space="preserve"> TOC \h \u \z \t "Heading 1,1,Heading 2,2,Heading 3,3,"</w:instrText>
          </w:r>
          <w:r w:rsidRPr="007250D1">
            <w:rPr>
              <w:lang w:val="cs-CZ"/>
            </w:rPr>
            <w:fldChar w:fldCharType="separate"/>
          </w:r>
          <w:hyperlink w:anchor="_heading=h.g2wcud5u8z3m">
            <w:r w:rsidR="005A7CDC" w:rsidRPr="007250D1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Pojmy a definice</w:t>
            </w:r>
            <w:r w:rsidR="005A7CDC" w:rsidRPr="007250D1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2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rial" w:eastAsia="Arial" w:hAnsi="Arial" w:cs="Arial"/>
              <w:b/>
              <w:color w:val="000000"/>
              <w:sz w:val="22"/>
              <w:szCs w:val="22"/>
              <w:lang w:val="cs-CZ"/>
            </w:rPr>
          </w:pPr>
          <w:hyperlink w:anchor="_heading=h.e6z0coekdghu">
            <w:r w:rsidR="005A7CDC" w:rsidRPr="007250D1">
              <w:rPr>
                <w:rFonts w:ascii="Athiti" w:eastAsia="Athiti" w:hAnsi="Athiti" w:cs="Athiti"/>
                <w:b/>
                <w:color w:val="000000"/>
                <w:lang w:val="cs-CZ"/>
              </w:rPr>
              <w:t>1 Úvod</w:t>
            </w:r>
            <w:r w:rsidR="005A7CDC" w:rsidRPr="007250D1">
              <w:rPr>
                <w:rFonts w:ascii="Athiti" w:eastAsia="Athiti" w:hAnsi="Athiti" w:cs="Athiti"/>
                <w:b/>
                <w:color w:val="000000"/>
                <w:lang w:val="cs-CZ"/>
              </w:rPr>
              <w:tab/>
              <w:t>4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rial" w:eastAsia="Arial" w:hAnsi="Arial" w:cs="Arial"/>
              <w:b/>
              <w:color w:val="000000"/>
              <w:sz w:val="22"/>
              <w:szCs w:val="22"/>
              <w:lang w:val="cs-CZ"/>
            </w:rPr>
          </w:pPr>
          <w:hyperlink w:anchor="_heading=h.ahuapd6hb3j6">
            <w:r w:rsidR="005A7CDC" w:rsidRPr="007250D1">
              <w:rPr>
                <w:rFonts w:ascii="Athiti" w:eastAsia="Athiti" w:hAnsi="Athiti" w:cs="Athiti"/>
                <w:b/>
                <w:color w:val="000000"/>
                <w:lang w:val="cs-CZ"/>
              </w:rPr>
              <w:t>2 Obecná ustanovení</w:t>
            </w:r>
            <w:r w:rsidR="005A7CDC" w:rsidRPr="007250D1">
              <w:rPr>
                <w:rFonts w:ascii="Athiti" w:eastAsia="Athiti" w:hAnsi="Athiti" w:cs="Athiti"/>
                <w:b/>
                <w:color w:val="000000"/>
                <w:lang w:val="cs-CZ"/>
              </w:rPr>
              <w:tab/>
              <w:t>5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ktkbheattmyi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2.1 Rozsah působnosti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5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bw3pfjydjfer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2.2 Přezkum politiky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6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ud1knsatxxg8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2.3 Komunikace politiky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6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rial" w:eastAsia="Arial" w:hAnsi="Arial" w:cs="Arial"/>
              <w:b/>
              <w:color w:val="000000"/>
              <w:sz w:val="22"/>
              <w:szCs w:val="22"/>
              <w:lang w:val="cs-CZ"/>
            </w:rPr>
          </w:pPr>
          <w:hyperlink w:anchor="_heading=h.w8ybv37803vw">
            <w:r w:rsidR="005A7CDC" w:rsidRPr="007250D1">
              <w:rPr>
                <w:rFonts w:ascii="Athiti" w:eastAsia="Athiti" w:hAnsi="Athiti" w:cs="Athiti"/>
                <w:b/>
                <w:color w:val="000000"/>
                <w:lang w:val="cs-CZ"/>
              </w:rPr>
              <w:t>3 Správa informací</w:t>
            </w:r>
            <w:r w:rsidR="005A7CDC" w:rsidRPr="007250D1">
              <w:rPr>
                <w:rFonts w:ascii="Athiti" w:eastAsia="Athiti" w:hAnsi="Athiti" w:cs="Athiti"/>
                <w:b/>
                <w:color w:val="000000"/>
                <w:lang w:val="cs-CZ"/>
              </w:rPr>
              <w:tab/>
              <w:t>7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jm622upcuqaj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3.1 Odpovědnosti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7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vm6kgbg06e9s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3.2 Klasifikace informací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8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ndpad140mdra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3.2.1 Kritéria klasifikace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8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av0acsc47inp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3.2.2 Úrovně důvěrnosti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9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ibjhtyjgyrmk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3.2.3 Veřejné informace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10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qpnu8yxu5pfo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3.2.4 Informace určené pouze pro vnitřní použití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10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88ogvypm93i5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3.2.5 Důvěrné informace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11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f4jm2ge06n1t">
            <w:r w:rsidR="005A7CDC" w:rsidRPr="007250D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3.2.6 Osobně identifikovatelné informace</w:t>
            </w:r>
            <w:r w:rsidR="005A7CDC" w:rsidRPr="007250D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11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7pdhrfus094f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3.3 Označování informací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12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uaeyc9dms1ta"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>3.4 Zacházení s informacemi</w:t>
            </w:r>
            <w:r w:rsidR="005A7CDC" w:rsidRPr="007250D1">
              <w:rPr>
                <w:rFonts w:ascii="Athiti" w:eastAsia="Athiti" w:hAnsi="Athiti" w:cs="Athiti"/>
                <w:color w:val="000000"/>
                <w:lang w:val="cs-CZ"/>
              </w:rPr>
              <w:tab/>
              <w:t>13</w:t>
            </w:r>
          </w:hyperlink>
        </w:p>
        <w:p w:rsidR="005A7CDC" w:rsidRPr="007250D1" w:rsidRDefault="0031773E" w:rsidP="005A7CDC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rial" w:eastAsia="Arial" w:hAnsi="Arial" w:cs="Arial"/>
              <w:b/>
              <w:color w:val="000000"/>
              <w:sz w:val="22"/>
              <w:szCs w:val="22"/>
              <w:lang w:val="cs-CZ"/>
            </w:rPr>
          </w:pPr>
          <w:hyperlink w:anchor="_heading=h.6wdc31ep6u1">
            <w:r w:rsidR="005A7CDC" w:rsidRPr="007250D1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s-CZ"/>
              </w:rPr>
              <w:t>4 Závěrečná ustanovení</w:t>
            </w:r>
            <w:r w:rsidR="005A7CDC" w:rsidRPr="007250D1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s-CZ"/>
              </w:rPr>
              <w:tab/>
              <w:t>14</w:t>
            </w:r>
          </w:hyperlink>
          <w:r w:rsidRPr="007250D1">
            <w:rPr>
              <w:lang w:val="cs-CZ"/>
            </w:rPr>
            <w:fldChar w:fldCharType="end"/>
          </w:r>
        </w:p>
      </w:sdtContent>
    </w:sdt>
    <w:p w:rsidR="005A7CDC" w:rsidRPr="007250D1" w:rsidRDefault="005A7CDC" w:rsidP="005A7CDC">
      <w:pPr>
        <w:pStyle w:val="normal"/>
        <w:rPr>
          <w:rFonts w:ascii="Athiti" w:eastAsia="Athiti" w:hAnsi="Athiti" w:cs="Athiti"/>
          <w:color w:val="44546A"/>
          <w:sz w:val="32"/>
          <w:szCs w:val="32"/>
          <w:lang w:val="cs-CZ"/>
        </w:rPr>
      </w:pPr>
      <w:r w:rsidRPr="007250D1">
        <w:rPr>
          <w:lang w:val="cs-CZ"/>
        </w:rPr>
        <w:br w:type="page"/>
      </w:r>
    </w:p>
    <w:p w:rsidR="005A7CDC" w:rsidRPr="007250D1" w:rsidRDefault="005A7CDC" w:rsidP="005A7CDC">
      <w:pPr>
        <w:pStyle w:val="Nadpis1"/>
        <w:keepNext w:val="0"/>
        <w:keepLines w:val="0"/>
        <w:widowControl w:val="0"/>
        <w:spacing w:before="0" w:after="0" w:line="240" w:lineRule="auto"/>
        <w:rPr>
          <w:rFonts w:ascii="Athiti" w:eastAsia="Athiti" w:hAnsi="Athiti" w:cs="Athiti"/>
          <w:sz w:val="28"/>
          <w:szCs w:val="28"/>
          <w:lang w:val="cs-CZ"/>
        </w:rPr>
      </w:pPr>
      <w:bookmarkStart w:id="2" w:name="_heading=h.g2wcud5u8z3m" w:colFirst="0" w:colLast="0"/>
      <w:bookmarkEnd w:id="2"/>
      <w:r w:rsidRPr="007250D1">
        <w:rPr>
          <w:rFonts w:ascii="Athiti" w:eastAsia="Athiti" w:hAnsi="Athiti" w:cs="Athiti"/>
          <w:sz w:val="28"/>
          <w:szCs w:val="28"/>
          <w:lang w:val="cs-CZ"/>
        </w:rPr>
        <w:lastRenderedPageBreak/>
        <w:t>Pojmy a definice</w:t>
      </w:r>
    </w:p>
    <w:p w:rsidR="005A7CDC" w:rsidRPr="007250D1" w:rsidRDefault="005A7CDC" w:rsidP="005A7CDC">
      <w:pPr>
        <w:pStyle w:val="normal"/>
        <w:rPr>
          <w:rFonts w:ascii="Athiti" w:eastAsia="Athiti" w:hAnsi="Athiti" w:cs="Athiti"/>
          <w:lang w:val="cs-CZ"/>
        </w:rPr>
      </w:pPr>
    </w:p>
    <w:tbl>
      <w:tblPr>
        <w:tblW w:w="9460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600"/>
      </w:tblPr>
      <w:tblGrid>
        <w:gridCol w:w="2570"/>
        <w:gridCol w:w="6890"/>
      </w:tblGrid>
      <w:tr w:rsidR="005A7CDC" w:rsidRPr="007250D1" w:rsidTr="00CF6722">
        <w:trPr>
          <w:cantSplit/>
          <w:trHeight w:val="500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Pojem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Definice</w:t>
            </w:r>
          </w:p>
        </w:tc>
      </w:tr>
      <w:tr w:rsidR="005A7CDC" w:rsidRPr="007250D1" w:rsidTr="00CF6722">
        <w:trPr>
          <w:cantSplit/>
          <w:trHeight w:val="105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ISMS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Systém řízení informační bezpečnosti – soubor pravidel, procesů a opatření pro ochranu informací, v souladu s ISO/IEC 27001 a ISO/IEC 27701.</w:t>
            </w:r>
          </w:p>
        </w:tc>
      </w:tr>
      <w:tr w:rsidR="005A7CDC" w:rsidRPr="007250D1" w:rsidTr="00CF6722">
        <w:trPr>
          <w:cantSplit/>
          <w:trHeight w:val="105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CISO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Vedoucí pracovník pro informační bezpečnost (Chief Information Security Officer) – osoba odpovědná za řízení a dohled nad informační bezpečností.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GDPR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Nařízení (EU) 2016/679 o ochraně osobních údajů – stanovuje pravidla pro zpracování a ochranu osobních údajů fyzických osob.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DORA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Nařízení (EU) 2022/2554 o digitální provozní odolnosti finančního sektoru – pravidla pro odolnost vůči kybernetickým a IT rizikům.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MiCA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Nařízení (EU) 2023/1114 o trzích kryptoaktiv – pravidla pro vydávání, nabízení a obchodování s kryptoaktivy v EU.</w:t>
            </w:r>
          </w:p>
        </w:tc>
      </w:tr>
      <w:tr w:rsidR="005A7CDC" w:rsidRPr="007250D1" w:rsidTr="00CF6722">
        <w:trPr>
          <w:cantSplit/>
          <w:trHeight w:val="105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RTS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Regulační technické standardy – závazné technické předpisy vydávané ESMA, upřesňující požadavky stanovené v MiCA a dalších regulacích.</w:t>
            </w:r>
          </w:p>
        </w:tc>
      </w:tr>
      <w:tr w:rsidR="005A7CDC" w:rsidRPr="007250D1" w:rsidTr="00CF6722">
        <w:trPr>
          <w:cantSplit/>
          <w:trHeight w:val="500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ISO/IEC 27001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Mezinárodní norma pro systém řízení informační bezpečnosti.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ISO/IEC 27701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Rozšíření normy ISO/IEC 27001 pro správu ochrany osobních údajů (Privacy Information Management System).</w:t>
            </w:r>
          </w:p>
        </w:tc>
      </w:tr>
      <w:tr w:rsidR="005A7CDC" w:rsidRPr="007250D1" w:rsidTr="00CF6722">
        <w:trPr>
          <w:cantSplit/>
          <w:trHeight w:val="105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PII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Osobně identifikovatelné informace – údaje, které mohou být použity k identifikaci konkrétní osoby (např. jméno, adresa, rodné číslo).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Klasifikace informací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Proces přiřazení úrovně důvěrnosti informaci na základě její citlivosti, hodnoty a možného dopadu jejího zneužití.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Úroveň důvěrnosti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Ochranné označení informací, které určuje způsob jejich nakládání (např. Veřejné, Pouze pro interní použití, Důvěrné, PII).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lastRenderedPageBreak/>
              <w:t>Princip potřeby znát (Need to know)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Pravidlo, že přístup k informacím mají pouze osoby, které je nezbytně potřebují pro výkon své práce.</w:t>
            </w:r>
          </w:p>
        </w:tc>
      </w:tr>
      <w:tr w:rsidR="005A7CDC" w:rsidRPr="007250D1" w:rsidTr="00CF6722">
        <w:trPr>
          <w:cantSplit/>
          <w:trHeight w:val="105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Aktivum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Jakýkoli prvek informačního systému (data, software, hardware, síťové prvky, znalosti), který má hodnotu pro organizaci a je třeba jej chránit.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Zranitelnost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Slabina v systému, která může být zneužita k narušení bezpečnosti informací.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Hrozba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Potenciální příčina incidentu, která může ohrozit bezpečnost informací nebo aktiv.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Incident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Událost, která má nebo by mohla mít negativní dopad na důvěrnost, integritu nebo dostupnost informací.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Prohlášení o použitelnosti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Dokument shrnující bezpečnostní opatření implementovaná v rámci ISMS a jejich aktuální stav.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Opatření informační bezpečnosti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Technická, organizační nebo fyzická opatření přijatá k ochraně informací před hrozbami a minimalizaci rizik.</w:t>
            </w:r>
          </w:p>
        </w:tc>
      </w:tr>
      <w:tr w:rsidR="005A7CDC" w:rsidRPr="007250D1" w:rsidTr="00CF6722">
        <w:trPr>
          <w:cantSplit/>
          <w:trHeight w:val="105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Hardening (Zpevnění)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Proces zvyšování bezpečnosti systémů odstraňováním zbytečných funkcí a služeb, aplikací bezpečnostních aktualizací a posílením konfigurace.</w:t>
            </w:r>
          </w:p>
        </w:tc>
      </w:tr>
      <w:tr w:rsidR="005A7CDC" w:rsidRPr="007250D1" w:rsidTr="00CF6722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Registr právních a smluvních závazků</w:t>
            </w:r>
          </w:p>
        </w:tc>
        <w:tc>
          <w:tcPr>
            <w:tcW w:w="68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7CDC" w:rsidRPr="007250D1" w:rsidRDefault="005A7CDC" w:rsidP="00CF6722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lang w:val="cs-CZ"/>
              </w:rPr>
              <w:t>Evidenční dokument obsahující seznam právních, regulatorních a smluvních povinností Společnosti v oblasti informační bezpečnosti.</w:t>
            </w:r>
          </w:p>
        </w:tc>
      </w:tr>
    </w:tbl>
    <w:p w:rsidR="005A7CDC" w:rsidRPr="007250D1" w:rsidRDefault="005A7CDC" w:rsidP="005A7CDC">
      <w:pPr>
        <w:pStyle w:val="Nadpis1"/>
        <w:rPr>
          <w:rFonts w:ascii="Athiti" w:eastAsia="Athiti" w:hAnsi="Athiti" w:cs="Athiti"/>
          <w:lang w:val="cs-CZ"/>
        </w:rPr>
      </w:pPr>
      <w:bookmarkStart w:id="3" w:name="_heading=h.e6z0coekdghu" w:colFirst="0" w:colLast="0"/>
      <w:bookmarkEnd w:id="3"/>
      <w:r w:rsidRPr="007250D1">
        <w:rPr>
          <w:rFonts w:ascii="Athiti" w:eastAsia="Athiti" w:hAnsi="Athiti" w:cs="Athiti"/>
          <w:lang w:val="cs-CZ"/>
        </w:rPr>
        <w:t>1 Úvod</w:t>
      </w:r>
    </w:p>
    <w:p w:rsidR="005A7CDC" w:rsidRPr="007250D1" w:rsidRDefault="005A7CDC" w:rsidP="005A7CDC">
      <w:pPr>
        <w:pStyle w:val="normal"/>
        <w:spacing w:after="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Účelem tohoto dokumentu je stanovit rámec pro efektivní klasifikaci, označování a nakládání s informacemi, které jsou vytvářeny, zpracovávány, uchovávány nebo sdíleny v rámci činnosti společnosti. Kvalitní řízení informací je základním stavebním kamenem informační bezpečnosti, ochrany soukromí a regulatorního souladu, a zároveň přispívá k ochraně obchodních zájmů a důvěryhodnosti společnosti.</w:t>
      </w:r>
    </w:p>
    <w:p w:rsidR="005A7CDC" w:rsidRPr="007250D1" w:rsidRDefault="005A7CDC" w:rsidP="005A7CDC">
      <w:pPr>
        <w:pStyle w:val="normal"/>
        <w:spacing w:after="0"/>
        <w:rPr>
          <w:rFonts w:ascii="Athiti" w:eastAsia="Athiti" w:hAnsi="Athiti" w:cs="Athiti"/>
          <w:color w:val="444444"/>
          <w:lang w:val="cs-CZ"/>
        </w:rPr>
      </w:pPr>
    </w:p>
    <w:p w:rsidR="005A7CDC" w:rsidRPr="007250D1" w:rsidRDefault="005A7CDC" w:rsidP="005A7CDC">
      <w:pPr>
        <w:pStyle w:val="normal"/>
        <w:spacing w:after="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 xml:space="preserve">Informace představují jedno z nejcennějších aktiv společnosti, a proto je nezbytné s nimi zacházet v souladu s jejich hodnotou, citlivostí a potenciálním dopadem jejich zneužití. Klasifikace informací umožňuje rozlišit, které informace vyžadují zvláštní ochranu, a stanovuje odpovídající úroveň </w:t>
      </w:r>
      <w:r w:rsidRPr="007250D1">
        <w:rPr>
          <w:rFonts w:ascii="Athiti" w:eastAsia="Athiti" w:hAnsi="Athiti" w:cs="Athiti"/>
          <w:color w:val="444444"/>
          <w:lang w:val="cs-CZ"/>
        </w:rPr>
        <w:lastRenderedPageBreak/>
        <w:t>kontrol a bezpečnostních opatření. To zahrnuje nejen ochranu před neoprávněným přístupem, ale i vhodné způsoby sdílení, ukládání, přenosu a likvidace dat.</w:t>
      </w:r>
    </w:p>
    <w:p w:rsidR="005A7CDC" w:rsidRPr="007250D1" w:rsidRDefault="005A7CDC" w:rsidP="005A7CDC">
      <w:pPr>
        <w:pStyle w:val="normal"/>
        <w:spacing w:after="0"/>
        <w:rPr>
          <w:rFonts w:ascii="Athiti" w:eastAsia="Athiti" w:hAnsi="Athiti" w:cs="Athiti"/>
          <w:color w:val="444444"/>
          <w:lang w:val="cs-CZ"/>
        </w:rPr>
      </w:pPr>
    </w:p>
    <w:p w:rsidR="005A7CDC" w:rsidRPr="007250D1" w:rsidRDefault="005A7CDC" w:rsidP="005A7CDC">
      <w:pPr>
        <w:pStyle w:val="normal"/>
        <w:spacing w:after="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Tato politika vychází z principů nejlepší praxe dle mezinárodních standardů, jako je ISO/IEC 27001 a ISO/IEC 27701, a je v souladu s platnými právními předpisy, včetně nařízení GDPR a dalších relevantních směrnic. Dokument definuje povinnosti jednotlivých rolí, proces klasifikace, úrovně důvěrnosti, a specifikuje pravidla pro správu informací během jejich celého životního cyklu.</w:t>
      </w:r>
    </w:p>
    <w:p w:rsidR="005A7CDC" w:rsidRPr="007250D1" w:rsidRDefault="005A7CDC" w:rsidP="005A7CDC">
      <w:pPr>
        <w:pStyle w:val="normal"/>
        <w:spacing w:after="0"/>
        <w:rPr>
          <w:rFonts w:ascii="Athiti" w:eastAsia="Athiti" w:hAnsi="Athiti" w:cs="Athiti"/>
          <w:color w:val="444444"/>
          <w:lang w:val="cs-CZ"/>
        </w:rPr>
      </w:pPr>
    </w:p>
    <w:p w:rsidR="005A7CDC" w:rsidRPr="007250D1" w:rsidRDefault="005A7CDC" w:rsidP="005A7CDC">
      <w:pPr>
        <w:pStyle w:val="normal"/>
        <w:spacing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Zavedením této politiky se společnost zavazuje chránit své informace v souladu s jejich klasifikací, vzdělávat zaměstnance v oblasti bezpečného nakládání s daty a zajistit, že přístup k informacím bude vždy odpovídat zásadě potřeby znát („need to know“). Všichni zaměstnanci a partneři společnosti jsou povinni se seznámit s touto politikou a důsledně ji dodržovat.</w:t>
      </w:r>
    </w:p>
    <w:p w:rsidR="005A7CDC" w:rsidRPr="007250D1" w:rsidRDefault="005A7CDC" w:rsidP="005A7CDC">
      <w:pPr>
        <w:pStyle w:val="Nadpis1"/>
        <w:rPr>
          <w:rFonts w:ascii="Athiti" w:eastAsia="Athiti" w:hAnsi="Athiti" w:cs="Athiti"/>
          <w:lang w:val="cs-CZ"/>
        </w:rPr>
      </w:pPr>
      <w:bookmarkStart w:id="4" w:name="_heading=h.ahuapd6hb3j6" w:colFirst="0" w:colLast="0"/>
      <w:bookmarkEnd w:id="4"/>
      <w:r w:rsidRPr="007250D1">
        <w:rPr>
          <w:rFonts w:ascii="Athiti" w:eastAsia="Athiti" w:hAnsi="Athiti" w:cs="Athiti"/>
          <w:lang w:val="cs-CZ"/>
        </w:rPr>
        <w:t>2 Obecná ustanovení</w:t>
      </w:r>
    </w:p>
    <w:p w:rsidR="005A7CDC" w:rsidRPr="007250D1" w:rsidRDefault="005A7CDC" w:rsidP="005A7CDC">
      <w:pPr>
        <w:pStyle w:val="Nadpis2"/>
        <w:rPr>
          <w:rFonts w:ascii="Athiti" w:eastAsia="Athiti" w:hAnsi="Athiti" w:cs="Athiti"/>
          <w:lang w:val="cs-CZ"/>
        </w:rPr>
      </w:pPr>
      <w:bookmarkStart w:id="5" w:name="_heading=h.ktkbheattmyi" w:colFirst="0" w:colLast="0"/>
      <w:bookmarkEnd w:id="5"/>
      <w:r w:rsidRPr="007250D1">
        <w:rPr>
          <w:rFonts w:ascii="Athiti" w:eastAsia="Athiti" w:hAnsi="Athiti" w:cs="Athiti"/>
          <w:lang w:val="cs-CZ"/>
        </w:rPr>
        <w:t>2.1 Rozsah působnosti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Tato Politika se vztahuje na veškeré firemní informace, obchodní procesy, informační systémy, technologie a osoby, které tvoří informační systém společnosti, a které jakkoli zpracovávají, uchovávají, přenášejí nebo mají přístup k informacím společnosti. Tento dokument je závazný pro všechny zaměstnance společnosti, bez ohledu na jejich pracovní zařazení, typ pracovního poměru (pracovní smlouva, dohoda o provedení práce, dohoda o pracovní činnosti), nebo formu spolupráce. Stejně tak je závazný pro všechny externí subjekty, které přicházejí do kontaktu s informačními aktivy společnosti – například dodavatele, poskytovatele služeb, smluvní pracovníky, konzultanty, IT specialisty, subdodavatele, nezávislé auditory, nebo další třetí strany, které mají přístup k informacím společnosti nebo je zpracovávají na základě smluvních vztahů.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Rozsah této Politiky zahrnuje zejména:</w:t>
      </w:r>
    </w:p>
    <w:p w:rsidR="005A7CDC" w:rsidRPr="007250D1" w:rsidRDefault="005A7CDC" w:rsidP="005A7CDC">
      <w:pPr>
        <w:pStyle w:val="normal"/>
        <w:numPr>
          <w:ilvl w:val="0"/>
          <w:numId w:val="16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b/>
          <w:color w:val="444444"/>
          <w:lang w:val="cs-CZ"/>
        </w:rPr>
        <w:t>Veškerá informační aktiva společnosti</w:t>
      </w:r>
      <w:r w:rsidRPr="007250D1">
        <w:rPr>
          <w:rFonts w:ascii="Athiti" w:eastAsia="Athiti" w:hAnsi="Athiti" w:cs="Athiti"/>
          <w:color w:val="444444"/>
          <w:lang w:val="cs-CZ"/>
        </w:rPr>
        <w:t>, včetně fyzických (např. servery, pracovní stanice, mobilní zařízení, přenosná média, tiskárny), logických (software, aplikace, databáze, zdrojové kódy) a datových (soubory, záznamy, osobní údaje, know-how).</w:t>
      </w:r>
      <w:r w:rsidRPr="007250D1">
        <w:rPr>
          <w:rFonts w:ascii="Athiti" w:eastAsia="Athiti" w:hAnsi="Athiti" w:cs="Athiti"/>
          <w:color w:val="444444"/>
          <w:lang w:val="cs-CZ"/>
        </w:rPr>
        <w:br/>
      </w:r>
    </w:p>
    <w:p w:rsidR="005A7CDC" w:rsidRPr="007250D1" w:rsidRDefault="005A7CDC" w:rsidP="005A7CDC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b/>
          <w:color w:val="444444"/>
          <w:lang w:val="cs-CZ"/>
        </w:rPr>
        <w:t>Procesy a činnosti</w:t>
      </w:r>
      <w:r w:rsidRPr="007250D1">
        <w:rPr>
          <w:rFonts w:ascii="Athiti" w:eastAsia="Athiti" w:hAnsi="Athiti" w:cs="Athiti"/>
          <w:color w:val="444444"/>
          <w:lang w:val="cs-CZ"/>
        </w:rPr>
        <w:t>, které souvisejí se správou, ukládáním, zpracováním, sdílením a ochranou informací během celého jejich životního cyklu – od vytvoření a úpravy, přes přenos, zálohování, archivaci až po bezpečnou likvidaci.</w:t>
      </w:r>
      <w:r w:rsidRPr="007250D1">
        <w:rPr>
          <w:rFonts w:ascii="Athiti" w:eastAsia="Athiti" w:hAnsi="Athiti" w:cs="Athiti"/>
          <w:color w:val="444444"/>
          <w:lang w:val="cs-CZ"/>
        </w:rPr>
        <w:br/>
      </w:r>
    </w:p>
    <w:p w:rsidR="005A7CDC" w:rsidRPr="007250D1" w:rsidRDefault="005A7CDC" w:rsidP="005A7CDC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b/>
          <w:color w:val="444444"/>
          <w:lang w:val="cs-CZ"/>
        </w:rPr>
        <w:t>Technologie a nástroje</w:t>
      </w:r>
      <w:r w:rsidRPr="007250D1">
        <w:rPr>
          <w:rFonts w:ascii="Athiti" w:eastAsia="Athiti" w:hAnsi="Athiti" w:cs="Athiti"/>
          <w:color w:val="444444"/>
          <w:lang w:val="cs-CZ"/>
        </w:rPr>
        <w:t>, které slouží k podpoře firemních procesů a komunikaci, včetně fyzických zařízení, cloudových služeb, vzdálených přístupů (VPN), softwarových aplikací a systémů správy přístupových práv.</w:t>
      </w:r>
      <w:r w:rsidRPr="007250D1">
        <w:rPr>
          <w:rFonts w:ascii="Athiti" w:eastAsia="Athiti" w:hAnsi="Athiti" w:cs="Athiti"/>
          <w:color w:val="444444"/>
          <w:lang w:val="cs-CZ"/>
        </w:rPr>
        <w:br/>
      </w:r>
    </w:p>
    <w:p w:rsidR="005A7CDC" w:rsidRPr="007250D1" w:rsidRDefault="005A7CDC" w:rsidP="005A7CDC">
      <w:pPr>
        <w:pStyle w:val="normal"/>
        <w:numPr>
          <w:ilvl w:val="0"/>
          <w:numId w:val="16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b/>
          <w:color w:val="444444"/>
          <w:lang w:val="cs-CZ"/>
        </w:rPr>
        <w:t>Způsoby přístupu</w:t>
      </w:r>
      <w:r w:rsidRPr="007250D1">
        <w:rPr>
          <w:rFonts w:ascii="Athiti" w:eastAsia="Athiti" w:hAnsi="Athiti" w:cs="Athiti"/>
          <w:color w:val="444444"/>
          <w:lang w:val="cs-CZ"/>
        </w:rPr>
        <w:t>, ať už se jedná o přístup fyzický (např. práce na pobočce), vzdálený (např. připojení přes VPN) nebo mobilní (např. použití služeb na mobilních zařízeních).</w:t>
      </w:r>
      <w:r w:rsidRPr="007250D1">
        <w:rPr>
          <w:rFonts w:ascii="Athiti" w:eastAsia="Athiti" w:hAnsi="Athiti" w:cs="Athiti"/>
          <w:color w:val="444444"/>
          <w:lang w:val="cs-CZ"/>
        </w:rPr>
        <w:br/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lastRenderedPageBreak/>
        <w:t>Dodržování této Politiky je nezbytné pro ochranu důvěrnosti, integrity a dostupnosti informací, pro prevenci úniku dat, kybernetických útoků, zneužití přístupových práv a pro zajištění souladu s právními a regulatorními požadavky (např. GDPR, DORA, MiCA). Jakékoli porušení této Politiky může vést k disciplinárním opatřením, včetně ukončení pracovního nebo smluvního vztahu a případné právní odpovědnosti.</w:t>
      </w:r>
    </w:p>
    <w:p w:rsidR="005A7CDC" w:rsidRPr="007250D1" w:rsidRDefault="005A7CDC" w:rsidP="005A7CDC">
      <w:pPr>
        <w:pStyle w:val="Nadpis2"/>
        <w:rPr>
          <w:rFonts w:ascii="Athiti" w:eastAsia="Athiti" w:hAnsi="Athiti" w:cs="Athiti"/>
          <w:lang w:val="cs-CZ"/>
        </w:rPr>
      </w:pPr>
      <w:bookmarkStart w:id="6" w:name="_heading=h.bw3pfjydjfer" w:colFirst="0" w:colLast="0"/>
      <w:bookmarkEnd w:id="6"/>
      <w:r w:rsidRPr="007250D1">
        <w:rPr>
          <w:rFonts w:ascii="Athiti" w:eastAsia="Athiti" w:hAnsi="Athiti" w:cs="Athiti"/>
          <w:lang w:val="cs-CZ"/>
        </w:rPr>
        <w:t>2.2 Přezkum politiky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 xml:space="preserve">Vlastníkem tohoto dokumentu je Vedoucí pracovník pro informační bezpečnost (CISO), který je odpovědný za jeho aktuálnost, správnost a přiměřenost vzhledem k měnícím se rizikům, technologickému prostředí a legislativním požadavkům. CISO je povinen zajistit, aby tato Politika byla přezkoumána minimálně </w:t>
      </w:r>
      <w:r w:rsidRPr="007250D1">
        <w:rPr>
          <w:rFonts w:ascii="Athiti" w:eastAsia="Athiti" w:hAnsi="Athiti" w:cs="Athiti"/>
          <w:b/>
          <w:color w:val="444444"/>
          <w:lang w:val="cs-CZ"/>
        </w:rPr>
        <w:t>jednou ročně</w:t>
      </w:r>
      <w:r w:rsidRPr="007250D1">
        <w:rPr>
          <w:rFonts w:ascii="Athiti" w:eastAsia="Athiti" w:hAnsi="Athiti" w:cs="Athiti"/>
          <w:color w:val="444444"/>
          <w:lang w:val="cs-CZ"/>
        </w:rPr>
        <w:t>, případně častěji, pokud dojde k:</w:t>
      </w:r>
    </w:p>
    <w:p w:rsidR="005A7CDC" w:rsidRPr="007250D1" w:rsidRDefault="005A7CDC" w:rsidP="005A7CDC">
      <w:pPr>
        <w:pStyle w:val="normal"/>
        <w:numPr>
          <w:ilvl w:val="0"/>
          <w:numId w:val="14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změnám v právních nebo regulatorních předpisech (např. novelizace GDPR, DORA, MiCA),</w:t>
      </w:r>
    </w:p>
    <w:p w:rsidR="005A7CDC" w:rsidRPr="007250D1" w:rsidRDefault="005A7CDC" w:rsidP="005A7CDC">
      <w:pPr>
        <w:pStyle w:val="normal"/>
        <w:numPr>
          <w:ilvl w:val="0"/>
          <w:numId w:val="14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vydání nových doporučení nebo standardů ze strany příslušných autorit (např. ČNB, EBA, ESMA, ENISA),</w:t>
      </w:r>
    </w:p>
    <w:p w:rsidR="005A7CDC" w:rsidRPr="007250D1" w:rsidRDefault="005A7CDC" w:rsidP="005A7CDC">
      <w:pPr>
        <w:pStyle w:val="normal"/>
        <w:numPr>
          <w:ilvl w:val="0"/>
          <w:numId w:val="14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významným změnám v infrastruktuře, technologiích nebo obchodních procesech společnosti,</w:t>
      </w:r>
    </w:p>
    <w:p w:rsidR="005A7CDC" w:rsidRPr="007250D1" w:rsidRDefault="005A7CDC" w:rsidP="005A7CDC">
      <w:pPr>
        <w:pStyle w:val="normal"/>
        <w:numPr>
          <w:ilvl w:val="0"/>
          <w:numId w:val="14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 xml:space="preserve">identifikaci nedostatků během auditů, kontrol nebo bezpečnostních incidentů, které </w:t>
      </w:r>
      <w:r w:rsidR="007250D1" w:rsidRPr="007250D1">
        <w:rPr>
          <w:rFonts w:ascii="Athiti" w:eastAsia="Athiti" w:hAnsi="Athiti" w:cs="Athiti"/>
          <w:color w:val="444444"/>
          <w:lang w:val="cs-CZ"/>
        </w:rPr>
        <w:t>ukáže</w:t>
      </w:r>
      <w:r w:rsidRPr="007250D1">
        <w:rPr>
          <w:rFonts w:ascii="Athiti" w:eastAsia="Athiti" w:hAnsi="Athiti" w:cs="Athiti"/>
          <w:color w:val="444444"/>
          <w:lang w:val="cs-CZ"/>
        </w:rPr>
        <w:t xml:space="preserve"> na nutnost úprav v postupech a pravidlech.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Každá změna provedená v této Politice musí být řádně dokumentována v části „Historie revizí“ s uvedením data, popisu změny, jména osoby, která změnu provedla, a jména schvalovatele. Žádná změna nemůže nabýt účinnosti bez předchozího projednání s Výborem pro informační bezpečnost a formálního schválení Vrcholovým vedením společnosti.</w:t>
      </w:r>
    </w:p>
    <w:p w:rsidR="005A7CDC" w:rsidRPr="007250D1" w:rsidRDefault="005A7CDC" w:rsidP="005A7CDC">
      <w:pPr>
        <w:pStyle w:val="Nadpis2"/>
        <w:rPr>
          <w:rFonts w:ascii="Athiti" w:eastAsia="Athiti" w:hAnsi="Athiti" w:cs="Athiti"/>
          <w:lang w:val="cs-CZ"/>
        </w:rPr>
      </w:pPr>
      <w:bookmarkStart w:id="7" w:name="_heading=h.ud1knsatxxg8" w:colFirst="0" w:colLast="0"/>
      <w:bookmarkEnd w:id="7"/>
      <w:r w:rsidRPr="007250D1">
        <w:rPr>
          <w:rFonts w:ascii="Athiti" w:eastAsia="Athiti" w:hAnsi="Athiti" w:cs="Athiti"/>
          <w:lang w:val="cs-CZ"/>
        </w:rPr>
        <w:t>2.3 Komunikace politiky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Nejnovější schválená verze této Politiky musí být vždy snadno a srozumitelně dostupná všem zaměstnancům, smluvním pracovníkům a dalším relevantním osobám prostřednictvím centrálního úložiště dokumentace společnosti (např. interní portál, intranet, složka „Zásady a postupy společnosti“). O existenci tohoto dokumentu, jeho účelu, změnách a datu účinnosti budou zaměstnanci a pracovníci pravidelně informováni elektronickou formou (např. e-mailem), a to nejpozději do 5 pracovních dnů od provedení jakékoli revize nebo změny.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>Každý zaměstnanec a smluvní pracovník je povinen se s touto Politikou detailně seznámit, potvrdit své seznámení formou elektronického potvrzení v systému společnosti (např. checkboxem v interní aplikaci) nebo jiným průkazným způsobem, který stanoví Vedoucí pracovník pro informační bezpečnost nebo Compliance &amp; AML Officer.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t xml:space="preserve">Pro zajištění povědomí o zásadách informační bezpečnosti jsou organizována pravidelná </w:t>
      </w:r>
      <w:r w:rsidRPr="007250D1">
        <w:rPr>
          <w:rFonts w:ascii="Athiti" w:eastAsia="Athiti" w:hAnsi="Athiti" w:cs="Athiti"/>
          <w:b/>
          <w:color w:val="444444"/>
          <w:lang w:val="cs-CZ"/>
        </w:rPr>
        <w:t>školení</w:t>
      </w:r>
      <w:r w:rsidRPr="007250D1">
        <w:rPr>
          <w:rFonts w:ascii="Athiti" w:eastAsia="Athiti" w:hAnsi="Athiti" w:cs="Athiti"/>
          <w:color w:val="444444"/>
          <w:lang w:val="cs-CZ"/>
        </w:rPr>
        <w:t>, která zahrnují mimo jiné obsah této Politiky, příklady její aplikace v praxi, odpovědnosti zaměstnanců a postupy při porušení pravidel. Aktualizace této Politiky a dalších dokumentů týkajících se bezpečnosti budou součástí těchto školení.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color w:val="444444"/>
          <w:lang w:val="cs-CZ"/>
        </w:rPr>
        <w:lastRenderedPageBreak/>
        <w:t xml:space="preserve">Dotazy týkající se této Politiky, případně dalších pravidel informační bezpečnosti, je možné směřovat na tým informační bezpečnosti prostřednictvím e-mailu: </w:t>
      </w:r>
      <w:r w:rsidRPr="007250D1">
        <w:rPr>
          <w:rFonts w:ascii="Athiti" w:eastAsia="Athiti" w:hAnsi="Athiti" w:cs="Athiti"/>
          <w:b/>
          <w:color w:val="444444"/>
          <w:lang w:val="cs-CZ"/>
        </w:rPr>
        <w:t>security@</w:t>
      </w:r>
      <w:r w:rsidR="007250D1">
        <w:rPr>
          <w:rFonts w:ascii="Athiti" w:eastAsia="Athiti" w:hAnsi="Athiti" w:cs="Athiti"/>
          <w:b/>
          <w:color w:val="444444"/>
          <w:lang w:val="cs-CZ"/>
        </w:rPr>
        <w:t>zman-kesef.eu</w:t>
      </w:r>
      <w:r w:rsidRPr="007250D1">
        <w:rPr>
          <w:rFonts w:ascii="Athiti" w:eastAsia="Athiti" w:hAnsi="Athiti" w:cs="Athiti"/>
          <w:color w:val="444444"/>
          <w:lang w:val="cs-CZ"/>
        </w:rPr>
        <w:t>. Tým je připraven poskytnout podporu, vysvětlení a pomoc při praktickém uplatnění zásad a postupů.</w:t>
      </w:r>
    </w:p>
    <w:p w:rsidR="005A7CDC" w:rsidRPr="007250D1" w:rsidRDefault="005A7CDC" w:rsidP="005A7CDC">
      <w:pPr>
        <w:pStyle w:val="Nadpis1"/>
        <w:rPr>
          <w:rFonts w:ascii="Athiti" w:eastAsia="Athiti" w:hAnsi="Athiti" w:cs="Athiti"/>
          <w:lang w:val="cs-CZ"/>
        </w:rPr>
      </w:pPr>
      <w:bookmarkStart w:id="8" w:name="_heading=h.w8ybv37803vw" w:colFirst="0" w:colLast="0"/>
      <w:bookmarkEnd w:id="8"/>
      <w:r w:rsidRPr="007250D1">
        <w:rPr>
          <w:rFonts w:ascii="Athiti" w:eastAsia="Athiti" w:hAnsi="Athiti" w:cs="Athiti"/>
          <w:lang w:val="cs-CZ"/>
        </w:rPr>
        <w:t>3 Správa informací</w:t>
      </w:r>
    </w:p>
    <w:p w:rsidR="005A7CDC" w:rsidRPr="007250D1" w:rsidRDefault="005A7CDC" w:rsidP="005A7CDC">
      <w:pPr>
        <w:pStyle w:val="Nadpis2"/>
        <w:rPr>
          <w:rFonts w:ascii="Athiti" w:eastAsia="Athiti" w:hAnsi="Athiti" w:cs="Athiti"/>
          <w:lang w:val="cs-CZ"/>
        </w:rPr>
      </w:pPr>
      <w:bookmarkStart w:id="9" w:name="_heading=h.jm622upcuqaj" w:colFirst="0" w:colLast="0"/>
      <w:bookmarkEnd w:id="9"/>
      <w:r w:rsidRPr="007250D1">
        <w:rPr>
          <w:rFonts w:ascii="Athiti" w:eastAsia="Athiti" w:hAnsi="Athiti" w:cs="Athiti"/>
          <w:lang w:val="cs-CZ"/>
        </w:rPr>
        <w:t>3.1 Odpovědnosti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lang w:val="cs-CZ"/>
        </w:rPr>
        <w:t>V rámci procesu správy informací ve společnosti jsou definovány následující odpovědnosti:</w:t>
      </w:r>
    </w:p>
    <w:tbl>
      <w:tblPr>
        <w:tblW w:w="969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615"/>
        <w:gridCol w:w="5055"/>
        <w:gridCol w:w="4020"/>
      </w:tblGrid>
      <w:tr w:rsidR="005A7CDC" w:rsidRPr="007250D1" w:rsidTr="00CF6722">
        <w:trPr>
          <w:cantSplit/>
          <w:tblHeader/>
        </w:trPr>
        <w:tc>
          <w:tcPr>
            <w:tcW w:w="615" w:type="dxa"/>
            <w:shd w:val="clear" w:color="auto" w:fill="FFE599"/>
          </w:tcPr>
          <w:p w:rsidR="005A7CDC" w:rsidRPr="007250D1" w:rsidRDefault="005A7CDC" w:rsidP="00CF6722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N</w:t>
            </w:r>
          </w:p>
        </w:tc>
        <w:tc>
          <w:tcPr>
            <w:tcW w:w="5055" w:type="dxa"/>
            <w:shd w:val="clear" w:color="auto" w:fill="FFE599"/>
          </w:tcPr>
          <w:p w:rsidR="005A7CDC" w:rsidRPr="007250D1" w:rsidRDefault="005A7CDC" w:rsidP="00CF6722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AKCE</w:t>
            </w:r>
          </w:p>
        </w:tc>
        <w:tc>
          <w:tcPr>
            <w:tcW w:w="4020" w:type="dxa"/>
            <w:shd w:val="clear" w:color="auto" w:fill="FFE599"/>
          </w:tcPr>
          <w:p w:rsidR="005A7CDC" w:rsidRPr="007250D1" w:rsidRDefault="005A7CDC" w:rsidP="00CF6722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ODPOVĚDNOST</w:t>
            </w:r>
          </w:p>
        </w:tc>
      </w:tr>
      <w:tr w:rsidR="005A7CDC" w:rsidRPr="007250D1" w:rsidTr="00CF6722">
        <w:trPr>
          <w:cantSplit/>
          <w:tblHeader/>
        </w:trPr>
        <w:tc>
          <w:tcPr>
            <w:tcW w:w="615" w:type="dxa"/>
          </w:tcPr>
          <w:p w:rsidR="005A7CDC" w:rsidRPr="007250D1" w:rsidRDefault="005A7CDC" w:rsidP="00CF6722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1</w:t>
            </w:r>
          </w:p>
        </w:tc>
        <w:tc>
          <w:tcPr>
            <w:tcW w:w="505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Zápis informačního aktiva do registru aktiv</w:t>
            </w:r>
          </w:p>
        </w:tc>
        <w:tc>
          <w:tcPr>
            <w:tcW w:w="402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Vlastník informace</w:t>
            </w:r>
          </w:p>
        </w:tc>
      </w:tr>
      <w:tr w:rsidR="005A7CDC" w:rsidRPr="007250D1" w:rsidTr="00CF6722">
        <w:trPr>
          <w:cantSplit/>
          <w:tblHeader/>
        </w:trPr>
        <w:tc>
          <w:tcPr>
            <w:tcW w:w="615" w:type="dxa"/>
          </w:tcPr>
          <w:p w:rsidR="005A7CDC" w:rsidRPr="007250D1" w:rsidRDefault="005A7CDC" w:rsidP="00CF6722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2</w:t>
            </w:r>
          </w:p>
        </w:tc>
        <w:tc>
          <w:tcPr>
            <w:tcW w:w="505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Klasifikace informací</w:t>
            </w:r>
          </w:p>
        </w:tc>
        <w:tc>
          <w:tcPr>
            <w:tcW w:w="402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Vlastník informace</w:t>
            </w:r>
          </w:p>
        </w:tc>
      </w:tr>
      <w:tr w:rsidR="005A7CDC" w:rsidRPr="007250D1" w:rsidTr="00CF6722">
        <w:trPr>
          <w:cantSplit/>
          <w:tblHeader/>
        </w:trPr>
        <w:tc>
          <w:tcPr>
            <w:tcW w:w="615" w:type="dxa"/>
          </w:tcPr>
          <w:p w:rsidR="005A7CDC" w:rsidRPr="007250D1" w:rsidRDefault="005A7CDC" w:rsidP="00CF6722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3</w:t>
            </w:r>
          </w:p>
        </w:tc>
        <w:tc>
          <w:tcPr>
            <w:tcW w:w="505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Označování informací</w:t>
            </w:r>
          </w:p>
        </w:tc>
        <w:tc>
          <w:tcPr>
            <w:tcW w:w="402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Vlastník informace</w:t>
            </w:r>
          </w:p>
        </w:tc>
      </w:tr>
      <w:tr w:rsidR="005A7CDC" w:rsidRPr="007250D1" w:rsidTr="00CF6722">
        <w:trPr>
          <w:cantSplit/>
          <w:tblHeader/>
        </w:trPr>
        <w:tc>
          <w:tcPr>
            <w:tcW w:w="615" w:type="dxa"/>
          </w:tcPr>
          <w:p w:rsidR="005A7CDC" w:rsidRPr="007250D1" w:rsidRDefault="005A7CDC" w:rsidP="00CF6722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4</w:t>
            </w:r>
          </w:p>
        </w:tc>
        <w:tc>
          <w:tcPr>
            <w:tcW w:w="505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Zacházení s informacemi</w:t>
            </w:r>
          </w:p>
        </w:tc>
        <w:tc>
          <w:tcPr>
            <w:tcW w:w="402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Uživatelé informací s přístupovými právy</w:t>
            </w:r>
          </w:p>
        </w:tc>
      </w:tr>
      <w:tr w:rsidR="005A7CDC" w:rsidRPr="007250D1" w:rsidTr="00CF6722">
        <w:trPr>
          <w:cantSplit/>
          <w:tblHeader/>
        </w:trPr>
        <w:tc>
          <w:tcPr>
            <w:tcW w:w="615" w:type="dxa"/>
          </w:tcPr>
          <w:p w:rsidR="005A7CDC" w:rsidRPr="007250D1" w:rsidRDefault="005A7CDC" w:rsidP="00CF6722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5</w:t>
            </w:r>
          </w:p>
        </w:tc>
        <w:tc>
          <w:tcPr>
            <w:tcW w:w="505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Udržování ochrany informací</w:t>
            </w:r>
          </w:p>
        </w:tc>
        <w:tc>
          <w:tcPr>
            <w:tcW w:w="402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Tým DevOps</w:t>
            </w:r>
          </w:p>
        </w:tc>
      </w:tr>
      <w:tr w:rsidR="005A7CDC" w:rsidRPr="007250D1" w:rsidTr="00CF6722">
        <w:trPr>
          <w:cantSplit/>
          <w:tblHeader/>
        </w:trPr>
        <w:tc>
          <w:tcPr>
            <w:tcW w:w="615" w:type="dxa"/>
          </w:tcPr>
          <w:p w:rsidR="005A7CDC" w:rsidRPr="007250D1" w:rsidRDefault="005A7CDC" w:rsidP="00CF6722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6</w:t>
            </w:r>
          </w:p>
        </w:tc>
        <w:tc>
          <w:tcPr>
            <w:tcW w:w="505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Audit klasifikace dat, označování a zacházení</w:t>
            </w:r>
          </w:p>
        </w:tc>
        <w:tc>
          <w:tcPr>
            <w:tcW w:w="402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Tým informační bezpečnosti</w:t>
            </w:r>
          </w:p>
        </w:tc>
      </w:tr>
    </w:tbl>
    <w:p w:rsidR="005A7CDC" w:rsidRPr="007250D1" w:rsidRDefault="005A7CDC" w:rsidP="005A7CDC">
      <w:pPr>
        <w:pStyle w:val="normal"/>
        <w:spacing w:after="200" w:line="240" w:lineRule="auto"/>
        <w:jc w:val="center"/>
        <w:rPr>
          <w:rFonts w:ascii="Athiti" w:eastAsia="Athiti" w:hAnsi="Athiti" w:cs="Athiti"/>
          <w:lang w:val="cs-CZ"/>
        </w:rPr>
      </w:pPr>
      <w:bookmarkStart w:id="10" w:name="_heading=h.6zig3fp8mf4j" w:colFirst="0" w:colLast="0"/>
      <w:bookmarkEnd w:id="10"/>
      <w:r w:rsidRPr="007250D1">
        <w:rPr>
          <w:rFonts w:ascii="Athiti" w:eastAsia="Athiti" w:hAnsi="Athiti" w:cs="Athiti"/>
          <w:i/>
          <w:color w:val="44546A"/>
          <w:lang w:val="cs-CZ"/>
        </w:rPr>
        <w:br/>
        <w:t>Tabulka 1: Odpovědnosti ve správě informací</w:t>
      </w:r>
    </w:p>
    <w:p w:rsidR="005A7CDC" w:rsidRPr="007250D1" w:rsidRDefault="005A7CDC" w:rsidP="005A7CDC">
      <w:pPr>
        <w:pStyle w:val="Nadpis2"/>
        <w:rPr>
          <w:rFonts w:ascii="Athiti" w:eastAsia="Athiti" w:hAnsi="Athiti" w:cs="Athiti"/>
          <w:sz w:val="24"/>
          <w:szCs w:val="24"/>
          <w:lang w:val="cs-CZ"/>
        </w:rPr>
      </w:pPr>
      <w:bookmarkStart w:id="11" w:name="_heading=h.vm6kgbg06e9s" w:colFirst="0" w:colLast="0"/>
      <w:bookmarkEnd w:id="11"/>
      <w:r w:rsidRPr="007250D1">
        <w:rPr>
          <w:rFonts w:ascii="Athiti" w:eastAsia="Athiti" w:hAnsi="Athiti" w:cs="Athiti"/>
          <w:sz w:val="24"/>
          <w:szCs w:val="24"/>
          <w:lang w:val="cs-CZ"/>
        </w:rPr>
        <w:t>3.2 Klasifikace informací</w:t>
      </w:r>
    </w:p>
    <w:p w:rsidR="005A7CDC" w:rsidRPr="007250D1" w:rsidRDefault="005A7CDC" w:rsidP="005A7CDC">
      <w:pPr>
        <w:pStyle w:val="Nadpis3"/>
        <w:rPr>
          <w:rFonts w:ascii="Athiti" w:eastAsia="Athiti" w:hAnsi="Athiti" w:cs="Athiti"/>
          <w:lang w:val="cs-CZ"/>
        </w:rPr>
      </w:pPr>
      <w:bookmarkStart w:id="12" w:name="_heading=h.ndpad140mdra" w:colFirst="0" w:colLast="0"/>
      <w:bookmarkEnd w:id="12"/>
      <w:r w:rsidRPr="007250D1">
        <w:rPr>
          <w:rFonts w:ascii="Athiti" w:eastAsia="Athiti" w:hAnsi="Athiti" w:cs="Athiti"/>
          <w:lang w:val="cs-CZ"/>
        </w:rPr>
        <w:t>3.2.1 Kritéria klasifikace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Úroveň důvěrnosti informací je určena na základě kombinace několika klíčových kritérií, která odrážejí hodnotu informací pro společnost, míru jejich citlivosti a možné dopady zneužití, ztráty nebo poškození. Klasifikace informací je zásadní pro správné určení úrovně ochrany, která má být uplatněna během celého životního cyklu informací – od jejich vytvoření, zpracování a sdílení až po archivaci a bezpečné zničení.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Kritéria klasifikace zahrnují zejména následující faktory:</w:t>
      </w:r>
    </w:p>
    <w:p w:rsidR="005A7CDC" w:rsidRPr="007250D1" w:rsidRDefault="005A7CDC" w:rsidP="005A7CDC">
      <w:pPr>
        <w:pStyle w:val="Nadpis4"/>
        <w:keepNext w:val="0"/>
        <w:keepLines w:val="0"/>
        <w:ind w:left="720" w:hanging="360"/>
        <w:rPr>
          <w:rFonts w:ascii="Athiti" w:eastAsia="Athiti" w:hAnsi="Athiti" w:cs="Athiti"/>
          <w:sz w:val="22"/>
          <w:szCs w:val="22"/>
          <w:lang w:val="cs-CZ"/>
        </w:rPr>
      </w:pPr>
      <w:bookmarkStart w:id="13" w:name="_heading=h.9yr1fwsjxdoa" w:colFirst="0" w:colLast="0"/>
      <w:bookmarkEnd w:id="13"/>
      <w:r w:rsidRPr="007250D1">
        <w:rPr>
          <w:rFonts w:ascii="Athiti" w:eastAsia="Athiti" w:hAnsi="Athiti" w:cs="Athiti"/>
          <w:sz w:val="22"/>
          <w:szCs w:val="22"/>
          <w:lang w:val="cs-CZ"/>
        </w:rPr>
        <w:t>Hodnota informací</w:t>
      </w:r>
    </w:p>
    <w:p w:rsidR="005A7CDC" w:rsidRPr="007250D1" w:rsidRDefault="005A7CDC" w:rsidP="005A7CDC">
      <w:pPr>
        <w:pStyle w:val="normal"/>
        <w:numPr>
          <w:ilvl w:val="0"/>
          <w:numId w:val="15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b/>
          <w:sz w:val="22"/>
          <w:szCs w:val="22"/>
          <w:lang w:val="cs-CZ"/>
        </w:rPr>
        <w:t>Hodnota informací</w:t>
      </w:r>
      <w:r w:rsidRPr="007250D1">
        <w:rPr>
          <w:rFonts w:ascii="Athiti" w:eastAsia="Athiti" w:hAnsi="Athiti" w:cs="Athiti"/>
          <w:lang w:val="cs-CZ"/>
        </w:rPr>
        <w:t xml:space="preserve"> vyjadřuje, jak důležité jsou informace pro činnost a obchodní zájmy společnosti. Hodnocení vychází z dopadů, které by mělo neoprávněné zpřístupnění, ztráta, zničení nebo změna informací.</w:t>
      </w:r>
    </w:p>
    <w:p w:rsidR="005A7CDC" w:rsidRPr="007250D1" w:rsidRDefault="005A7CDC" w:rsidP="005A7CDC">
      <w:pPr>
        <w:pStyle w:val="normal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Při hodnocení se zvažuje například:</w:t>
      </w:r>
    </w:p>
    <w:p w:rsidR="005A7CDC" w:rsidRPr="007250D1" w:rsidRDefault="005A7CDC" w:rsidP="005A7CDC">
      <w:pPr>
        <w:pStyle w:val="normal"/>
        <w:numPr>
          <w:ilvl w:val="1"/>
          <w:numId w:val="1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ztráta důvěry klientů nebo partnerů,</w:t>
      </w:r>
    </w:p>
    <w:p w:rsidR="005A7CDC" w:rsidRPr="007250D1" w:rsidRDefault="005A7CDC" w:rsidP="005A7CDC">
      <w:pPr>
        <w:pStyle w:val="normal"/>
        <w:numPr>
          <w:ilvl w:val="1"/>
          <w:numId w:val="1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přímé finanční ztráty (např. sankce, pokuty, kompenzace),</w:t>
      </w:r>
    </w:p>
    <w:p w:rsidR="005A7CDC" w:rsidRPr="007250D1" w:rsidRDefault="005A7CDC" w:rsidP="005A7CDC">
      <w:pPr>
        <w:pStyle w:val="normal"/>
        <w:numPr>
          <w:ilvl w:val="1"/>
          <w:numId w:val="1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negativní dopad na pověst společnosti,</w:t>
      </w:r>
    </w:p>
    <w:p w:rsidR="005A7CDC" w:rsidRPr="007250D1" w:rsidRDefault="005A7CDC" w:rsidP="005A7CDC">
      <w:pPr>
        <w:pStyle w:val="normal"/>
        <w:numPr>
          <w:ilvl w:val="1"/>
          <w:numId w:val="15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narušení provozu nebo obchodních činností.</w:t>
      </w:r>
    </w:p>
    <w:p w:rsidR="005A7CDC" w:rsidRPr="007250D1" w:rsidRDefault="005A7CDC" w:rsidP="005A7CDC">
      <w:pPr>
        <w:pStyle w:val="Nadpis4"/>
        <w:keepNext w:val="0"/>
        <w:keepLines w:val="0"/>
        <w:ind w:left="720" w:hanging="360"/>
        <w:rPr>
          <w:rFonts w:ascii="Athiti" w:eastAsia="Athiti" w:hAnsi="Athiti" w:cs="Athiti"/>
          <w:sz w:val="22"/>
          <w:szCs w:val="22"/>
          <w:lang w:val="cs-CZ"/>
        </w:rPr>
      </w:pPr>
      <w:bookmarkStart w:id="14" w:name="_heading=h.d3y3zo2twxkz" w:colFirst="0" w:colLast="0"/>
      <w:bookmarkEnd w:id="14"/>
      <w:r w:rsidRPr="007250D1">
        <w:rPr>
          <w:rFonts w:ascii="Athiti" w:eastAsia="Athiti" w:hAnsi="Athiti" w:cs="Athiti"/>
          <w:sz w:val="22"/>
          <w:szCs w:val="22"/>
          <w:lang w:val="cs-CZ"/>
        </w:rPr>
        <w:lastRenderedPageBreak/>
        <w:t>Citlivost a kritičnost informací</w:t>
      </w:r>
    </w:p>
    <w:p w:rsidR="005A7CDC" w:rsidRPr="007250D1" w:rsidRDefault="005A7CDC" w:rsidP="005A7CDC">
      <w:pPr>
        <w:pStyle w:val="normal"/>
        <w:numPr>
          <w:ilvl w:val="0"/>
          <w:numId w:val="7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b/>
          <w:sz w:val="22"/>
          <w:szCs w:val="22"/>
          <w:lang w:val="cs-CZ"/>
        </w:rPr>
        <w:t>Citlivost informací</w:t>
      </w:r>
      <w:r w:rsidRPr="007250D1">
        <w:rPr>
          <w:rFonts w:ascii="Athiti" w:eastAsia="Athiti" w:hAnsi="Athiti" w:cs="Athiti"/>
          <w:lang w:val="cs-CZ"/>
        </w:rPr>
        <w:t xml:space="preserve"> odráží míru rizika spojeného s neoprávněným přístupem nebo únikem.</w:t>
      </w:r>
    </w:p>
    <w:p w:rsidR="005A7CDC" w:rsidRPr="007250D1" w:rsidRDefault="005A7CDC" w:rsidP="005A7CDC">
      <w:pPr>
        <w:pStyle w:val="normal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b/>
          <w:lang w:val="cs-CZ"/>
        </w:rPr>
        <w:t>Kritičnost informací</w:t>
      </w:r>
      <w:r w:rsidRPr="007250D1">
        <w:rPr>
          <w:rFonts w:ascii="Athiti" w:eastAsia="Athiti" w:hAnsi="Athiti" w:cs="Athiti"/>
          <w:lang w:val="cs-CZ"/>
        </w:rPr>
        <w:t xml:space="preserve"> se vztahuje na důležitost informací pro chod klíčových procesů a plnění závazků společnosti.</w:t>
      </w:r>
    </w:p>
    <w:p w:rsidR="005A7CDC" w:rsidRPr="007250D1" w:rsidRDefault="005A7CDC" w:rsidP="005A7CDC">
      <w:pPr>
        <w:pStyle w:val="normal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Hodnocení zohledňuje:</w:t>
      </w:r>
      <w:r w:rsidRPr="007250D1">
        <w:rPr>
          <w:rFonts w:ascii="Athiti" w:eastAsia="Athiti" w:hAnsi="Athiti" w:cs="Athiti"/>
          <w:lang w:val="cs-CZ"/>
        </w:rPr>
        <w:br/>
      </w:r>
    </w:p>
    <w:p w:rsidR="005A7CDC" w:rsidRPr="007250D1" w:rsidRDefault="005A7CDC" w:rsidP="005A7CDC">
      <w:pPr>
        <w:pStyle w:val="normal"/>
        <w:numPr>
          <w:ilvl w:val="1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typ informací (např. osobní údaje, finanční data, technická dokumentace, interní strategie),</w:t>
      </w:r>
    </w:p>
    <w:p w:rsidR="005A7CDC" w:rsidRPr="007250D1" w:rsidRDefault="005A7CDC" w:rsidP="005A7CDC">
      <w:pPr>
        <w:pStyle w:val="normal"/>
        <w:numPr>
          <w:ilvl w:val="1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stupeň dopadu, pokud by byly informace ztraceny, odcizeny, zneužity nebo pozměněny,</w:t>
      </w:r>
    </w:p>
    <w:p w:rsidR="005A7CDC" w:rsidRPr="007250D1" w:rsidRDefault="005A7CDC" w:rsidP="005A7CDC">
      <w:pPr>
        <w:pStyle w:val="normal"/>
        <w:numPr>
          <w:ilvl w:val="1"/>
          <w:numId w:val="7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možnost zneužití informací k trestné činnosti (např. podvody, krádež identity, vydírání).</w:t>
      </w:r>
    </w:p>
    <w:p w:rsidR="005A7CDC" w:rsidRPr="007250D1" w:rsidRDefault="005A7CDC" w:rsidP="005A7CDC">
      <w:pPr>
        <w:pStyle w:val="Nadpis4"/>
        <w:keepNext w:val="0"/>
        <w:keepLines w:val="0"/>
        <w:ind w:left="720" w:hanging="360"/>
        <w:rPr>
          <w:rFonts w:ascii="Athiti" w:eastAsia="Athiti" w:hAnsi="Athiti" w:cs="Athiti"/>
          <w:sz w:val="22"/>
          <w:szCs w:val="22"/>
          <w:lang w:val="cs-CZ"/>
        </w:rPr>
      </w:pPr>
      <w:bookmarkStart w:id="15" w:name="_heading=h.7nll13y7m4up" w:colFirst="0" w:colLast="0"/>
      <w:bookmarkEnd w:id="15"/>
      <w:r w:rsidRPr="007250D1">
        <w:rPr>
          <w:rFonts w:ascii="Athiti" w:eastAsia="Athiti" w:hAnsi="Athiti" w:cs="Athiti"/>
          <w:sz w:val="22"/>
          <w:szCs w:val="22"/>
          <w:lang w:val="cs-CZ"/>
        </w:rPr>
        <w:t>Právní a smluvní závazky</w:t>
      </w:r>
    </w:p>
    <w:p w:rsidR="005A7CDC" w:rsidRPr="007250D1" w:rsidRDefault="005A7CDC" w:rsidP="005A7CDC">
      <w:pPr>
        <w:pStyle w:val="normal"/>
        <w:numPr>
          <w:ilvl w:val="0"/>
          <w:numId w:val="2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 xml:space="preserve">Klasifikace zohledňuje </w:t>
      </w:r>
      <w:r w:rsidRPr="007250D1">
        <w:rPr>
          <w:rFonts w:ascii="Athiti" w:eastAsia="Athiti" w:hAnsi="Athiti" w:cs="Athiti"/>
          <w:b/>
          <w:lang w:val="cs-CZ"/>
        </w:rPr>
        <w:t>právní požadavky</w:t>
      </w:r>
      <w:r w:rsidRPr="007250D1">
        <w:rPr>
          <w:rFonts w:ascii="Athiti" w:eastAsia="Athiti" w:hAnsi="Athiti" w:cs="Athiti"/>
          <w:lang w:val="cs-CZ"/>
        </w:rPr>
        <w:t xml:space="preserve"> vyplývající z platných právních předpisů (např. GDPR, DORA, MiCA, Zákon o kybernetické bezpečnosti) a také </w:t>
      </w:r>
      <w:r w:rsidRPr="007250D1">
        <w:rPr>
          <w:rFonts w:ascii="Athiti" w:eastAsia="Athiti" w:hAnsi="Athiti" w:cs="Athiti"/>
          <w:b/>
          <w:lang w:val="cs-CZ"/>
        </w:rPr>
        <w:t>smluvní závazky</w:t>
      </w:r>
      <w:r w:rsidRPr="007250D1">
        <w:rPr>
          <w:rFonts w:ascii="Athiti" w:eastAsia="Athiti" w:hAnsi="Athiti" w:cs="Athiti"/>
          <w:lang w:val="cs-CZ"/>
        </w:rPr>
        <w:t xml:space="preserve"> vůči klientům, partnerům a regulatorním orgánům.</w:t>
      </w:r>
    </w:p>
    <w:p w:rsidR="005A7CDC" w:rsidRPr="007250D1" w:rsidRDefault="005A7CDC" w:rsidP="005A7CDC">
      <w:pPr>
        <w:pStyle w:val="normal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Informace podléhající regulacím (např. osobní údaje, finanční údaje, data o klientech) musí být chráněny v souladu s požadovanými pravidly a standardy (např. povinnost šifrování, omezení přístupu, pravidla pro sdílení a uchovávání).</w:t>
      </w:r>
    </w:p>
    <w:p w:rsidR="005A7CDC" w:rsidRPr="007250D1" w:rsidRDefault="005A7CDC" w:rsidP="005A7CDC">
      <w:pPr>
        <w:pStyle w:val="normal"/>
        <w:numPr>
          <w:ilvl w:val="0"/>
          <w:numId w:val="2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Nedodržení těchto povinností může vést k právním postihům, pokutám, soudním sporům a ztrátě důvěry ze strany klientů a partnerů.</w:t>
      </w:r>
    </w:p>
    <w:p w:rsidR="005A7CDC" w:rsidRPr="007250D1" w:rsidRDefault="005A7CDC" w:rsidP="005A7CDC">
      <w:pPr>
        <w:pStyle w:val="Nadpis4"/>
        <w:keepNext w:val="0"/>
        <w:keepLines w:val="0"/>
        <w:ind w:left="720" w:hanging="360"/>
        <w:rPr>
          <w:rFonts w:ascii="Athiti" w:eastAsia="Athiti" w:hAnsi="Athiti" w:cs="Athiti"/>
          <w:sz w:val="22"/>
          <w:szCs w:val="22"/>
          <w:lang w:val="cs-CZ"/>
        </w:rPr>
      </w:pPr>
      <w:bookmarkStart w:id="16" w:name="_heading=h.5q55dmeizfm4" w:colFirst="0" w:colLast="0"/>
      <w:bookmarkEnd w:id="16"/>
      <w:r w:rsidRPr="007250D1">
        <w:rPr>
          <w:rFonts w:ascii="Athiti" w:eastAsia="Athiti" w:hAnsi="Athiti" w:cs="Athiti"/>
          <w:sz w:val="22"/>
          <w:szCs w:val="22"/>
          <w:lang w:val="cs-CZ"/>
        </w:rPr>
        <w:t>Kontext a specifičnost informací</w:t>
      </w:r>
    </w:p>
    <w:p w:rsidR="005A7CDC" w:rsidRPr="007250D1" w:rsidRDefault="005A7CDC" w:rsidP="005A7CDC">
      <w:pPr>
        <w:pStyle w:val="normal"/>
        <w:numPr>
          <w:ilvl w:val="0"/>
          <w:numId w:val="17"/>
        </w:numPr>
        <w:spacing w:before="240"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Konečné zařazení informací do konkrétní úrovně důvěrnosti se vždy posuzuje individuálně, s ohledem na konkrétní okolnosti, charakter a účel informací, včetně jejich původu, způsobu zpracování, očekávané doby uchovávání a způsobu sdílení.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b/>
          <w:lang w:val="cs-CZ"/>
        </w:rPr>
        <w:t>Cílem klasifikace je zajistit, že každá informace je chráněna přiměřeně její hodnotě, významu a míře rizika, a že jsou přijata odpovídající technická, organizační a právní opatření pro minimalizaci rizik spojených s její ztrátou, poškozením, odcizením nebo zneužitím.</w:t>
      </w:r>
    </w:p>
    <w:p w:rsidR="005A7CDC" w:rsidRPr="007250D1" w:rsidRDefault="005A7CDC" w:rsidP="005A7CDC">
      <w:pPr>
        <w:pStyle w:val="Nadpis3"/>
        <w:rPr>
          <w:rFonts w:ascii="Athiti" w:eastAsia="Athiti" w:hAnsi="Athiti" w:cs="Athiti"/>
          <w:lang w:val="cs-CZ"/>
        </w:rPr>
      </w:pPr>
      <w:bookmarkStart w:id="17" w:name="_heading=h.av0acsc47inp" w:colFirst="0" w:colLast="0"/>
      <w:bookmarkEnd w:id="17"/>
      <w:r w:rsidRPr="007250D1">
        <w:rPr>
          <w:rFonts w:ascii="Athiti" w:eastAsia="Athiti" w:hAnsi="Athiti" w:cs="Athiti"/>
          <w:lang w:val="cs-CZ"/>
        </w:rPr>
        <w:t>3.2.2 Úrovně důvěrnosti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7250D1">
        <w:rPr>
          <w:rFonts w:ascii="Athiti" w:eastAsia="Athiti" w:hAnsi="Athiti" w:cs="Athiti"/>
          <w:lang w:val="cs-CZ"/>
        </w:rPr>
        <w:t>Veškeré informace musí být klasifikovány do úrovní důvěrnosti:</w:t>
      </w:r>
    </w:p>
    <w:tbl>
      <w:tblPr>
        <w:tblW w:w="969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860"/>
        <w:gridCol w:w="3315"/>
        <w:gridCol w:w="4515"/>
      </w:tblGrid>
      <w:tr w:rsidR="005A7CDC" w:rsidRPr="007250D1" w:rsidTr="00CF6722">
        <w:trPr>
          <w:cantSplit/>
          <w:tblHeader/>
        </w:trPr>
        <w:tc>
          <w:tcPr>
            <w:tcW w:w="1860" w:type="dxa"/>
            <w:shd w:val="clear" w:color="auto" w:fill="FFE599"/>
          </w:tcPr>
          <w:p w:rsidR="005A7CDC" w:rsidRPr="007250D1" w:rsidRDefault="005A7CDC" w:rsidP="00CF6722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ÚROVEŇ DŮVĚRNOSTI</w:t>
            </w:r>
          </w:p>
        </w:tc>
        <w:tc>
          <w:tcPr>
            <w:tcW w:w="3315" w:type="dxa"/>
            <w:shd w:val="clear" w:color="auto" w:fill="FFE599"/>
          </w:tcPr>
          <w:p w:rsidR="005A7CDC" w:rsidRPr="007250D1" w:rsidRDefault="005A7CDC" w:rsidP="00CF6722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KRITÉRIA KLASIFIKACE</w:t>
            </w:r>
          </w:p>
        </w:tc>
        <w:tc>
          <w:tcPr>
            <w:tcW w:w="4515" w:type="dxa"/>
            <w:shd w:val="clear" w:color="auto" w:fill="FFE599"/>
          </w:tcPr>
          <w:p w:rsidR="005A7CDC" w:rsidRPr="007250D1" w:rsidRDefault="005A7CDC" w:rsidP="00CF6722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OMEZENÍ PŘÍSTUPU</w:t>
            </w:r>
          </w:p>
        </w:tc>
      </w:tr>
      <w:tr w:rsidR="005A7CDC" w:rsidRPr="007250D1" w:rsidTr="00CF6722">
        <w:trPr>
          <w:cantSplit/>
          <w:tblHeader/>
        </w:trPr>
        <w:tc>
          <w:tcPr>
            <w:tcW w:w="186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Veřejné</w:t>
            </w:r>
          </w:p>
        </w:tc>
        <w:tc>
          <w:tcPr>
            <w:tcW w:w="331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Zveřejnění informací nemůže společnosti nijak uškodit</w:t>
            </w:r>
          </w:p>
        </w:tc>
        <w:tc>
          <w:tcPr>
            <w:tcW w:w="451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Informace jsou veřejně dostupné</w:t>
            </w:r>
          </w:p>
        </w:tc>
      </w:tr>
      <w:tr w:rsidR="005A7CDC" w:rsidRPr="007250D1" w:rsidTr="00CF6722">
        <w:trPr>
          <w:cantSplit/>
          <w:tblHeader/>
        </w:trPr>
        <w:tc>
          <w:tcPr>
            <w:tcW w:w="186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lastRenderedPageBreak/>
              <w:t>Pouze pro interní použití</w:t>
            </w:r>
          </w:p>
        </w:tc>
        <w:tc>
          <w:tcPr>
            <w:tcW w:w="331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Neoprávněný přístup k informacím může způsobit společnosti menší škodu nebo nepříjemnosti</w:t>
            </w:r>
          </w:p>
        </w:tc>
        <w:tc>
          <w:tcPr>
            <w:tcW w:w="451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Informace jsou dostupné všem zaměstnancům, smluvním pracovníkům a vybraným třetím stranám</w:t>
            </w:r>
          </w:p>
        </w:tc>
      </w:tr>
      <w:tr w:rsidR="005A7CDC" w:rsidRPr="007250D1" w:rsidTr="00CF6722">
        <w:trPr>
          <w:cantSplit/>
          <w:tblHeader/>
        </w:trPr>
        <w:tc>
          <w:tcPr>
            <w:tcW w:w="186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Důvěrné</w:t>
            </w:r>
          </w:p>
        </w:tc>
        <w:tc>
          <w:tcPr>
            <w:tcW w:w="331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Neoprávněný přístup k informacím může vážně poškodit podnikání nebo pověst společnosti</w:t>
            </w:r>
          </w:p>
        </w:tc>
        <w:tc>
          <w:tcPr>
            <w:tcW w:w="451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Informace jsou dostupné pouze specifické skupině zaměstnanců a smluvních pracovníků</w:t>
            </w:r>
          </w:p>
        </w:tc>
      </w:tr>
      <w:tr w:rsidR="005A7CDC" w:rsidRPr="007250D1" w:rsidTr="00CF6722">
        <w:trPr>
          <w:cantSplit/>
          <w:tblHeader/>
        </w:trPr>
        <w:tc>
          <w:tcPr>
            <w:tcW w:w="186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Osobní identifikovatelné údaje (PII)</w:t>
            </w:r>
          </w:p>
        </w:tc>
        <w:tc>
          <w:tcPr>
            <w:tcW w:w="331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Neoprávněný přístup k osobním údajům může porušit zákony o ochraně soukromí,</w:t>
            </w:r>
          </w:p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 xml:space="preserve"> což vede k právním postihům a poškození pověsti</w:t>
            </w:r>
          </w:p>
        </w:tc>
        <w:tc>
          <w:tcPr>
            <w:tcW w:w="451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Informace jsou omezeny na specifický autorizovaný personál</w:t>
            </w:r>
          </w:p>
        </w:tc>
      </w:tr>
    </w:tbl>
    <w:p w:rsidR="005A7CDC" w:rsidRPr="007250D1" w:rsidRDefault="005A7CDC" w:rsidP="005A7CDC">
      <w:pPr>
        <w:pStyle w:val="normal"/>
        <w:spacing w:after="200" w:line="240" w:lineRule="auto"/>
        <w:jc w:val="center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br/>
        <w:t>Tabulka 2: Úrovně důvěrnosti</w:t>
      </w:r>
    </w:p>
    <w:p w:rsidR="005A7CDC" w:rsidRPr="007250D1" w:rsidRDefault="005A7CDC" w:rsidP="005A7CDC">
      <w:pPr>
        <w:pStyle w:val="Nadpis3"/>
        <w:rPr>
          <w:rFonts w:ascii="Athiti" w:eastAsia="Athiti" w:hAnsi="Athiti" w:cs="Athiti"/>
          <w:lang w:val="cs-CZ"/>
        </w:rPr>
      </w:pPr>
      <w:bookmarkStart w:id="18" w:name="_heading=h.ibjhtyjgyrmk" w:colFirst="0" w:colLast="0"/>
      <w:bookmarkEnd w:id="18"/>
      <w:r w:rsidRPr="007250D1">
        <w:rPr>
          <w:rFonts w:ascii="Athiti" w:eastAsia="Athiti" w:hAnsi="Athiti" w:cs="Athiti"/>
          <w:lang w:val="cs-CZ"/>
        </w:rPr>
        <w:t>3.2.3 Veřejné informace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Informace se považují za veřejné, pokud mohou nebo musí být zpřístupněny široké veřejnosti a nejsou na ně kladeny žádné právní omezení přístupu či použití. Veřejné informace zahrnují, ale nejsou omezeny na: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before="240"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veřejně zveřejněné tiskové zprávy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veřejně dostupné marketingové materiály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veřejně zveřejněné pracovní nabídky</w:t>
      </w:r>
    </w:p>
    <w:p w:rsidR="005A7CDC" w:rsidRPr="007250D1" w:rsidRDefault="005A7CDC" w:rsidP="005A7CDC">
      <w:pPr>
        <w:pStyle w:val="Nadpis3"/>
        <w:rPr>
          <w:rFonts w:ascii="Athiti" w:eastAsia="Athiti" w:hAnsi="Athiti" w:cs="Athiti"/>
          <w:lang w:val="cs-CZ"/>
        </w:rPr>
      </w:pPr>
      <w:bookmarkStart w:id="19" w:name="_heading=h.qpnu8yxu5pfo" w:colFirst="0" w:colLast="0"/>
      <w:bookmarkEnd w:id="19"/>
      <w:r w:rsidRPr="007250D1">
        <w:rPr>
          <w:rFonts w:ascii="Athiti" w:eastAsia="Athiti" w:hAnsi="Athiti" w:cs="Athiti"/>
          <w:lang w:val="cs-CZ"/>
        </w:rPr>
        <w:t>3.2.4 Informace určené pouze pro vnitřní použití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Informace pro interní použití jsou informace, které musí být chráněny z důvodů vlastnických práv, etických či soukromí, a zároveň chráněny před neoprávněným přístupem, úpravou, přenosem, uložením nebo jiným použitím. Informace pro interní použití zahrnují, ale nejsou omezeny na: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before="240"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kontaktní údaje zaměstnanců nebo smluvních pracovníků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interní adresáře a organizační schémata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plánovací dokumenty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interní newslettery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informace o zákaznících a partnerech, pokud neexistuje přísnější dohoda o důvěrnosti</w:t>
      </w:r>
    </w:p>
    <w:p w:rsidR="005A7CDC" w:rsidRPr="007250D1" w:rsidRDefault="005A7CDC" w:rsidP="005A7CDC">
      <w:pPr>
        <w:pStyle w:val="Nadpis3"/>
        <w:rPr>
          <w:rFonts w:ascii="Athiti" w:eastAsia="Athiti" w:hAnsi="Athiti" w:cs="Athiti"/>
          <w:lang w:val="cs-CZ"/>
        </w:rPr>
      </w:pPr>
      <w:bookmarkStart w:id="20" w:name="_heading=h.88ogvypm93i5" w:colFirst="0" w:colLast="0"/>
      <w:bookmarkEnd w:id="20"/>
      <w:r w:rsidRPr="007250D1">
        <w:rPr>
          <w:rFonts w:ascii="Athiti" w:eastAsia="Athiti" w:hAnsi="Athiti" w:cs="Athiti"/>
          <w:lang w:val="cs-CZ"/>
        </w:rPr>
        <w:t>3.2.5 Důvěrné informace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Informace se považují za důvěrné, pokud musí být chráněny na základě předpisů, firemních politik nebo smluvních požadavků, a jejich zveřejnění může vážně ovlivnit podnikání a pověst společnosti. Důvěrné informace zahrnují, ale nejsou omezeny na: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before="240"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obchodní plány a strategie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lastRenderedPageBreak/>
        <w:t>důvěrné obchodní informace zákazníků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finanční informace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osobní identifikovatelné údaje o zaměstnancích a smluvních pracovnících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technické informace o IT infrastruktuře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technické bezpečnostní informace</w:t>
      </w:r>
    </w:p>
    <w:p w:rsidR="005A7CDC" w:rsidRPr="007250D1" w:rsidRDefault="005A7CDC" w:rsidP="005A7CDC">
      <w:pPr>
        <w:pStyle w:val="normal"/>
        <w:numPr>
          <w:ilvl w:val="0"/>
          <w:numId w:val="13"/>
        </w:numPr>
        <w:spacing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hesla a soukromé klíče</w:t>
      </w:r>
    </w:p>
    <w:p w:rsidR="005A7CDC" w:rsidRPr="007250D1" w:rsidRDefault="005A7CDC" w:rsidP="005A7CDC">
      <w:pPr>
        <w:pStyle w:val="Nadpis3"/>
        <w:rPr>
          <w:rFonts w:ascii="Athiti" w:eastAsia="Athiti" w:hAnsi="Athiti" w:cs="Athiti"/>
          <w:lang w:val="cs-CZ"/>
        </w:rPr>
      </w:pPr>
      <w:bookmarkStart w:id="21" w:name="_heading=h.f4jm2ge06n1t" w:colFirst="0" w:colLast="0"/>
      <w:bookmarkEnd w:id="21"/>
      <w:r w:rsidRPr="007250D1">
        <w:rPr>
          <w:rFonts w:ascii="Athiti" w:eastAsia="Athiti" w:hAnsi="Athiti" w:cs="Athiti"/>
          <w:lang w:val="cs-CZ"/>
        </w:rPr>
        <w:t>3.2.6 Osobně identifikovatelné informace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Osobní identifikovatelné údaje (PII) označují jakákoli data, která mohou být použita k identifikaci konkrétní osoby, a musí být s nimi nakládáno opatrně, aby se zabránilo právním porušením a ochránilo soukromí jednotlivců. PII zahrnuje, ale není omezeno na:</w:t>
      </w:r>
    </w:p>
    <w:p w:rsidR="005A7CDC" w:rsidRPr="007250D1" w:rsidRDefault="005A7CDC" w:rsidP="005A7CDC">
      <w:pPr>
        <w:pStyle w:val="normal"/>
        <w:numPr>
          <w:ilvl w:val="0"/>
          <w:numId w:val="11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Celá jména</w:t>
      </w:r>
    </w:p>
    <w:p w:rsidR="005A7CDC" w:rsidRPr="007250D1" w:rsidRDefault="005A7CDC" w:rsidP="005A7CDC">
      <w:pPr>
        <w:pStyle w:val="normal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Čísla sociálního zabezpečení nebo národní identifikační čísla</w:t>
      </w:r>
    </w:p>
    <w:p w:rsidR="005A7CDC" w:rsidRPr="007250D1" w:rsidRDefault="005A7CDC" w:rsidP="005A7CDC">
      <w:pPr>
        <w:pStyle w:val="normal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Data narození</w:t>
      </w:r>
    </w:p>
    <w:p w:rsidR="005A7CDC" w:rsidRPr="007250D1" w:rsidRDefault="005A7CDC" w:rsidP="005A7CDC">
      <w:pPr>
        <w:pStyle w:val="normal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Adresy (poštovní, e-mailové)</w:t>
      </w:r>
    </w:p>
    <w:p w:rsidR="005A7CDC" w:rsidRPr="007250D1" w:rsidRDefault="005A7CDC" w:rsidP="005A7CDC">
      <w:pPr>
        <w:pStyle w:val="normal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Telefonní čísla</w:t>
      </w:r>
    </w:p>
    <w:p w:rsidR="005A7CDC" w:rsidRPr="007250D1" w:rsidRDefault="005A7CDC" w:rsidP="005A7CDC">
      <w:pPr>
        <w:pStyle w:val="normal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Osobní zdravotní informace (PHI)</w:t>
      </w:r>
    </w:p>
    <w:p w:rsidR="005A7CDC" w:rsidRPr="007250D1" w:rsidRDefault="005A7CDC" w:rsidP="005A7CDC">
      <w:pPr>
        <w:pStyle w:val="normal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Osobní údaje zaměstnanců nebo smluvních pracovníků (pokud nejsou veřejně zpřístupněny)</w:t>
      </w:r>
    </w:p>
    <w:p w:rsidR="005A7CDC" w:rsidRPr="007250D1" w:rsidRDefault="005A7CDC" w:rsidP="005A7CDC">
      <w:pPr>
        <w:pStyle w:val="normal"/>
        <w:numPr>
          <w:ilvl w:val="0"/>
          <w:numId w:val="11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Čísla řidičských průkazů nebo údaje z pasů</w:t>
      </w:r>
    </w:p>
    <w:p w:rsidR="005A7CDC" w:rsidRPr="007250D1" w:rsidRDefault="005A7CDC" w:rsidP="005A7CDC">
      <w:pPr>
        <w:pStyle w:val="Nadpis2"/>
        <w:rPr>
          <w:rFonts w:ascii="Athiti" w:eastAsia="Athiti" w:hAnsi="Athiti" w:cs="Athiti"/>
          <w:lang w:val="cs-CZ"/>
        </w:rPr>
      </w:pPr>
      <w:bookmarkStart w:id="22" w:name="_heading=h.7pdhrfus094f" w:colFirst="0" w:colLast="0"/>
      <w:bookmarkEnd w:id="22"/>
      <w:r w:rsidRPr="007250D1">
        <w:rPr>
          <w:rFonts w:ascii="Athiti" w:eastAsia="Athiti" w:hAnsi="Athiti" w:cs="Athiti"/>
          <w:lang w:val="cs-CZ"/>
        </w:rPr>
        <w:t>3.3 Označování informací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Správné a konzistentní označování informací je klíčovým prvkem efektivní správy informací a zajištění ochrany dat v souladu s jejich klasifikací. Cílem označování je jednoznačně a viditelně identifikovat úroveň důvěrnosti informací, a tím usnadnit uživatelům správné zacházení s těmito informacemi během celého jejich životního cyklu.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 xml:space="preserve">Označování informací se vztahuje na </w:t>
      </w:r>
      <w:r w:rsidRPr="007250D1">
        <w:rPr>
          <w:rFonts w:ascii="Athiti" w:eastAsia="Athiti" w:hAnsi="Athiti" w:cs="Athiti"/>
          <w:b/>
          <w:lang w:val="cs-CZ"/>
        </w:rPr>
        <w:t>veškeré formáty a druhy nosičů</w:t>
      </w:r>
      <w:r w:rsidRPr="007250D1">
        <w:rPr>
          <w:rFonts w:ascii="Athiti" w:eastAsia="Athiti" w:hAnsi="Athiti" w:cs="Athiti"/>
          <w:lang w:val="cs-CZ"/>
        </w:rPr>
        <w:t>, včetně, ale nejen:</w:t>
      </w:r>
    </w:p>
    <w:p w:rsidR="005A7CDC" w:rsidRPr="007250D1" w:rsidRDefault="005A7CDC" w:rsidP="005A7CDC">
      <w:pPr>
        <w:pStyle w:val="normal"/>
        <w:numPr>
          <w:ilvl w:val="0"/>
          <w:numId w:val="3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elektronických dokumentů (např. Word, Excel, PDF, e-maily, databázové záznamy),</w:t>
      </w:r>
    </w:p>
    <w:p w:rsidR="005A7CDC" w:rsidRPr="007250D1" w:rsidRDefault="005A7CDC" w:rsidP="005A7CDC">
      <w:pPr>
        <w:pStyle w:val="normal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papírových dokumentů (např. smlouvy, reporty, tištěné analýzy),</w:t>
      </w:r>
    </w:p>
    <w:p w:rsidR="005A7CDC" w:rsidRPr="007250D1" w:rsidRDefault="005A7CDC" w:rsidP="005A7CDC">
      <w:pPr>
        <w:pStyle w:val="normal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fyzických médií (např. USB disky, CD/DVD, externí disky, zálohovací pásky),</w:t>
      </w:r>
    </w:p>
    <w:p w:rsidR="005A7CDC" w:rsidRPr="007250D1" w:rsidRDefault="005A7CDC" w:rsidP="005A7CDC">
      <w:pPr>
        <w:pStyle w:val="normal"/>
        <w:numPr>
          <w:ilvl w:val="0"/>
          <w:numId w:val="3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komunikačních kanálů (např. předměty e-mailů, poznámky k souborům v cloudovém úložišti).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 xml:space="preserve">Každý </w:t>
      </w:r>
      <w:r w:rsidRPr="007250D1">
        <w:rPr>
          <w:rFonts w:ascii="Athiti" w:eastAsia="Athiti" w:hAnsi="Athiti" w:cs="Athiti"/>
          <w:b/>
          <w:lang w:val="cs-CZ"/>
        </w:rPr>
        <w:t>vlastník dokumentu</w:t>
      </w:r>
      <w:r w:rsidRPr="007250D1">
        <w:rPr>
          <w:rFonts w:ascii="Athiti" w:eastAsia="Athiti" w:hAnsi="Athiti" w:cs="Athiti"/>
          <w:lang w:val="cs-CZ"/>
        </w:rPr>
        <w:t xml:space="preserve"> nebo </w:t>
      </w:r>
      <w:r w:rsidRPr="007250D1">
        <w:rPr>
          <w:rFonts w:ascii="Athiti" w:eastAsia="Athiti" w:hAnsi="Athiti" w:cs="Athiti"/>
          <w:b/>
          <w:lang w:val="cs-CZ"/>
        </w:rPr>
        <w:t>tvůrce informace</w:t>
      </w:r>
      <w:r w:rsidRPr="007250D1">
        <w:rPr>
          <w:rFonts w:ascii="Athiti" w:eastAsia="Athiti" w:hAnsi="Athiti" w:cs="Athiti"/>
          <w:lang w:val="cs-CZ"/>
        </w:rPr>
        <w:t xml:space="preserve"> je odpovědný za přiřazení a jasné uvedení klasifikační úrovně při vytvoření, schválení nebo prvním zveřejnění dokumentu či záznamu. Toto označení by mělo být umístěno:</w:t>
      </w:r>
    </w:p>
    <w:p w:rsidR="005A7CDC" w:rsidRPr="007250D1" w:rsidRDefault="005A7CDC" w:rsidP="005A7CDC">
      <w:pPr>
        <w:pStyle w:val="normal"/>
        <w:numPr>
          <w:ilvl w:val="0"/>
          <w:numId w:val="8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v záhlaví nebo zápatí každé stránky dokumentu,</w:t>
      </w:r>
    </w:p>
    <w:p w:rsidR="005A7CDC" w:rsidRPr="007250D1" w:rsidRDefault="005A7CDC" w:rsidP="005A7CDC">
      <w:pPr>
        <w:pStyle w:val="normal"/>
        <w:numPr>
          <w:ilvl w:val="0"/>
          <w:numId w:val="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v metadatech souboru (pokud to formát podporuje),</w:t>
      </w:r>
    </w:p>
    <w:p w:rsidR="005A7CDC" w:rsidRPr="007250D1" w:rsidRDefault="005A7CDC" w:rsidP="005A7CDC">
      <w:pPr>
        <w:pStyle w:val="normal"/>
        <w:numPr>
          <w:ilvl w:val="0"/>
          <w:numId w:val="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na viditelném místě obalu fyzických médií (např. štítek na USB disku),</w:t>
      </w:r>
    </w:p>
    <w:p w:rsidR="005A7CDC" w:rsidRPr="007250D1" w:rsidRDefault="005A7CDC" w:rsidP="005A7CDC">
      <w:pPr>
        <w:pStyle w:val="normal"/>
        <w:numPr>
          <w:ilvl w:val="0"/>
          <w:numId w:val="8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v předmětu nebo těle e-mailu, pokud e-mail obsahuje klasifikované informace (např. „[DŮVĚRNÉ] Nový obchodní plán“).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lastRenderedPageBreak/>
        <w:t>Používané označení by mělo odpovídat standardizované sadě hodnot, např.:</w:t>
      </w:r>
      <w:r w:rsidRPr="007250D1">
        <w:rPr>
          <w:rFonts w:ascii="Athiti" w:eastAsia="Athiti" w:hAnsi="Athiti" w:cs="Athiti"/>
          <w:lang w:val="cs-CZ"/>
        </w:rPr>
        <w:br/>
        <w:t xml:space="preserve"> </w:t>
      </w:r>
      <w:r w:rsidRPr="007250D1">
        <w:rPr>
          <w:rFonts w:ascii="Roboto Mono" w:eastAsia="Roboto Mono" w:hAnsi="Roboto Mono" w:cs="Roboto Mono"/>
          <w:color w:val="188038"/>
          <w:lang w:val="cs-CZ"/>
        </w:rPr>
        <w:t>[Veřejné]</w:t>
      </w:r>
      <w:r w:rsidRPr="007250D1">
        <w:rPr>
          <w:rFonts w:ascii="Athiti" w:eastAsia="Athiti" w:hAnsi="Athiti" w:cs="Athiti"/>
          <w:lang w:val="cs-CZ"/>
        </w:rPr>
        <w:t xml:space="preserve">, </w:t>
      </w:r>
      <w:r w:rsidRPr="007250D1">
        <w:rPr>
          <w:rFonts w:ascii="Roboto Mono" w:eastAsia="Roboto Mono" w:hAnsi="Roboto Mono" w:cs="Roboto Mono"/>
          <w:color w:val="188038"/>
          <w:lang w:val="cs-CZ"/>
        </w:rPr>
        <w:t>[Pouze pro interní použití]</w:t>
      </w:r>
      <w:r w:rsidRPr="007250D1">
        <w:rPr>
          <w:rFonts w:ascii="Athiti" w:eastAsia="Athiti" w:hAnsi="Athiti" w:cs="Athiti"/>
          <w:lang w:val="cs-CZ"/>
        </w:rPr>
        <w:t xml:space="preserve">, </w:t>
      </w:r>
      <w:r w:rsidRPr="007250D1">
        <w:rPr>
          <w:rFonts w:ascii="Roboto Mono" w:eastAsia="Roboto Mono" w:hAnsi="Roboto Mono" w:cs="Roboto Mono"/>
          <w:color w:val="188038"/>
          <w:lang w:val="cs-CZ"/>
        </w:rPr>
        <w:t>[Důvěrné]</w:t>
      </w:r>
      <w:r w:rsidRPr="007250D1">
        <w:rPr>
          <w:rFonts w:ascii="Athiti" w:eastAsia="Athiti" w:hAnsi="Athiti" w:cs="Athiti"/>
          <w:lang w:val="cs-CZ"/>
        </w:rPr>
        <w:t xml:space="preserve">, </w:t>
      </w:r>
      <w:r w:rsidRPr="007250D1">
        <w:rPr>
          <w:rFonts w:ascii="Roboto Mono" w:eastAsia="Roboto Mono" w:hAnsi="Roboto Mono" w:cs="Roboto Mono"/>
          <w:color w:val="188038"/>
          <w:lang w:val="cs-CZ"/>
        </w:rPr>
        <w:t>[PII]</w:t>
      </w:r>
      <w:r w:rsidRPr="007250D1">
        <w:rPr>
          <w:rFonts w:ascii="Athiti" w:eastAsia="Athiti" w:hAnsi="Athiti" w:cs="Athiti"/>
          <w:lang w:val="cs-CZ"/>
        </w:rPr>
        <w:t>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Pokud klasifikační úroveň:</w:t>
      </w:r>
    </w:p>
    <w:p w:rsidR="005A7CDC" w:rsidRPr="007250D1" w:rsidRDefault="005A7CDC" w:rsidP="005A7CDC">
      <w:pPr>
        <w:pStyle w:val="normal"/>
        <w:numPr>
          <w:ilvl w:val="0"/>
          <w:numId w:val="6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b/>
          <w:lang w:val="cs-CZ"/>
        </w:rPr>
        <w:t>nebyla stanovena</w:t>
      </w:r>
      <w:r w:rsidRPr="007250D1">
        <w:rPr>
          <w:rFonts w:ascii="Athiti" w:eastAsia="Athiti" w:hAnsi="Athiti" w:cs="Athiti"/>
          <w:lang w:val="cs-CZ"/>
        </w:rPr>
        <w:t>,</w:t>
      </w:r>
    </w:p>
    <w:p w:rsidR="005A7CDC" w:rsidRPr="007250D1" w:rsidRDefault="005A7CDC" w:rsidP="005A7CDC">
      <w:pPr>
        <w:pStyle w:val="normal"/>
        <w:numPr>
          <w:ilvl w:val="0"/>
          <w:numId w:val="6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b/>
          <w:lang w:val="cs-CZ"/>
        </w:rPr>
        <w:t>není jasně viditelná</w:t>
      </w:r>
      <w:r w:rsidRPr="007250D1">
        <w:rPr>
          <w:rFonts w:ascii="Athiti" w:eastAsia="Athiti" w:hAnsi="Athiti" w:cs="Athiti"/>
          <w:lang w:val="cs-CZ"/>
        </w:rPr>
        <w:t xml:space="preserve"> (např. chybí v dokumentu, metadatech, e-mailu, nebo na obalu média),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musí uživatel automaticky považovat klasifikační úroveň za „Pouze pro interní použití“ a zacházet s informací podle pravidel pro tuto úroveň.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V případě pochybností o správné klasifikaci informací je uživatel povinen se obrátit na vlastníka informace nebo na tým informační bezpečnosti pro objasnění a určení správné úrovně důvěrnosti.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Pravidla pro správné označování informací jsou podrobně popsána v Metodice klasifikace a nakládání s informacemi, která je přílohou této Politiky a je závazná pro všechny uživatele informací.</w:t>
      </w:r>
    </w:p>
    <w:p w:rsidR="005A7CDC" w:rsidRPr="007250D1" w:rsidRDefault="005A7CDC" w:rsidP="005A7CDC">
      <w:pPr>
        <w:pStyle w:val="Nadpis2"/>
        <w:rPr>
          <w:rFonts w:ascii="Athiti" w:eastAsia="Athiti" w:hAnsi="Athiti" w:cs="Athiti"/>
          <w:lang w:val="cs-CZ"/>
        </w:rPr>
      </w:pPr>
      <w:bookmarkStart w:id="23" w:name="_heading=h.uaeyc9dms1ta" w:colFirst="0" w:colLast="0"/>
      <w:bookmarkEnd w:id="23"/>
      <w:r w:rsidRPr="007250D1">
        <w:rPr>
          <w:rFonts w:ascii="Athiti" w:eastAsia="Athiti" w:hAnsi="Athiti" w:cs="Athiti"/>
          <w:lang w:val="cs-CZ"/>
        </w:rPr>
        <w:t>3.4 Zacházení s informacemi</w:t>
      </w:r>
    </w:p>
    <w:p w:rsidR="005A7CDC" w:rsidRPr="007250D1" w:rsidRDefault="005A7CDC" w:rsidP="005A7CDC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Všechny osoby vytvářející nebo přistupující ke klasifikovaným informacím musí dodržovat pravidla uvedená v následující tabulce:</w:t>
      </w:r>
    </w:p>
    <w:tbl>
      <w:tblPr>
        <w:tblW w:w="1045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860"/>
        <w:gridCol w:w="8595"/>
      </w:tblGrid>
      <w:tr w:rsidR="005A7CDC" w:rsidRPr="007250D1" w:rsidTr="00CF6722">
        <w:trPr>
          <w:cantSplit/>
          <w:tblHeader/>
        </w:trPr>
        <w:tc>
          <w:tcPr>
            <w:tcW w:w="1860" w:type="dxa"/>
            <w:shd w:val="clear" w:color="auto" w:fill="FFE599"/>
          </w:tcPr>
          <w:p w:rsidR="005A7CDC" w:rsidRPr="007250D1" w:rsidRDefault="005A7CDC" w:rsidP="00CF6722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ÚROVEŇ DŮVĚRNOSTI</w:t>
            </w:r>
          </w:p>
        </w:tc>
        <w:tc>
          <w:tcPr>
            <w:tcW w:w="8595" w:type="dxa"/>
            <w:shd w:val="clear" w:color="auto" w:fill="FFE599"/>
          </w:tcPr>
          <w:p w:rsidR="005A7CDC" w:rsidRPr="007250D1" w:rsidRDefault="005A7CDC" w:rsidP="00CF6722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7250D1">
              <w:rPr>
                <w:rFonts w:ascii="Athiti" w:eastAsia="Athiti" w:hAnsi="Athiti" w:cs="Athiti"/>
                <w:b/>
                <w:lang w:val="cs-CZ"/>
              </w:rPr>
              <w:t>PRAVIDLA PRO ZACHÁZENÍ S INFORMACEMI</w:t>
            </w:r>
          </w:p>
        </w:tc>
      </w:tr>
      <w:tr w:rsidR="005A7CDC" w:rsidRPr="007250D1" w:rsidTr="00CF6722">
        <w:trPr>
          <w:cantSplit/>
          <w:trHeight w:val="444"/>
          <w:tblHeader/>
        </w:trPr>
        <w:tc>
          <w:tcPr>
            <w:tcW w:w="186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Veřejné (Public)</w:t>
            </w:r>
          </w:p>
        </w:tc>
        <w:tc>
          <w:tcPr>
            <w:tcW w:w="8595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Dostupné pro širokou veřejnost. Změny obsahu však mohou provádět pouze osoby k tomu oprávněné.</w:t>
            </w:r>
          </w:p>
        </w:tc>
      </w:tr>
      <w:tr w:rsidR="005A7CDC" w:rsidRPr="007250D1" w:rsidTr="00CF6722">
        <w:trPr>
          <w:cantSplit/>
          <w:trHeight w:val="1389"/>
          <w:tblHeader/>
        </w:trPr>
        <w:tc>
          <w:tcPr>
            <w:tcW w:w="186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Pouze pro interní použití (Internal Use Only)</w:t>
            </w:r>
          </w:p>
        </w:tc>
        <w:tc>
          <w:tcPr>
            <w:tcW w:w="8595" w:type="dxa"/>
          </w:tcPr>
          <w:p w:rsidR="005A7CDC" w:rsidRPr="007250D1" w:rsidRDefault="005A7CDC" w:rsidP="005A7CDC">
            <w:pPr>
              <w:pStyle w:val="normal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Musí být před zpřístupněním chráněny dohodou o důvěrnosti.</w:t>
            </w:r>
          </w:p>
          <w:p w:rsidR="005A7CDC" w:rsidRPr="007250D1" w:rsidRDefault="005A7CDC" w:rsidP="005A7CDC">
            <w:pPr>
              <w:pStyle w:val="normal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Vyžaduje se šifrování na úrovni přenosu.</w:t>
            </w:r>
          </w:p>
          <w:p w:rsidR="005A7CDC" w:rsidRPr="007250D1" w:rsidRDefault="005A7CDC" w:rsidP="005A7CDC">
            <w:pPr>
              <w:pStyle w:val="normal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Sdílení mimo doménu společnosti musí být povoleno vlastníky dat v souladu s principem potřeby vědět.</w:t>
            </w:r>
          </w:p>
          <w:p w:rsidR="005A7CDC" w:rsidRPr="007250D1" w:rsidRDefault="005A7CDC" w:rsidP="005A7CDC">
            <w:pPr>
              <w:pStyle w:val="normal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Výchozí úroveň klasifikace, pokud nebyla explicitně stanovena.</w:t>
            </w:r>
          </w:p>
        </w:tc>
      </w:tr>
      <w:tr w:rsidR="005A7CDC" w:rsidRPr="007250D1" w:rsidTr="00CF6722">
        <w:trPr>
          <w:cantSplit/>
          <w:trHeight w:val="3569"/>
          <w:tblHeader/>
        </w:trPr>
        <w:tc>
          <w:tcPr>
            <w:tcW w:w="186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 xml:space="preserve">Důvěrné </w:t>
            </w:r>
          </w:p>
        </w:tc>
        <w:tc>
          <w:tcPr>
            <w:tcW w:w="8595" w:type="dxa"/>
          </w:tcPr>
          <w:p w:rsidR="005A7CDC" w:rsidRPr="007250D1" w:rsidRDefault="005A7CDC" w:rsidP="005A7CDC">
            <w:pPr>
              <w:pStyle w:val="normal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Při uchovávání v elektronickém formátu musí být chráněn minimální úrovní autentizace, která zahrnuje silná hesla, a musí být šifrován v klidu (at rest).</w:t>
            </w:r>
          </w:p>
          <w:p w:rsidR="005A7CDC" w:rsidRPr="007250D1" w:rsidRDefault="005A7CDC" w:rsidP="005A7CDC">
            <w:pPr>
              <w:pStyle w:val="normal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Nesmí být přenášen prostřednictvím nezabezpečených komunikačních kanálů, včetně, ale nejen:</w:t>
            </w:r>
          </w:p>
          <w:p w:rsidR="005A7CDC" w:rsidRPr="007250D1" w:rsidRDefault="005A7CDC" w:rsidP="005A7CDC">
            <w:pPr>
              <w:pStyle w:val="normal"/>
              <w:numPr>
                <w:ilvl w:val="1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nešifrované e-maily</w:t>
            </w:r>
          </w:p>
          <w:p w:rsidR="005A7CDC" w:rsidRPr="007250D1" w:rsidRDefault="005A7CDC" w:rsidP="005A7CDC">
            <w:pPr>
              <w:pStyle w:val="normal"/>
              <w:numPr>
                <w:ilvl w:val="1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okamžité zprávy (instant messaging)</w:t>
            </w:r>
          </w:p>
          <w:p w:rsidR="005A7CDC" w:rsidRPr="007250D1" w:rsidRDefault="005A7CDC" w:rsidP="005A7CDC">
            <w:pPr>
              <w:pStyle w:val="normal"/>
              <w:numPr>
                <w:ilvl w:val="1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nešifrovaný FTP</w:t>
            </w:r>
          </w:p>
          <w:p w:rsidR="005A7CDC" w:rsidRPr="007250D1" w:rsidRDefault="005A7CDC" w:rsidP="005A7CDC">
            <w:pPr>
              <w:pStyle w:val="normal"/>
              <w:numPr>
                <w:ilvl w:val="1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mobilní zařízení bez šifrování</w:t>
            </w:r>
          </w:p>
          <w:p w:rsidR="005A7CDC" w:rsidRPr="007250D1" w:rsidRDefault="005A7CDC" w:rsidP="005A7CDC">
            <w:pPr>
              <w:pStyle w:val="normal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Při odesílání e-mailem musí být zasílán pouze na předem stanovené a používané adresy. Hromadné rozesílání na e-mailové distribuční seznamy je zakázáno.</w:t>
            </w:r>
          </w:p>
          <w:p w:rsidR="005A7CDC" w:rsidRPr="007250D1" w:rsidRDefault="005A7CDC" w:rsidP="005A7CDC">
            <w:pPr>
              <w:pStyle w:val="normal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Incidenty, kdy došlo ke kompromitaci důvěrných informací, by měly být ihned nahlášeny vrchnímu vedení a označeny jako závažný incident.</w:t>
            </w:r>
          </w:p>
        </w:tc>
      </w:tr>
      <w:tr w:rsidR="005A7CDC" w:rsidRPr="007250D1" w:rsidTr="00CF6722">
        <w:trPr>
          <w:cantSplit/>
          <w:trHeight w:val="2609"/>
          <w:tblHeader/>
        </w:trPr>
        <w:tc>
          <w:tcPr>
            <w:tcW w:w="1860" w:type="dxa"/>
          </w:tcPr>
          <w:p w:rsidR="005A7CDC" w:rsidRPr="007250D1" w:rsidRDefault="005A7CDC" w:rsidP="00CF6722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lastRenderedPageBreak/>
              <w:t>Osobní identifikovatelné údaje (PII)</w:t>
            </w:r>
          </w:p>
        </w:tc>
        <w:tc>
          <w:tcPr>
            <w:tcW w:w="8595" w:type="dxa"/>
          </w:tcPr>
          <w:p w:rsidR="005A7CDC" w:rsidRPr="007250D1" w:rsidRDefault="005A7CDC" w:rsidP="005A7CDC">
            <w:pPr>
              <w:pStyle w:val="normal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Musí být šifrována při uložení i při přenosu..</w:t>
            </w:r>
          </w:p>
          <w:p w:rsidR="005A7CDC" w:rsidRPr="007250D1" w:rsidRDefault="005A7CDC" w:rsidP="005A7CDC">
            <w:pPr>
              <w:pStyle w:val="normal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Přístup je omezen pouze na autorizované osoby.</w:t>
            </w:r>
          </w:p>
          <w:p w:rsidR="005A7CDC" w:rsidRPr="007250D1" w:rsidRDefault="005A7CDC" w:rsidP="005A7CDC">
            <w:pPr>
              <w:pStyle w:val="normal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Osobní identifikovatelné údaje (PII) nesmí být sdíleny s externími stranami, pokud to není v souladu se zákony o ochraně dat, jako je GDPR nebo CCPA.</w:t>
            </w:r>
          </w:p>
          <w:p w:rsidR="005A7CDC" w:rsidRPr="007250D1" w:rsidRDefault="005A7CDC" w:rsidP="005A7CDC">
            <w:pPr>
              <w:pStyle w:val="normal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Přenos PII přes nezabezpečené kanály (např. nešifrovaný e-mail, nezašifrovaná mobilní zařízení) je zakázán.</w:t>
            </w:r>
          </w:p>
          <w:p w:rsidR="005A7CDC" w:rsidRPr="007250D1" w:rsidRDefault="005A7CDC" w:rsidP="005A7CDC">
            <w:pPr>
              <w:pStyle w:val="normal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7250D1">
              <w:rPr>
                <w:rFonts w:ascii="Athiti" w:eastAsia="Athiti" w:hAnsi="Athiti" w:cs="Athiti"/>
                <w:color w:val="444444"/>
                <w:lang w:val="cs-CZ"/>
              </w:rPr>
              <w:t>Incidenty zahrnující ztrátu nebo únik PII musí být nahlášeny pověřenci pro ochranu dat (Data Protection Officer) a vrchnímu vedení a musí být v souladu s právními požadavky na hlášení narušení bezpečnosti.</w:t>
            </w:r>
          </w:p>
        </w:tc>
      </w:tr>
    </w:tbl>
    <w:p w:rsidR="005A7CDC" w:rsidRPr="007250D1" w:rsidRDefault="005A7CDC" w:rsidP="005A7CDC">
      <w:pPr>
        <w:pStyle w:val="normal"/>
        <w:spacing w:after="200" w:line="240" w:lineRule="auto"/>
        <w:jc w:val="center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br/>
        <w:t>Tabulka 2: Úrovně důvěrnosti</w:t>
      </w:r>
    </w:p>
    <w:p w:rsidR="005A7CDC" w:rsidRPr="007250D1" w:rsidRDefault="005A7CDC" w:rsidP="005A7CDC">
      <w:pPr>
        <w:pStyle w:val="Nadpis1"/>
        <w:keepNext w:val="0"/>
        <w:keepLines w:val="0"/>
        <w:widowControl w:val="0"/>
        <w:spacing w:before="0" w:after="0" w:line="240" w:lineRule="auto"/>
        <w:rPr>
          <w:rFonts w:ascii="Athiti" w:eastAsia="Athiti" w:hAnsi="Athiti" w:cs="Athiti"/>
          <w:lang w:val="cs-CZ"/>
        </w:rPr>
      </w:pPr>
      <w:bookmarkStart w:id="24" w:name="_heading=h.6wdc31ep6u1" w:colFirst="0" w:colLast="0"/>
      <w:bookmarkEnd w:id="24"/>
      <w:r w:rsidRPr="007250D1">
        <w:rPr>
          <w:rFonts w:ascii="Athiti" w:eastAsia="Athiti" w:hAnsi="Athiti" w:cs="Athiti"/>
          <w:lang w:val="cs-CZ"/>
        </w:rPr>
        <w:t>4 Závěrečná ustanovení</w:t>
      </w:r>
    </w:p>
    <w:p w:rsidR="005A7CDC" w:rsidRPr="007250D1" w:rsidRDefault="005A7CDC" w:rsidP="005A7CDC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Společnost považuje tyto Zásady za závazný interní dokument, který je nedílnou součástí jejího systému řízení a kultury bezpečnosti. Dodržování těchto Zásad je povinností všech zaměstnanců a pracovníků společnosti bez ohledu na jejich pracovní zařazení, formu pracovního vztahu nebo délku pracovního poměru.</w:t>
      </w:r>
    </w:p>
    <w:p w:rsidR="005A7CDC" w:rsidRPr="007250D1" w:rsidRDefault="005A7CDC" w:rsidP="005A7CDC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5" w:name="_heading=h.f56347snnp3e" w:colFirst="0" w:colLast="0"/>
      <w:bookmarkEnd w:id="25"/>
      <w:r w:rsidRPr="007250D1">
        <w:rPr>
          <w:rFonts w:ascii="Athiti" w:eastAsia="Athiti" w:hAnsi="Athiti" w:cs="Athiti"/>
          <w:sz w:val="22"/>
          <w:szCs w:val="22"/>
          <w:lang w:val="cs-CZ"/>
        </w:rPr>
        <w:t>4.1 Zpřístupnění a komunikace Zásad</w:t>
      </w:r>
    </w:p>
    <w:p w:rsidR="005A7CDC" w:rsidRPr="007250D1" w:rsidRDefault="005A7CDC" w:rsidP="005A7CDC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Tyto Zásady budou trvale interně zpřístupněny všem zaměstnancům a pracovníkům společnosti prostřednictvím interní elektronické složky s názvem „Zásady a postupy společnosti“, která je součástí oficiální dokumentace společnosti. O existenci a obsahu tohoto předpisu, jeho aktualizacích, datu účinnosti a případných změnách budou zaměstnanci a pracovníci společnosti pravidelně informováni e-mailem, a to nejpozději do 5 pracovních dnů od provedení jakékoli revize nebo změny.</w:t>
      </w:r>
    </w:p>
    <w:p w:rsidR="005A7CDC" w:rsidRPr="007250D1" w:rsidRDefault="005A7CDC" w:rsidP="005A7CDC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Každý zaměstnanec a pracovník společnosti je povinen se s tímto vnitřním předpisem podrobně seznámit, potvrdit své seznámení formou elektronického potvrzení v systému nebo jiným průkazným způsobem, který stanoví Compliance &amp; AML Officer.</w:t>
      </w:r>
    </w:p>
    <w:p w:rsidR="005A7CDC" w:rsidRPr="007250D1" w:rsidRDefault="005A7CDC" w:rsidP="005A7CDC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6" w:name="_heading=h.193mh0oeh8j9" w:colFirst="0" w:colLast="0"/>
      <w:bookmarkEnd w:id="26"/>
      <w:r w:rsidRPr="007250D1">
        <w:rPr>
          <w:rFonts w:ascii="Athiti" w:eastAsia="Athiti" w:hAnsi="Athiti" w:cs="Athiti"/>
          <w:sz w:val="22"/>
          <w:szCs w:val="22"/>
          <w:lang w:val="cs-CZ"/>
        </w:rPr>
        <w:t>4.2 Školení zaměstnanců a pracovníků</w:t>
      </w:r>
    </w:p>
    <w:p w:rsidR="005A7CDC" w:rsidRPr="007250D1" w:rsidRDefault="005A7CDC" w:rsidP="005A7CDC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 xml:space="preserve">Za zajištění proškolení všech dotčených osob odpovídá </w:t>
      </w:r>
      <w:r w:rsidRPr="007250D1">
        <w:rPr>
          <w:rFonts w:ascii="Athiti" w:eastAsia="Athiti" w:hAnsi="Athiti" w:cs="Athiti"/>
          <w:b/>
          <w:lang w:val="cs-CZ"/>
        </w:rPr>
        <w:t>Compliance &amp; AML Officer</w:t>
      </w:r>
      <w:r w:rsidRPr="007250D1">
        <w:rPr>
          <w:rFonts w:ascii="Athiti" w:eastAsia="Athiti" w:hAnsi="Athiti" w:cs="Athiti"/>
          <w:lang w:val="cs-CZ"/>
        </w:rPr>
        <w:t>. Školení musí být realizováno: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9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Při prvním nástupu zaměstnance nebo pracovníka do společnosti (součást vstupního školení).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Při každé revizi Zásad, pokud dojde k významným změnám v jejich obsahu.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9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 xml:space="preserve">Minimálně </w:t>
      </w:r>
      <w:r w:rsidRPr="007250D1">
        <w:rPr>
          <w:rFonts w:ascii="Athiti" w:eastAsia="Athiti" w:hAnsi="Athiti" w:cs="Athiti"/>
          <w:b/>
          <w:lang w:val="cs-CZ"/>
        </w:rPr>
        <w:t>jednou ročně</w:t>
      </w:r>
      <w:r w:rsidRPr="007250D1">
        <w:rPr>
          <w:rFonts w:ascii="Athiti" w:eastAsia="Athiti" w:hAnsi="Athiti" w:cs="Athiti"/>
          <w:lang w:val="cs-CZ"/>
        </w:rPr>
        <w:t xml:space="preserve"> jako součást opakovaného školení na udržení povědomí o bezpečnostních pravidlech.</w:t>
      </w:r>
    </w:p>
    <w:p w:rsidR="005A7CDC" w:rsidRPr="007250D1" w:rsidRDefault="005A7CDC" w:rsidP="005A7CDC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Obsah školení bude zahrnovat: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4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Přehled cílů a zásad tohoto dokumentu.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Praktické příklady aplikace zásad v každodenní činnosti.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Povinnosti jednotlivých zaměstnanců a pracovníků.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4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lastRenderedPageBreak/>
        <w:t>Postupy při porušení zásad nebo hlášení incidentů.</w:t>
      </w:r>
    </w:p>
    <w:p w:rsidR="005A7CDC" w:rsidRPr="007250D1" w:rsidRDefault="005A7CDC" w:rsidP="005A7CDC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Proškolení bude dokumentováno prostřednictvím prezenčních listin, záznamů v interním systému nebo jiným průkazným způsobem, který umožní doložit účast jednotlivých osob.</w:t>
      </w:r>
    </w:p>
    <w:p w:rsidR="005A7CDC" w:rsidRPr="007250D1" w:rsidRDefault="005A7CDC" w:rsidP="005A7CDC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7" w:name="_heading=h.pxzwqb3vx92w" w:colFirst="0" w:colLast="0"/>
      <w:bookmarkEnd w:id="27"/>
      <w:r w:rsidRPr="007250D1">
        <w:rPr>
          <w:rFonts w:ascii="Athiti" w:eastAsia="Athiti" w:hAnsi="Athiti" w:cs="Athiti"/>
          <w:sz w:val="22"/>
          <w:szCs w:val="22"/>
          <w:lang w:val="cs-CZ"/>
        </w:rPr>
        <w:t>4.3 Revize a aktualizace Zásad</w:t>
      </w:r>
    </w:p>
    <w:p w:rsidR="005A7CDC" w:rsidRPr="007250D1" w:rsidRDefault="005A7CDC" w:rsidP="005A7CDC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Tyto Zásady podléhají pravidelné revizi, která probíhá: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5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Minimálně jednou ročně v rámci pravidelného cyklu přezkumu.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Bezprostředně při změnách relevantních právních předpisů, zejména nařízení MiCA a jeho prováděcích předpisů.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Při vydání nebo aktualizaci obecných pokynů, doporučení a RTS ze strany ESMA, EBA nebo jiných příslušných orgánů.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5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Po identifikaci nedostatků nebo incidentu, který odhalí slabinu v dosavadních postupech.</w:t>
      </w:r>
    </w:p>
    <w:p w:rsidR="005A7CDC" w:rsidRPr="007250D1" w:rsidRDefault="005A7CDC" w:rsidP="005A7CDC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 xml:space="preserve">Za revizi a aktuálnost těchto Zásad odpovídá </w:t>
      </w:r>
      <w:r w:rsidRPr="007250D1">
        <w:rPr>
          <w:rFonts w:ascii="Athiti" w:eastAsia="Athiti" w:hAnsi="Athiti" w:cs="Athiti"/>
          <w:b/>
          <w:lang w:val="cs-CZ"/>
        </w:rPr>
        <w:t>Compliance &amp; AML Officer</w:t>
      </w:r>
      <w:r w:rsidRPr="007250D1">
        <w:rPr>
          <w:rFonts w:ascii="Athiti" w:eastAsia="Athiti" w:hAnsi="Athiti" w:cs="Athiti"/>
          <w:lang w:val="cs-CZ"/>
        </w:rPr>
        <w:t>, který zajišťuje: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1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Vyhodnocení aktuálnosti dokumentu a jeho souladu s právními předpisy.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Přípravu návrhu změn a aktualizací.</w:t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>Předložení návrhu k projednání a schválení vedením společnosti.</w:t>
      </w:r>
      <w:r w:rsidRPr="007250D1">
        <w:rPr>
          <w:rFonts w:ascii="Athiti" w:eastAsia="Athiti" w:hAnsi="Athiti" w:cs="Athiti"/>
          <w:lang w:val="cs-CZ"/>
        </w:rPr>
        <w:br/>
      </w:r>
    </w:p>
    <w:p w:rsidR="005A7CDC" w:rsidRPr="007250D1" w:rsidRDefault="005A7CDC" w:rsidP="005A7CDC">
      <w:pPr>
        <w:pStyle w:val="normal"/>
        <w:widowControl w:val="0"/>
        <w:numPr>
          <w:ilvl w:val="0"/>
          <w:numId w:val="1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 xml:space="preserve">Informování všech dotčených osob o změnách a zajištění aktualizace ve složce </w:t>
      </w:r>
      <w:r w:rsidRPr="007250D1">
        <w:rPr>
          <w:rFonts w:ascii="Athiti" w:eastAsia="Athiti" w:hAnsi="Athiti" w:cs="Athiti"/>
          <w:b/>
          <w:lang w:val="cs-CZ"/>
        </w:rPr>
        <w:t>„Zásady a postupy společnosti“</w:t>
      </w:r>
      <w:r w:rsidRPr="007250D1">
        <w:rPr>
          <w:rFonts w:ascii="Athiti" w:eastAsia="Athiti" w:hAnsi="Athiti" w:cs="Athiti"/>
          <w:lang w:val="cs-CZ"/>
        </w:rPr>
        <w:t>.</w:t>
      </w:r>
    </w:p>
    <w:p w:rsidR="005A7CDC" w:rsidRPr="007250D1" w:rsidRDefault="005A7CDC" w:rsidP="005A7CDC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8" w:name="_heading=h.asls2zbb5u7x" w:colFirst="0" w:colLast="0"/>
      <w:bookmarkEnd w:id="28"/>
      <w:r w:rsidRPr="007250D1">
        <w:rPr>
          <w:rFonts w:ascii="Athiti" w:eastAsia="Athiti" w:hAnsi="Athiti" w:cs="Athiti"/>
          <w:sz w:val="22"/>
          <w:szCs w:val="22"/>
          <w:lang w:val="cs-CZ"/>
        </w:rPr>
        <w:t>4.4 Účinnost</w:t>
      </w:r>
    </w:p>
    <w:p w:rsidR="005A7CDC" w:rsidRPr="007250D1" w:rsidRDefault="005A7CDC" w:rsidP="005A7CDC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7250D1">
        <w:rPr>
          <w:rFonts w:ascii="Athiti" w:eastAsia="Athiti" w:hAnsi="Athiti" w:cs="Athiti"/>
          <w:lang w:val="cs-CZ"/>
        </w:rPr>
        <w:t xml:space="preserve">Tyto Zásady nabývají </w:t>
      </w:r>
      <w:r w:rsidRPr="007250D1">
        <w:rPr>
          <w:rFonts w:ascii="Athiti" w:eastAsia="Athiti" w:hAnsi="Athiti" w:cs="Athiti"/>
          <w:b/>
          <w:lang w:val="cs-CZ"/>
        </w:rPr>
        <w:t>platnosti a účinnosti ke dni jejich schválení vedením společnosti</w:t>
      </w:r>
      <w:r w:rsidRPr="007250D1">
        <w:rPr>
          <w:rFonts w:ascii="Athiti" w:eastAsia="Athiti" w:hAnsi="Athiti" w:cs="Athiti"/>
          <w:lang w:val="cs-CZ"/>
        </w:rPr>
        <w:t>. Datum schválení a účinnosti je uvedeno v záhlaví dokumentu.</w:t>
      </w:r>
    </w:p>
    <w:p w:rsidR="00B06DB5" w:rsidRPr="007250D1" w:rsidRDefault="00B06DB5">
      <w:pPr>
        <w:rPr>
          <w:lang w:val="cs-CZ"/>
        </w:rPr>
      </w:pPr>
    </w:p>
    <w:sectPr w:rsidR="00B06DB5" w:rsidRPr="007250D1" w:rsidSect="00FE47A8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44E" w:rsidRDefault="008B644E" w:rsidP="00850B7E">
      <w:pPr>
        <w:spacing w:after="0" w:line="240" w:lineRule="auto"/>
      </w:pPr>
      <w:r>
        <w:separator/>
      </w:r>
    </w:p>
  </w:endnote>
  <w:endnote w:type="continuationSeparator" w:id="1">
    <w:p w:rsidR="008B644E" w:rsidRDefault="008B644E" w:rsidP="0085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on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A8" w:rsidRDefault="005A7CDC">
    <w:pPr>
      <w:pStyle w:val="normal"/>
      <w:tabs>
        <w:tab w:val="center" w:pos="4677"/>
        <w:tab w:val="right" w:pos="9355"/>
      </w:tabs>
      <w:spacing w:after="0" w:line="240" w:lineRule="auto"/>
      <w:jc w:val="center"/>
    </w:pPr>
    <w:r>
      <w:rPr>
        <w:noProof/>
      </w:rPr>
      <w:drawing>
        <wp:inline distT="0" distB="0" distL="0" distR="0">
          <wp:extent cx="5495925" cy="73660"/>
          <wp:effectExtent l="0" t="0" r="0" b="0"/>
          <wp:docPr id="5" name="image1.png" descr="Light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ght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5925" cy="73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E47A8" w:rsidRDefault="0031773E">
    <w:pPr>
      <w:pStyle w:val="normal"/>
      <w:tabs>
        <w:tab w:val="center" w:pos="4677"/>
        <w:tab w:val="right" w:pos="9355"/>
      </w:tabs>
      <w:spacing w:after="0" w:line="240" w:lineRule="auto"/>
      <w:jc w:val="center"/>
      <w:rPr>
        <w:rFonts w:ascii="Athiti" w:eastAsia="Athiti" w:hAnsi="Athiti" w:cs="Athiti"/>
      </w:rPr>
    </w:pPr>
    <w:r>
      <w:rPr>
        <w:rFonts w:ascii="Athiti" w:eastAsia="Athiti" w:hAnsi="Athiti" w:cs="Athiti"/>
      </w:rPr>
      <w:fldChar w:fldCharType="begin"/>
    </w:r>
    <w:r w:rsidR="005A7CDC">
      <w:rPr>
        <w:rFonts w:ascii="Athiti" w:eastAsia="Athiti" w:hAnsi="Athiti" w:cs="Athiti"/>
      </w:rPr>
      <w:instrText>PAGE</w:instrText>
    </w:r>
    <w:r>
      <w:rPr>
        <w:rFonts w:ascii="Athiti" w:eastAsia="Athiti" w:hAnsi="Athiti" w:cs="Athiti"/>
      </w:rPr>
      <w:fldChar w:fldCharType="separate"/>
    </w:r>
    <w:r w:rsidR="002E4EEC">
      <w:rPr>
        <w:rFonts w:ascii="Athiti" w:eastAsia="Athiti" w:hAnsi="Athiti" w:cs="Athiti"/>
        <w:noProof/>
      </w:rPr>
      <w:t>12</w:t>
    </w:r>
    <w:r>
      <w:rPr>
        <w:rFonts w:ascii="Athiti" w:eastAsia="Athiti" w:hAnsi="Athiti" w:cs="Athiti"/>
      </w:rPr>
      <w:fldChar w:fldCharType="end"/>
    </w:r>
  </w:p>
  <w:p w:rsidR="00FE47A8" w:rsidRDefault="008B644E">
    <w:pPr>
      <w:pStyle w:val="normal"/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44E" w:rsidRDefault="008B644E" w:rsidP="00850B7E">
      <w:pPr>
        <w:spacing w:after="0" w:line="240" w:lineRule="auto"/>
      </w:pPr>
      <w:r>
        <w:separator/>
      </w:r>
    </w:p>
  </w:footnote>
  <w:footnote w:type="continuationSeparator" w:id="1">
    <w:p w:rsidR="008B644E" w:rsidRDefault="008B644E" w:rsidP="0085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A8" w:rsidRDefault="005A7CDC">
    <w:pPr>
      <w:pStyle w:val="normal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-9522</wp:posOffset>
          </wp:positionH>
          <wp:positionV relativeFrom="page">
            <wp:posOffset>-9522</wp:posOffset>
          </wp:positionV>
          <wp:extent cx="109050" cy="10747050"/>
          <wp:effectExtent l="0" t="0" r="0" b="0"/>
          <wp:wrapSquare wrapText="bothSides" distT="0" distB="0" distL="114300" distR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50" cy="1074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A8" w:rsidRDefault="005A7CDC">
    <w:pPr>
      <w:pStyle w:val="normal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-9522</wp:posOffset>
          </wp:positionH>
          <wp:positionV relativeFrom="page">
            <wp:posOffset>-9522</wp:posOffset>
          </wp:positionV>
          <wp:extent cx="109050" cy="1074705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50" cy="1074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993"/>
    <w:multiLevelType w:val="multilevel"/>
    <w:tmpl w:val="010EB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468309C"/>
    <w:multiLevelType w:val="multilevel"/>
    <w:tmpl w:val="2CAE6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5B11466"/>
    <w:multiLevelType w:val="multilevel"/>
    <w:tmpl w:val="D1ECE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0A7105D"/>
    <w:multiLevelType w:val="multilevel"/>
    <w:tmpl w:val="EB22F864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6C171B"/>
    <w:multiLevelType w:val="multilevel"/>
    <w:tmpl w:val="2FA05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A962DE7"/>
    <w:multiLevelType w:val="multilevel"/>
    <w:tmpl w:val="5BAC6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B5C1B1E"/>
    <w:multiLevelType w:val="multilevel"/>
    <w:tmpl w:val="EE3E7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1CD43FF"/>
    <w:multiLevelType w:val="multilevel"/>
    <w:tmpl w:val="90AC9394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1B33BE2"/>
    <w:multiLevelType w:val="multilevel"/>
    <w:tmpl w:val="350A3122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CC56491"/>
    <w:multiLevelType w:val="multilevel"/>
    <w:tmpl w:val="C186D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F31627A"/>
    <w:multiLevelType w:val="multilevel"/>
    <w:tmpl w:val="4E768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309440A"/>
    <w:multiLevelType w:val="multilevel"/>
    <w:tmpl w:val="D95A0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F2F487F"/>
    <w:multiLevelType w:val="multilevel"/>
    <w:tmpl w:val="D288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1496B9B"/>
    <w:multiLevelType w:val="multilevel"/>
    <w:tmpl w:val="B02055CC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23E3DD1"/>
    <w:multiLevelType w:val="multilevel"/>
    <w:tmpl w:val="81D67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7A73F2D"/>
    <w:multiLevelType w:val="multilevel"/>
    <w:tmpl w:val="AC8271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C5B3255"/>
    <w:multiLevelType w:val="multilevel"/>
    <w:tmpl w:val="4476C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9"/>
  </w:num>
  <w:num w:numId="9">
    <w:abstractNumId w:val="14"/>
  </w:num>
  <w:num w:numId="10">
    <w:abstractNumId w:val="8"/>
  </w:num>
  <w:num w:numId="11">
    <w:abstractNumId w:val="7"/>
  </w:num>
  <w:num w:numId="12">
    <w:abstractNumId w:val="3"/>
  </w:num>
  <w:num w:numId="13">
    <w:abstractNumId w:val="13"/>
  </w:num>
  <w:num w:numId="14">
    <w:abstractNumId w:val="0"/>
  </w:num>
  <w:num w:numId="15">
    <w:abstractNumId w:val="4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CDC"/>
    <w:rsid w:val="000E1896"/>
    <w:rsid w:val="001F0902"/>
    <w:rsid w:val="002E4EEC"/>
    <w:rsid w:val="0031773E"/>
    <w:rsid w:val="005A7CDC"/>
    <w:rsid w:val="007250D1"/>
    <w:rsid w:val="00850B7E"/>
    <w:rsid w:val="008B644E"/>
    <w:rsid w:val="00950576"/>
    <w:rsid w:val="00B0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7CDC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al"/>
    <w:next w:val="normal"/>
    <w:link w:val="Nadpis1Char"/>
    <w:rsid w:val="005A7CDC"/>
    <w:pPr>
      <w:keepNext/>
      <w:keepLines/>
      <w:spacing w:before="360" w:after="240"/>
      <w:outlineLvl w:val="0"/>
    </w:pPr>
    <w:rPr>
      <w:rFonts w:ascii="Calibri" w:eastAsia="Calibri" w:hAnsi="Calibri" w:cs="Calibri"/>
      <w:b/>
      <w:sz w:val="36"/>
      <w:szCs w:val="36"/>
    </w:rPr>
  </w:style>
  <w:style w:type="paragraph" w:styleId="Nadpis2">
    <w:name w:val="heading 2"/>
    <w:basedOn w:val="normal"/>
    <w:next w:val="normal"/>
    <w:link w:val="Nadpis2Char"/>
    <w:rsid w:val="005A7CDC"/>
    <w:pPr>
      <w:keepNext/>
      <w:keepLines/>
      <w:outlineLvl w:val="1"/>
    </w:pPr>
    <w:rPr>
      <w:rFonts w:ascii="Calibri" w:eastAsia="Calibri" w:hAnsi="Calibri" w:cs="Calibri"/>
      <w:sz w:val="30"/>
      <w:szCs w:val="30"/>
    </w:rPr>
  </w:style>
  <w:style w:type="paragraph" w:styleId="Nadpis3">
    <w:name w:val="heading 3"/>
    <w:basedOn w:val="normal"/>
    <w:next w:val="normal"/>
    <w:link w:val="Nadpis3Char"/>
    <w:rsid w:val="005A7CDC"/>
    <w:pPr>
      <w:keepNext/>
      <w:keepLines/>
      <w:spacing w:before="40" w:after="0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al"/>
    <w:next w:val="normal"/>
    <w:link w:val="Nadpis4Char"/>
    <w:rsid w:val="005A7CDC"/>
    <w:pPr>
      <w:keepNext/>
      <w:keepLines/>
      <w:spacing w:before="240" w:after="4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7CDC"/>
    <w:rPr>
      <w:rFonts w:ascii="Calibri" w:eastAsia="Calibri" w:hAnsi="Calibri" w:cs="Calibri"/>
      <w:b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5A7CDC"/>
    <w:rPr>
      <w:rFonts w:ascii="Calibri" w:eastAsia="Calibri" w:hAnsi="Calibri" w:cs="Calibri"/>
      <w:sz w:val="30"/>
      <w:szCs w:val="30"/>
    </w:rPr>
  </w:style>
  <w:style w:type="character" w:customStyle="1" w:styleId="Nadpis3Char">
    <w:name w:val="Nadpis 3 Char"/>
    <w:basedOn w:val="Standardnpsmoodstavce"/>
    <w:link w:val="Nadpis3"/>
    <w:rsid w:val="005A7CDC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A7CDC"/>
    <w:rPr>
      <w:rFonts w:ascii="Times New Roman" w:eastAsia="Times New Roman" w:hAnsi="Times New Roman" w:cs="Times New Roman"/>
      <w:b/>
      <w:sz w:val="24"/>
      <w:szCs w:val="24"/>
    </w:rPr>
  </w:style>
  <w:style w:type="paragraph" w:styleId="Nzev">
    <w:name w:val="Title"/>
    <w:basedOn w:val="normal"/>
    <w:next w:val="normal"/>
    <w:link w:val="NzevChar"/>
    <w:rsid w:val="005A7C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rsid w:val="005A7CDC"/>
    <w:rPr>
      <w:rFonts w:ascii="Times New Roman" w:eastAsia="Times New Roman" w:hAnsi="Times New Roman" w:cs="Times New Roman"/>
      <w:b/>
      <w:sz w:val="72"/>
      <w:szCs w:val="72"/>
    </w:rPr>
  </w:style>
  <w:style w:type="paragraph" w:customStyle="1" w:styleId="normal">
    <w:name w:val="normal"/>
    <w:rsid w:val="005A7CDC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C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3496</Words>
  <Characters>19933</Characters>
  <Application>Microsoft Office Word</Application>
  <DocSecurity>0</DocSecurity>
  <Lines>166</Lines>
  <Paragraphs>46</Paragraphs>
  <ScaleCrop>false</ScaleCrop>
  <Company/>
  <LinksUpToDate>false</LinksUpToDate>
  <CharactersWithSpaces>23383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3</cp:revision>
  <dcterms:created xsi:type="dcterms:W3CDTF">2025-07-25T00:09:00Z</dcterms:created>
  <dcterms:modified xsi:type="dcterms:W3CDTF">2025-07-30T02:50:00Z</dcterms:modified>
</cp:coreProperties>
</file>