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4C" w:rsidRPr="0032504C" w:rsidRDefault="0032504C" w:rsidP="0032504C">
      <w:pPr>
        <w:pStyle w:val="normal"/>
        <w:spacing w:before="240" w:after="120" w:line="240" w:lineRule="auto"/>
        <w:rPr>
          <w:rFonts w:ascii="Athiti" w:eastAsia="Athiti" w:hAnsi="Athiti" w:cs="Athiti"/>
          <w:sz w:val="28"/>
          <w:szCs w:val="28"/>
          <w:lang w:val="cs-CZ"/>
        </w:rPr>
      </w:pPr>
      <w:bookmarkStart w:id="0" w:name="_rf1smbefqqko" w:colFirst="0" w:colLast="0"/>
      <w:bookmarkEnd w:id="0"/>
    </w:p>
    <w:p w:rsidR="0032504C" w:rsidRPr="0032504C" w:rsidRDefault="0032504C" w:rsidP="0032504C">
      <w:pPr>
        <w:pStyle w:val="normal"/>
        <w:spacing w:before="240" w:after="120" w:line="240" w:lineRule="auto"/>
        <w:rPr>
          <w:rFonts w:ascii="Athiti" w:eastAsia="Athiti" w:hAnsi="Athiti" w:cs="Athiti"/>
          <w:sz w:val="24"/>
          <w:szCs w:val="24"/>
          <w:lang w:val="cs-CZ"/>
        </w:rPr>
      </w:pPr>
      <w:bookmarkStart w:id="1" w:name="_8ktrd67kb18y" w:colFirst="0" w:colLast="0"/>
      <w:bookmarkEnd w:id="1"/>
      <w:r w:rsidRPr="0032504C">
        <w:rPr>
          <w:rFonts w:ascii="Athiti" w:eastAsia="Athiti" w:hAnsi="Athiti" w:cs="Athiti"/>
          <w:b/>
          <w:sz w:val="72"/>
          <w:szCs w:val="72"/>
          <w:lang w:val="cs-CZ"/>
        </w:rPr>
        <w:t>Politika pro závažné incidenty a sběr důkazů</w:t>
      </w:r>
    </w:p>
    <w:p w:rsidR="0032504C" w:rsidRPr="0032504C" w:rsidRDefault="0032504C" w:rsidP="0032504C">
      <w:pPr>
        <w:pStyle w:val="normal"/>
        <w:spacing w:before="240" w:after="120" w:line="240" w:lineRule="auto"/>
        <w:jc w:val="both"/>
        <w:rPr>
          <w:rFonts w:ascii="Athiti" w:eastAsia="Athiti" w:hAnsi="Athiti" w:cs="Athiti"/>
          <w:sz w:val="24"/>
          <w:szCs w:val="24"/>
          <w:lang w:val="cs-CZ"/>
        </w:rPr>
      </w:pPr>
    </w:p>
    <w:p w:rsidR="0032504C" w:rsidRDefault="0032504C" w:rsidP="0032504C">
      <w:pPr>
        <w:pStyle w:val="Nadpis1"/>
        <w:numPr>
          <w:ilvl w:val="0"/>
          <w:numId w:val="3"/>
        </w:numPr>
        <w:spacing w:before="240" w:line="240" w:lineRule="auto"/>
        <w:jc w:val="center"/>
        <w:rPr>
          <w:rFonts w:ascii="Athiti" w:eastAsia="Athiti" w:hAnsi="Athiti" w:cs="Athiti"/>
          <w:b/>
          <w:sz w:val="32"/>
          <w:szCs w:val="32"/>
          <w:lang w:val="cs-CZ"/>
        </w:rPr>
      </w:pPr>
      <w:bookmarkStart w:id="2" w:name="_4u7k9h54aotd" w:colFirst="0" w:colLast="0"/>
      <w:bookmarkEnd w:id="2"/>
      <w:r w:rsidRPr="0032504C">
        <w:rPr>
          <w:lang w:val="cs-CZ"/>
        </w:rPr>
        <w:br w:type="page"/>
      </w:r>
      <w:r w:rsidRPr="0032504C">
        <w:rPr>
          <w:rFonts w:ascii="Athiti" w:eastAsia="Athiti" w:hAnsi="Athiti" w:cs="Athiti"/>
          <w:b/>
          <w:sz w:val="32"/>
          <w:szCs w:val="32"/>
          <w:lang w:val="cs-CZ"/>
        </w:rPr>
        <w:lastRenderedPageBreak/>
        <w:t>Document Contents Page</w:t>
      </w:r>
    </w:p>
    <w:p w:rsidR="00F06B90" w:rsidRDefault="00F06B90" w:rsidP="00F06B90">
      <w:pPr>
        <w:pStyle w:val="normal"/>
        <w:rPr>
          <w:lang w:val="cs-CZ"/>
        </w:rPr>
      </w:pPr>
    </w:p>
    <w:p w:rsidR="00F06B90" w:rsidRDefault="00F06B90" w:rsidP="00F06B90">
      <w:pPr>
        <w:pStyle w:val="normal"/>
        <w:rPr>
          <w:lang w:val="cs-CZ"/>
        </w:rPr>
      </w:pPr>
    </w:p>
    <w:p w:rsidR="00F06B90" w:rsidRDefault="00F06B90" w:rsidP="00F06B90">
      <w:pPr>
        <w:pStyle w:val="normal"/>
        <w:rPr>
          <w:lang w:val="cs-CZ"/>
        </w:rPr>
      </w:pPr>
    </w:p>
    <w:p w:rsidR="00F06B90" w:rsidRDefault="00F06B90" w:rsidP="00F06B90">
      <w:pPr>
        <w:pStyle w:val="normal"/>
        <w:rPr>
          <w:lang w:val="cs-CZ"/>
        </w:rPr>
      </w:pPr>
    </w:p>
    <w:p w:rsidR="00F06B90" w:rsidRDefault="00F06B90" w:rsidP="00F06B90">
      <w:pPr>
        <w:pStyle w:val="normal"/>
        <w:rPr>
          <w:lang w:val="cs-CZ"/>
        </w:rPr>
      </w:pPr>
    </w:p>
    <w:p w:rsidR="00F06B90" w:rsidRPr="00F06B90" w:rsidRDefault="00F06B90" w:rsidP="00F06B90">
      <w:pPr>
        <w:pStyle w:val="normal"/>
        <w:rPr>
          <w:lang w:val="cs-CZ"/>
        </w:rPr>
      </w:pPr>
    </w:p>
    <w:sdt>
      <w:sdtPr>
        <w:rPr>
          <w:lang w:val="cs-CZ"/>
        </w:rPr>
        <w:id w:val="605181381"/>
        <w:docPartObj>
          <w:docPartGallery w:val="Table of Contents"/>
          <w:docPartUnique/>
        </w:docPartObj>
      </w:sdtPr>
      <w:sdtContent>
        <w:p w:rsidR="0032504C" w:rsidRPr="0032504C" w:rsidRDefault="008600AA" w:rsidP="0032504C">
          <w:pPr>
            <w:pStyle w:val="normal"/>
            <w:widowControl w:val="0"/>
            <w:tabs>
              <w:tab w:val="right" w:pos="12000"/>
            </w:tabs>
            <w:spacing w:before="60" w:line="240" w:lineRule="auto"/>
            <w:rPr>
              <w:rFonts w:ascii="Athiti" w:eastAsia="Athiti" w:hAnsi="Athiti" w:cs="Athiti"/>
              <w:b/>
              <w:lang w:val="cs-CZ"/>
            </w:rPr>
          </w:pPr>
          <w:r w:rsidRPr="0032504C">
            <w:rPr>
              <w:lang w:val="cs-CZ"/>
            </w:rPr>
            <w:fldChar w:fldCharType="begin"/>
          </w:r>
          <w:r w:rsidR="0032504C" w:rsidRPr="0032504C">
            <w:rPr>
              <w:lang w:val="cs-CZ"/>
            </w:rPr>
            <w:instrText xml:space="preserve"> TOC \h \u \z \t "Heading 1,1,Heading 2,2,Heading 3,3,"</w:instrText>
          </w:r>
          <w:r w:rsidRPr="0032504C">
            <w:rPr>
              <w:lang w:val="cs-CZ"/>
            </w:rPr>
            <w:fldChar w:fldCharType="separate"/>
          </w:r>
          <w:hyperlink w:anchor="_4u7k9h54aotd">
            <w:r w:rsidR="0032504C" w:rsidRPr="0032504C">
              <w:rPr>
                <w:rFonts w:ascii="Athiti" w:eastAsia="Athiti" w:hAnsi="Athiti" w:cs="Athiti"/>
                <w:sz w:val="24"/>
                <w:szCs w:val="24"/>
                <w:lang w:val="cs-CZ"/>
              </w:rPr>
              <w:t>1 Document Contents Page</w:t>
            </w:r>
            <w:r w:rsidR="0032504C" w:rsidRPr="0032504C">
              <w:rPr>
                <w:rFonts w:ascii="Athiti" w:eastAsia="Athiti" w:hAnsi="Athiti" w:cs="Athiti"/>
                <w:sz w:val="24"/>
                <w:szCs w:val="24"/>
                <w:lang w:val="cs-CZ"/>
              </w:rPr>
              <w:tab/>
              <w:t>1</w:t>
            </w:r>
          </w:hyperlink>
        </w:p>
        <w:p w:rsidR="0032504C" w:rsidRPr="0032504C" w:rsidRDefault="008600AA" w:rsidP="0032504C">
          <w:pPr>
            <w:pStyle w:val="normal"/>
            <w:widowControl w:val="0"/>
            <w:tabs>
              <w:tab w:val="right" w:pos="12000"/>
            </w:tabs>
            <w:spacing w:before="60" w:line="240" w:lineRule="auto"/>
            <w:rPr>
              <w:rFonts w:ascii="Athiti" w:eastAsia="Athiti" w:hAnsi="Athiti" w:cs="Athiti"/>
              <w:b/>
              <w:lang w:val="cs-CZ"/>
            </w:rPr>
          </w:pPr>
          <w:hyperlink w:anchor="_24mflsrfcpe8">
            <w:r w:rsidR="0032504C" w:rsidRPr="0032504C">
              <w:rPr>
                <w:rFonts w:ascii="Athiti" w:eastAsia="Athiti" w:hAnsi="Athiti" w:cs="Athiti"/>
                <w:sz w:val="24"/>
                <w:szCs w:val="24"/>
                <w:lang w:val="cs-CZ"/>
              </w:rPr>
              <w:t>2 Significant Incident and Collection of Evidence Policy</w:t>
            </w:r>
            <w:r w:rsidR="0032504C" w:rsidRPr="0032504C">
              <w:rPr>
                <w:rFonts w:ascii="Athiti" w:eastAsia="Athiti" w:hAnsi="Athiti" w:cs="Athiti"/>
                <w:sz w:val="24"/>
                <w:szCs w:val="24"/>
                <w:lang w:val="cs-CZ"/>
              </w:rPr>
              <w:tab/>
              <w:t>5</w:t>
            </w:r>
          </w:hyperlink>
        </w:p>
        <w:p w:rsidR="0032504C" w:rsidRPr="0032504C" w:rsidRDefault="008600AA" w:rsidP="0032504C">
          <w:pPr>
            <w:pStyle w:val="normal"/>
            <w:widowControl w:val="0"/>
            <w:tabs>
              <w:tab w:val="right" w:pos="12000"/>
            </w:tabs>
            <w:spacing w:before="60" w:line="240" w:lineRule="auto"/>
            <w:ind w:left="360"/>
            <w:rPr>
              <w:rFonts w:ascii="Athiti" w:eastAsia="Athiti" w:hAnsi="Athiti" w:cs="Athiti"/>
              <w:lang w:val="cs-CZ"/>
            </w:rPr>
          </w:pPr>
          <w:hyperlink w:anchor="_la62gki1opso">
            <w:r w:rsidR="0032504C" w:rsidRPr="0032504C">
              <w:rPr>
                <w:rFonts w:ascii="Athiti" w:eastAsia="Athiti" w:hAnsi="Athiti" w:cs="Athiti"/>
                <w:sz w:val="24"/>
                <w:szCs w:val="24"/>
                <w:lang w:val="cs-CZ"/>
              </w:rPr>
              <w:t>2.1 Process</w:t>
            </w:r>
            <w:r w:rsidR="0032504C" w:rsidRPr="0032504C">
              <w:rPr>
                <w:rFonts w:ascii="Athiti" w:eastAsia="Athiti" w:hAnsi="Athiti" w:cs="Athiti"/>
                <w:sz w:val="24"/>
                <w:szCs w:val="24"/>
                <w:lang w:val="cs-CZ"/>
              </w:rPr>
              <w:tab/>
              <w:t>7</w:t>
            </w:r>
          </w:hyperlink>
        </w:p>
        <w:p w:rsidR="0032504C" w:rsidRPr="0032504C" w:rsidRDefault="008600AA" w:rsidP="0032504C">
          <w:pPr>
            <w:pStyle w:val="normal"/>
            <w:widowControl w:val="0"/>
            <w:tabs>
              <w:tab w:val="right" w:pos="12000"/>
            </w:tabs>
            <w:spacing w:before="60" w:line="240" w:lineRule="auto"/>
            <w:rPr>
              <w:rFonts w:ascii="Athiti" w:eastAsia="Athiti" w:hAnsi="Athiti" w:cs="Athiti"/>
              <w:b/>
              <w:lang w:val="cs-CZ"/>
            </w:rPr>
          </w:pPr>
          <w:hyperlink w:anchor="_7l862ewm3hzu">
            <w:r w:rsidR="0032504C" w:rsidRPr="0032504C">
              <w:rPr>
                <w:rFonts w:ascii="Athiti" w:eastAsia="Athiti" w:hAnsi="Athiti" w:cs="Athiti"/>
                <w:sz w:val="24"/>
                <w:szCs w:val="24"/>
                <w:lang w:val="cs-CZ"/>
              </w:rPr>
              <w:t>3 Policy Compliance</w:t>
            </w:r>
            <w:r w:rsidR="0032504C" w:rsidRPr="0032504C">
              <w:rPr>
                <w:rFonts w:ascii="Athiti" w:eastAsia="Athiti" w:hAnsi="Athiti" w:cs="Athiti"/>
                <w:sz w:val="24"/>
                <w:szCs w:val="24"/>
                <w:lang w:val="cs-CZ"/>
              </w:rPr>
              <w:tab/>
              <w:t>9</w:t>
            </w:r>
          </w:hyperlink>
          <w:r w:rsidRPr="0032504C">
            <w:rPr>
              <w:lang w:val="cs-CZ"/>
            </w:rPr>
            <w:fldChar w:fldCharType="end"/>
          </w:r>
        </w:p>
      </w:sdtContent>
    </w:sdt>
    <w:p w:rsidR="0032504C" w:rsidRDefault="0032504C"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Default="00F06B90" w:rsidP="0032504C">
      <w:pPr>
        <w:pStyle w:val="normal"/>
        <w:spacing w:before="240" w:after="120" w:line="240" w:lineRule="auto"/>
        <w:jc w:val="both"/>
        <w:rPr>
          <w:rFonts w:ascii="Athiti" w:eastAsia="Athiti" w:hAnsi="Athiti" w:cs="Athiti"/>
          <w:sz w:val="24"/>
          <w:szCs w:val="24"/>
          <w:lang w:val="cs-CZ"/>
        </w:rPr>
      </w:pPr>
    </w:p>
    <w:p w:rsidR="00F06B90" w:rsidRPr="0032504C" w:rsidRDefault="00F06B90" w:rsidP="0032504C">
      <w:pPr>
        <w:pStyle w:val="normal"/>
        <w:spacing w:before="240" w:after="120" w:line="240" w:lineRule="auto"/>
        <w:jc w:val="both"/>
        <w:rPr>
          <w:rFonts w:ascii="Athiti" w:eastAsia="Athiti" w:hAnsi="Athiti" w:cs="Athiti"/>
          <w:sz w:val="24"/>
          <w:szCs w:val="24"/>
          <w:lang w:val="cs-CZ"/>
        </w:rPr>
      </w:pPr>
    </w:p>
    <w:p w:rsidR="0032504C" w:rsidRPr="0032504C" w:rsidRDefault="0032504C" w:rsidP="0032504C">
      <w:pPr>
        <w:pStyle w:val="normal"/>
        <w:spacing w:before="240" w:after="120" w:line="240" w:lineRule="auto"/>
        <w:jc w:val="both"/>
        <w:rPr>
          <w:rFonts w:ascii="Athiti" w:eastAsia="Athiti" w:hAnsi="Athiti" w:cs="Athiti"/>
          <w:sz w:val="24"/>
          <w:szCs w:val="24"/>
          <w:lang w:val="cs-CZ"/>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383"/>
        <w:gridCol w:w="6977"/>
      </w:tblGrid>
      <w:tr w:rsidR="0032504C" w:rsidRPr="0032504C" w:rsidTr="00BA42EA">
        <w:trPr>
          <w:cantSplit/>
          <w:trHeight w:val="515"/>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center"/>
              <w:rPr>
                <w:rFonts w:ascii="Athiti" w:eastAsia="Athiti" w:hAnsi="Athiti" w:cs="Athiti"/>
                <w:sz w:val="24"/>
                <w:szCs w:val="24"/>
                <w:lang w:val="cs-CZ"/>
              </w:rPr>
            </w:pPr>
            <w:r w:rsidRPr="0032504C">
              <w:rPr>
                <w:rFonts w:ascii="Athiti" w:eastAsia="Athiti" w:hAnsi="Athiti" w:cs="Athiti"/>
                <w:b/>
                <w:sz w:val="24"/>
                <w:szCs w:val="24"/>
                <w:lang w:val="cs-CZ"/>
              </w:rPr>
              <w:t>Termín</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center"/>
              <w:rPr>
                <w:rFonts w:ascii="Athiti" w:eastAsia="Athiti" w:hAnsi="Athiti" w:cs="Athiti"/>
                <w:sz w:val="24"/>
                <w:szCs w:val="24"/>
                <w:lang w:val="cs-CZ"/>
              </w:rPr>
            </w:pPr>
            <w:r w:rsidRPr="0032504C">
              <w:rPr>
                <w:rFonts w:ascii="Athiti" w:eastAsia="Athiti" w:hAnsi="Athiti" w:cs="Athiti"/>
                <w:b/>
                <w:sz w:val="24"/>
                <w:szCs w:val="24"/>
                <w:lang w:val="cs-CZ"/>
              </w:rPr>
              <w:t>Definice</w:t>
            </w:r>
          </w:p>
        </w:tc>
      </w:tr>
      <w:tr w:rsidR="0032504C" w:rsidRPr="0032504C" w:rsidTr="00BA42EA">
        <w:trPr>
          <w:cantSplit/>
          <w:trHeight w:val="1625"/>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Závažný incident</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Jakákoli událost, která představuje nebo je podezřelá z porušení právních či regulatorních povinností, včetně, ale nikoli výlučně, úniku dat, kybernetického narušení, podvodu, finančního pochybení nebo porušení oborových předpisů, a která může vést k externímu šetření nebo právním řízením.</w:t>
            </w:r>
          </w:p>
        </w:tc>
      </w:tr>
      <w:tr w:rsidR="0032504C" w:rsidRPr="0032504C" w:rsidTr="00BA42EA">
        <w:trPr>
          <w:cantSplit/>
          <w:trHeight w:val="134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Zacházení s důkazy</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Strukturovaný proces identifikace, sběru, uchování a dokumentace dat nebo materiálů forenzně správným způsobem za účelem zajištění integrity, přípustnosti a sledovatelnosti v rámci vyšetřování nebo právního řízení.</w:t>
            </w:r>
          </w:p>
        </w:tc>
      </w:tr>
      <w:tr w:rsidR="0032504C" w:rsidRPr="0032504C" w:rsidTr="00BA42EA">
        <w:trPr>
          <w:cantSplit/>
          <w:trHeight w:val="785"/>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Sledovatelnost důkazů</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Dokumentovaná a nepřerušená stopa, která zaznamenává sled držení, kontroly, předání a analýzy fyzických nebo digitálních důkazů.</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Vedoucí týmu pro závažné incidenty (SITL)</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Určený člen vrcholového managementu odpovědný za koordinaci interní a externí reakce na závažný incident a fungující jako jednotný kontaktní bod.</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Tým pro reakci na incidenty</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Skupina kvalifikovaných interních nebo externích odborníků pověřená řízením, vyšetřováním a zmírněním následků incidentů, včetně narušení bezpečnosti a porušení regulací.</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Izolace a omezení šíření</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Okamžitá opatření přijatá k zabránění dalším škodám prostřednictvím zastavení přístupu, úprav nebo interakce s kompromitovanými systémy či daty, s výjimkou úkonů nezbytných pro ochranu života, zdraví nebo bezpečnosti.</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Forenzní vyšetřovatel</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Certifikovaný odborník nebo autorizovaná třetí strana pověřená sběrem a analýzou digitálních důkazů v souladu s uznávanými forenzními standardy.</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lastRenderedPageBreak/>
              <w:t>Poskytovatel kybernetického pojištění</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Pojišťovna, která poskytuje krytí ztrát vzniklých v důsledku kybernetických incidentů; v případě závažného incidentu musí být neprodleně informována.</w:t>
            </w:r>
          </w:p>
        </w:tc>
      </w:tr>
      <w:tr w:rsidR="0032504C" w:rsidRPr="0032504C" w:rsidTr="00BA42EA">
        <w:trPr>
          <w:cantSplit/>
          <w:trHeight w:val="785"/>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Monitoring souladu</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Proces ověřování dodržování politiky prostřednictvím nástrojů, jako jsou audity, systémové reporty, zpětná vazba a vyhodnocování incidentů.</w:t>
            </w:r>
          </w:p>
        </w:tc>
      </w:tr>
      <w:tr w:rsidR="0032504C" w:rsidRPr="0032504C" w:rsidTr="00BA42EA">
        <w:trPr>
          <w:cantSplit/>
          <w:trHeight w:val="785"/>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Výjimka z politiky</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Formálně schválená odchylka od politiky, která je předem zdokumentována a odůvodněna, podléhá pravidelnému přezkumu a hodnocení rizik.</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Nedodržení politiky</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Jakékoli nedodržení požadavků politiky, ať už úmyslné nebo z nedbalosti, podléhá disciplinárním a případně i právním důsledkům.</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Tým pro přezkum vedení</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Skupina vyššího dohledu odpovědná za přezkum zpráv o souladu, schvalování výjimek a vedení procesu neustálého zlepšování politiky.</w:t>
            </w:r>
          </w:p>
        </w:tc>
      </w:tr>
      <w:tr w:rsidR="0032504C" w:rsidRPr="0032504C" w:rsidTr="00BA42EA">
        <w:trPr>
          <w:cantSplit/>
          <w:trHeight w:val="1070"/>
          <w:tblHeader/>
        </w:trPr>
        <w:tc>
          <w:tcPr>
            <w:tcW w:w="23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Systém řízení bezpečnosti informací (ISMS)</w:t>
            </w:r>
          </w:p>
        </w:tc>
        <w:tc>
          <w:tcPr>
            <w:tcW w:w="6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504C" w:rsidRPr="0032504C" w:rsidRDefault="0032504C" w:rsidP="00BA42EA">
            <w:pPr>
              <w:pStyle w:val="normal"/>
              <w:spacing w:before="240" w:after="120" w:line="240" w:lineRule="auto"/>
              <w:jc w:val="both"/>
              <w:rPr>
                <w:rFonts w:ascii="Athiti" w:eastAsia="Athiti" w:hAnsi="Athiti" w:cs="Athiti"/>
                <w:sz w:val="24"/>
                <w:szCs w:val="24"/>
                <w:lang w:val="cs-CZ"/>
              </w:rPr>
            </w:pPr>
            <w:r w:rsidRPr="0032504C">
              <w:rPr>
                <w:rFonts w:ascii="Athiti" w:eastAsia="Athiti" w:hAnsi="Athiti" w:cs="Athiti"/>
                <w:sz w:val="24"/>
                <w:szCs w:val="24"/>
                <w:lang w:val="cs-CZ"/>
              </w:rPr>
              <w:t>Systematický přístup k řízení citlivých informací společnosti s cílem zajistit jejich důvěrnost, integritu a dostupnost. Zahrnuje řízení rizik prostřednictvím politik, postupů a kontrol.</w:t>
            </w:r>
          </w:p>
        </w:tc>
      </w:tr>
    </w:tbl>
    <w:p w:rsidR="0032504C" w:rsidRPr="0032504C" w:rsidRDefault="0032504C" w:rsidP="0032504C">
      <w:pPr>
        <w:pStyle w:val="normal"/>
        <w:spacing w:before="240" w:after="120" w:line="240" w:lineRule="auto"/>
        <w:jc w:val="both"/>
        <w:rPr>
          <w:rFonts w:ascii="Athiti" w:eastAsia="Athiti" w:hAnsi="Athiti" w:cs="Athiti"/>
          <w:sz w:val="24"/>
          <w:szCs w:val="24"/>
          <w:lang w:val="cs-CZ"/>
        </w:rPr>
      </w:pPr>
    </w:p>
    <w:p w:rsidR="0032504C" w:rsidRPr="0032504C" w:rsidRDefault="0032504C" w:rsidP="0032504C">
      <w:pPr>
        <w:pStyle w:val="Nadpis1"/>
        <w:numPr>
          <w:ilvl w:val="0"/>
          <w:numId w:val="3"/>
        </w:numPr>
        <w:spacing w:before="240" w:line="240" w:lineRule="auto"/>
        <w:jc w:val="both"/>
        <w:rPr>
          <w:rFonts w:ascii="Athiti" w:eastAsia="Athiti" w:hAnsi="Athiti" w:cs="Athiti"/>
          <w:b/>
          <w:sz w:val="32"/>
          <w:szCs w:val="32"/>
          <w:lang w:val="cs-CZ"/>
        </w:rPr>
      </w:pPr>
      <w:bookmarkStart w:id="3" w:name="_24mflsrfcpe8" w:colFirst="0" w:colLast="0"/>
      <w:bookmarkEnd w:id="3"/>
      <w:r w:rsidRPr="0032504C">
        <w:rPr>
          <w:rFonts w:ascii="Athiti" w:eastAsia="Athiti" w:hAnsi="Athiti" w:cs="Athiti"/>
          <w:b/>
          <w:sz w:val="32"/>
          <w:szCs w:val="32"/>
          <w:lang w:val="cs-CZ"/>
        </w:rPr>
        <w:t>Significant Incident and Collection of Evidence Policy</w:t>
      </w:r>
    </w:p>
    <w:p w:rsidR="0032504C" w:rsidRPr="0032504C" w:rsidRDefault="0032504C" w:rsidP="0032504C">
      <w:pPr>
        <w:pStyle w:val="normal"/>
        <w:spacing w:before="240" w:after="24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Účel</w:t>
      </w:r>
      <w:r w:rsidRPr="0032504C">
        <w:rPr>
          <w:rFonts w:ascii="Athiti" w:eastAsia="Athiti" w:hAnsi="Athiti" w:cs="Athiti"/>
          <w:b/>
          <w:sz w:val="24"/>
          <w:szCs w:val="24"/>
          <w:lang w:val="cs-CZ"/>
        </w:rPr>
        <w:br/>
      </w:r>
      <w:r w:rsidRPr="0032504C">
        <w:rPr>
          <w:rFonts w:ascii="Athiti" w:eastAsia="Athiti" w:hAnsi="Athiti" w:cs="Athiti"/>
          <w:sz w:val="24"/>
          <w:szCs w:val="24"/>
          <w:lang w:val="cs-CZ"/>
        </w:rPr>
        <w:t xml:space="preserve"> Tento dokument stanoví strukturovaný a metodický přístup k reakci na závažné incidenty, zejména ty, které mohou mít právní nebo regulatorní dopady. Popisuje postupy pro identifikaci, sběr, získání a uchování informací a digitálních důkazů forenzně správným způsobem tak, aby byla zajištěna jejich přípustnost a integrita v rámci případného vyšetřování nebo soudního řízení.</w:t>
      </w:r>
    </w:p>
    <w:p w:rsidR="0032504C" w:rsidRPr="0032504C" w:rsidRDefault="0032504C" w:rsidP="0032504C">
      <w:pPr>
        <w:pStyle w:val="normal"/>
        <w:spacing w:before="240" w:after="24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Rozsah</w:t>
      </w:r>
      <w:r w:rsidRPr="0032504C">
        <w:rPr>
          <w:rFonts w:ascii="Athiti" w:eastAsia="Athiti" w:hAnsi="Athiti" w:cs="Athiti"/>
          <w:b/>
          <w:sz w:val="24"/>
          <w:szCs w:val="24"/>
          <w:lang w:val="cs-CZ"/>
        </w:rPr>
        <w:br/>
      </w:r>
      <w:r w:rsidRPr="0032504C">
        <w:rPr>
          <w:rFonts w:ascii="Athiti" w:eastAsia="Athiti" w:hAnsi="Athiti" w:cs="Athiti"/>
          <w:sz w:val="24"/>
          <w:szCs w:val="24"/>
          <w:lang w:val="cs-CZ"/>
        </w:rPr>
        <w:t xml:space="preserve"> Tato politika se vztahuje na všechny zaměstnance, dodavatele a třetí strany, které mají přístup k systémům, datům, prostorám nebo informačním zdrojům organizace. Všichni pracovníci jsou povinni dodržovat níže uvedené postupy při řešení incidentů, které mohou být považovány za závažné.</w:t>
      </w:r>
    </w:p>
    <w:p w:rsidR="0032504C" w:rsidRPr="0032504C" w:rsidRDefault="0032504C" w:rsidP="0032504C">
      <w:pPr>
        <w:pStyle w:val="normal"/>
        <w:spacing w:before="240" w:after="24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lastRenderedPageBreak/>
        <w:t>Zásada</w:t>
      </w:r>
      <w:r w:rsidRPr="0032504C">
        <w:rPr>
          <w:rFonts w:ascii="Athiti" w:eastAsia="Athiti" w:hAnsi="Athiti" w:cs="Athiti"/>
          <w:b/>
          <w:sz w:val="24"/>
          <w:szCs w:val="24"/>
          <w:lang w:val="cs-CZ"/>
        </w:rPr>
        <w:br/>
      </w:r>
      <w:r w:rsidRPr="0032504C">
        <w:rPr>
          <w:rFonts w:ascii="Athiti" w:eastAsia="Athiti" w:hAnsi="Athiti" w:cs="Athiti"/>
          <w:sz w:val="24"/>
          <w:szCs w:val="24"/>
          <w:lang w:val="cs-CZ"/>
        </w:rPr>
        <w:t xml:space="preserve"> V případě výskytu závažného incidentu – zejména takového, který může mít právní, regulatorní nebo trestní důsledky – nesmí být učiněny žádné kroky bez zapojení kvalifikovaného personálu. Organizace musí zajistit, aby na činnost dohlížely specializované interní týmy nebo schválení externí forenzní experti, kteří budou řídit všechny kroky spojené se zacházením s důkazy. Tento dohled zajišťuje zachování sledovatelnosti, integritu důkazů a soulad s příslušnými právními předpisy a standardy.</w:t>
      </w:r>
    </w:p>
    <w:p w:rsidR="0032504C" w:rsidRPr="0032504C" w:rsidRDefault="00A56A08" w:rsidP="0032504C">
      <w:pPr>
        <w:pStyle w:val="normal"/>
        <w:spacing w:before="240" w:after="240" w:line="240" w:lineRule="auto"/>
        <w:jc w:val="both"/>
        <w:rPr>
          <w:rFonts w:ascii="Athiti" w:eastAsia="Athiti" w:hAnsi="Athiti" w:cs="Athiti"/>
          <w:sz w:val="24"/>
          <w:szCs w:val="24"/>
          <w:lang w:val="cs-CZ"/>
        </w:rPr>
      </w:pPr>
      <w:r>
        <w:rPr>
          <w:rFonts w:ascii="Athiti" w:eastAsia="Athiti" w:hAnsi="Athiti" w:cs="Athiti"/>
          <w:b/>
          <w:sz w:val="24"/>
          <w:szCs w:val="24"/>
          <w:lang w:val="cs-CZ"/>
        </w:rPr>
        <w:t xml:space="preserve">Definice </w:t>
      </w:r>
      <w:r w:rsidR="0032504C" w:rsidRPr="0032504C">
        <w:rPr>
          <w:rFonts w:ascii="Athiti" w:eastAsia="Athiti" w:hAnsi="Athiti" w:cs="Athiti"/>
          <w:b/>
          <w:sz w:val="24"/>
          <w:szCs w:val="24"/>
          <w:lang w:val="cs-CZ"/>
        </w:rPr>
        <w:t>závažných incidentů</w:t>
      </w:r>
      <w:r w:rsidR="0032504C" w:rsidRPr="0032504C">
        <w:rPr>
          <w:rFonts w:ascii="Athiti" w:eastAsia="Athiti" w:hAnsi="Athiti" w:cs="Athiti"/>
          <w:b/>
          <w:sz w:val="24"/>
          <w:szCs w:val="24"/>
          <w:lang w:val="cs-CZ"/>
        </w:rPr>
        <w:br/>
      </w:r>
      <w:r w:rsidR="0032504C" w:rsidRPr="0032504C">
        <w:rPr>
          <w:rFonts w:ascii="Athiti" w:eastAsia="Athiti" w:hAnsi="Athiti" w:cs="Athiti"/>
          <w:sz w:val="24"/>
          <w:szCs w:val="24"/>
          <w:lang w:val="cs-CZ"/>
        </w:rPr>
        <w:t xml:space="preserve"> Za závažné incidenty se považují události, které představují nebo jsou podezřelé z porušení právních nebo regulatorních povinností. Patří sem mimo jiné úniky dat, kybernetické útoky, podvody, finanční pochybení nebo porušení platných oborových předpisů. Za závažný se rovněž považuje jakýkoli incident, který by mohl s rozumnou pravděpodobností vést k externímu vyšetřování, donucovacímu řízení, soudnímu sporu nebo poškození reputace.</w:t>
      </w:r>
    </w:p>
    <w:p w:rsidR="0032504C" w:rsidRPr="0032504C" w:rsidRDefault="0032504C" w:rsidP="0032504C">
      <w:pPr>
        <w:pStyle w:val="normal"/>
        <w:spacing w:before="240" w:after="240" w:line="240" w:lineRule="auto"/>
        <w:jc w:val="both"/>
        <w:rPr>
          <w:rFonts w:ascii="Athiti" w:eastAsia="Athiti" w:hAnsi="Athiti" w:cs="Athiti"/>
          <w:sz w:val="24"/>
          <w:szCs w:val="24"/>
          <w:lang w:val="cs-CZ"/>
        </w:rPr>
      </w:pPr>
      <w:r w:rsidRPr="0032504C">
        <w:rPr>
          <w:rFonts w:ascii="Athiti" w:eastAsia="Athiti" w:hAnsi="Athiti" w:cs="Athiti"/>
          <w:b/>
          <w:sz w:val="24"/>
          <w:szCs w:val="24"/>
          <w:lang w:val="cs-CZ"/>
        </w:rPr>
        <w:t>Základní pokyny pro postup při reakci</w:t>
      </w:r>
      <w:r w:rsidRPr="0032504C">
        <w:rPr>
          <w:rFonts w:ascii="Athiti" w:eastAsia="Athiti" w:hAnsi="Athiti" w:cs="Athiti"/>
          <w:b/>
          <w:sz w:val="24"/>
          <w:szCs w:val="24"/>
          <w:lang w:val="cs-CZ"/>
        </w:rPr>
        <w:br/>
      </w:r>
      <w:r w:rsidRPr="0032504C">
        <w:rPr>
          <w:rFonts w:ascii="Athiti" w:eastAsia="Athiti" w:hAnsi="Athiti" w:cs="Athiti"/>
          <w:sz w:val="24"/>
          <w:szCs w:val="24"/>
          <w:lang w:val="cs-CZ"/>
        </w:rPr>
        <w:t xml:space="preserve"> Ve všech případech, kdy existuje podezření, že incident by mohl vést k externímu šetření nebo právním krokům, je nutné důsledně dodržovat následující kroky:</w:t>
      </w:r>
    </w:p>
    <w:p w:rsidR="0032504C" w:rsidRPr="0032504C" w:rsidRDefault="0032504C" w:rsidP="0032504C">
      <w:pPr>
        <w:pStyle w:val="normal"/>
        <w:numPr>
          <w:ilvl w:val="0"/>
          <w:numId w:val="7"/>
        </w:numPr>
        <w:spacing w:before="240" w:line="240" w:lineRule="auto"/>
        <w:rPr>
          <w:rFonts w:ascii="Athiti" w:eastAsia="Athiti" w:hAnsi="Athiti" w:cs="Athiti"/>
          <w:sz w:val="24"/>
          <w:szCs w:val="24"/>
          <w:lang w:val="cs-CZ"/>
        </w:rPr>
      </w:pPr>
      <w:r w:rsidRPr="0032504C">
        <w:rPr>
          <w:rFonts w:ascii="Athiti" w:eastAsia="Athiti" w:hAnsi="Athiti" w:cs="Athiti"/>
          <w:b/>
          <w:sz w:val="24"/>
          <w:szCs w:val="24"/>
          <w:lang w:val="cs-CZ"/>
        </w:rPr>
        <w:t>Okamžitá eskalace a zapojení odpovědných osob:</w:t>
      </w:r>
      <w:r w:rsidRPr="0032504C">
        <w:rPr>
          <w:rFonts w:ascii="Athiti" w:eastAsia="Athiti" w:hAnsi="Athiti" w:cs="Athiti"/>
          <w:sz w:val="24"/>
          <w:szCs w:val="24"/>
          <w:lang w:val="cs-CZ"/>
        </w:rPr>
        <w:t xml:space="preserve"> Incident musí být neprodleně nahlášen vedoucímu pro řešení incidentů nebo určené osobě pro eskalaci. Bez odkladu je nutné zapojit externí forenzní nebo právní specialisty.</w:t>
      </w:r>
      <w:r w:rsidRPr="0032504C">
        <w:rPr>
          <w:rFonts w:ascii="Athiti" w:eastAsia="Athiti" w:hAnsi="Athiti" w:cs="Athiti"/>
          <w:sz w:val="24"/>
          <w:szCs w:val="24"/>
          <w:lang w:val="cs-CZ"/>
        </w:rPr>
        <w:br/>
      </w:r>
    </w:p>
    <w:p w:rsidR="0032504C" w:rsidRPr="0032504C" w:rsidRDefault="0032504C" w:rsidP="0032504C">
      <w:pPr>
        <w:pStyle w:val="normal"/>
        <w:numPr>
          <w:ilvl w:val="0"/>
          <w:numId w:val="7"/>
        </w:numPr>
        <w:spacing w:line="240" w:lineRule="auto"/>
        <w:rPr>
          <w:rFonts w:ascii="Athiti" w:eastAsia="Athiti" w:hAnsi="Athiti" w:cs="Athiti"/>
          <w:sz w:val="24"/>
          <w:szCs w:val="24"/>
          <w:lang w:val="cs-CZ"/>
        </w:rPr>
      </w:pPr>
      <w:r w:rsidRPr="0032504C">
        <w:rPr>
          <w:rFonts w:ascii="Athiti" w:eastAsia="Athiti" w:hAnsi="Athiti" w:cs="Athiti"/>
          <w:b/>
          <w:sz w:val="24"/>
          <w:szCs w:val="24"/>
          <w:lang w:val="cs-CZ"/>
        </w:rPr>
        <w:t>Zajištění prostředí:</w:t>
      </w:r>
      <w:r w:rsidRPr="0032504C">
        <w:rPr>
          <w:rFonts w:ascii="Athiti" w:eastAsia="Athiti" w:hAnsi="Athiti" w:cs="Athiti"/>
          <w:sz w:val="24"/>
          <w:szCs w:val="24"/>
          <w:lang w:val="cs-CZ"/>
        </w:rPr>
        <w:t xml:space="preserve"> Veškerá aktivita v dotčených systémech, sítích, souborech, aplikacích, databázích a fyzických či digitálních úložištích musí být okamžitě zastavena. To zahrnuje zákaz jakéhokoli dalšího přístupu, úprav nebo interakcí s potenciálně kompromitovanými prostředky.</w:t>
      </w:r>
      <w:r w:rsidRPr="0032504C">
        <w:rPr>
          <w:rFonts w:ascii="Athiti" w:eastAsia="Athiti" w:hAnsi="Athiti" w:cs="Athiti"/>
          <w:sz w:val="24"/>
          <w:szCs w:val="24"/>
          <w:lang w:val="cs-CZ"/>
        </w:rPr>
        <w:br/>
      </w:r>
      <w:r w:rsidRPr="0032504C">
        <w:rPr>
          <w:rFonts w:ascii="Athiti" w:eastAsia="Athiti" w:hAnsi="Athiti" w:cs="Athiti"/>
          <w:sz w:val="24"/>
          <w:szCs w:val="24"/>
          <w:lang w:val="cs-CZ"/>
        </w:rPr>
        <w:br/>
        <w:t xml:space="preserve"> </w:t>
      </w:r>
      <w:r w:rsidRPr="0032504C">
        <w:rPr>
          <w:rFonts w:ascii="Athiti" w:eastAsia="Athiti" w:hAnsi="Athiti" w:cs="Athiti"/>
          <w:b/>
          <w:sz w:val="24"/>
          <w:szCs w:val="24"/>
          <w:lang w:val="cs-CZ"/>
        </w:rPr>
        <w:t>Výjimku tvoří pouze úkony nezbytné k:</w:t>
      </w:r>
      <w:r w:rsidRPr="0032504C">
        <w:rPr>
          <w:rFonts w:ascii="Athiti" w:eastAsia="Athiti" w:hAnsi="Athiti" w:cs="Athiti"/>
          <w:b/>
          <w:sz w:val="24"/>
          <w:szCs w:val="24"/>
          <w:lang w:val="cs-CZ"/>
        </w:rPr>
        <w:br/>
      </w:r>
    </w:p>
    <w:p w:rsidR="0032504C" w:rsidRPr="0032504C" w:rsidRDefault="0032504C" w:rsidP="0032504C">
      <w:pPr>
        <w:pStyle w:val="normal"/>
        <w:numPr>
          <w:ilvl w:val="1"/>
          <w:numId w:val="7"/>
        </w:numPr>
        <w:spacing w:line="240" w:lineRule="auto"/>
        <w:rPr>
          <w:rFonts w:ascii="Athiti" w:eastAsia="Athiti" w:hAnsi="Athiti" w:cs="Athiti"/>
          <w:sz w:val="24"/>
          <w:szCs w:val="24"/>
          <w:lang w:val="cs-CZ"/>
        </w:rPr>
      </w:pPr>
      <w:r w:rsidRPr="0032504C">
        <w:rPr>
          <w:rFonts w:ascii="Athiti" w:eastAsia="Athiti" w:hAnsi="Athiti" w:cs="Athiti"/>
          <w:sz w:val="24"/>
          <w:szCs w:val="24"/>
          <w:lang w:val="cs-CZ"/>
        </w:rPr>
        <w:t>ochraně života, zdraví nebo bezpečnosti;</w:t>
      </w:r>
      <w:r w:rsidRPr="0032504C">
        <w:rPr>
          <w:rFonts w:ascii="Athiti" w:eastAsia="Athiti" w:hAnsi="Athiti" w:cs="Athiti"/>
          <w:sz w:val="24"/>
          <w:szCs w:val="24"/>
          <w:lang w:val="cs-CZ"/>
        </w:rPr>
        <w:br/>
      </w:r>
    </w:p>
    <w:p w:rsidR="0032504C" w:rsidRPr="0032504C" w:rsidRDefault="0032504C" w:rsidP="0032504C">
      <w:pPr>
        <w:pStyle w:val="normal"/>
        <w:numPr>
          <w:ilvl w:val="1"/>
          <w:numId w:val="7"/>
        </w:numPr>
        <w:spacing w:line="240" w:lineRule="auto"/>
        <w:rPr>
          <w:rFonts w:ascii="Athiti" w:eastAsia="Athiti" w:hAnsi="Athiti" w:cs="Athiti"/>
          <w:sz w:val="24"/>
          <w:szCs w:val="24"/>
          <w:lang w:val="cs-CZ"/>
        </w:rPr>
      </w:pPr>
      <w:r w:rsidRPr="0032504C">
        <w:rPr>
          <w:rFonts w:ascii="Athiti" w:eastAsia="Athiti" w:hAnsi="Athiti" w:cs="Athiti"/>
          <w:sz w:val="24"/>
          <w:szCs w:val="24"/>
          <w:lang w:val="cs-CZ"/>
        </w:rPr>
        <w:t>provedení nezbytné první analýzy za účelem zamezení další škodě, přičemž musí být zachována integrita důkazů.</w:t>
      </w:r>
      <w:r w:rsidRPr="0032504C">
        <w:rPr>
          <w:rFonts w:ascii="Athiti" w:eastAsia="Athiti" w:hAnsi="Athiti" w:cs="Athiti"/>
          <w:sz w:val="24"/>
          <w:szCs w:val="24"/>
          <w:lang w:val="cs-CZ"/>
        </w:rPr>
        <w:br/>
      </w:r>
    </w:p>
    <w:p w:rsidR="0032504C" w:rsidRPr="0032504C" w:rsidRDefault="0032504C" w:rsidP="0032504C">
      <w:pPr>
        <w:pStyle w:val="normal"/>
        <w:numPr>
          <w:ilvl w:val="0"/>
          <w:numId w:val="7"/>
        </w:numPr>
        <w:spacing w:line="240" w:lineRule="auto"/>
        <w:rPr>
          <w:rFonts w:ascii="Athiti" w:eastAsia="Athiti" w:hAnsi="Athiti" w:cs="Athiti"/>
          <w:sz w:val="24"/>
          <w:szCs w:val="24"/>
          <w:lang w:val="cs-CZ"/>
        </w:rPr>
      </w:pPr>
      <w:r w:rsidRPr="0032504C">
        <w:rPr>
          <w:rFonts w:ascii="Athiti" w:eastAsia="Athiti" w:hAnsi="Athiti" w:cs="Athiti"/>
          <w:b/>
          <w:sz w:val="24"/>
          <w:szCs w:val="24"/>
          <w:lang w:val="cs-CZ"/>
        </w:rPr>
        <w:t>Protokol o zacházení s důkazy:</w:t>
      </w:r>
      <w:r w:rsidRPr="0032504C">
        <w:rPr>
          <w:rFonts w:ascii="Athiti" w:eastAsia="Athiti" w:hAnsi="Athiti" w:cs="Athiti"/>
          <w:sz w:val="24"/>
          <w:szCs w:val="24"/>
          <w:lang w:val="cs-CZ"/>
        </w:rPr>
        <w:t xml:space="preserve"> Všechny důkazy musí být zdokumentovány, označeny a uchovány v souladu s postupy sledovatelnosti. Za žádných okolností nesmí s důkazy manipulovat nekvalifikované osoby.</w:t>
      </w:r>
      <w:r w:rsidRPr="0032504C">
        <w:rPr>
          <w:rFonts w:ascii="Athiti" w:eastAsia="Athiti" w:hAnsi="Athiti" w:cs="Athiti"/>
          <w:sz w:val="24"/>
          <w:szCs w:val="24"/>
          <w:lang w:val="cs-CZ"/>
        </w:rPr>
        <w:br/>
      </w:r>
    </w:p>
    <w:p w:rsidR="0032504C" w:rsidRPr="0032504C" w:rsidRDefault="0032504C" w:rsidP="0032504C">
      <w:pPr>
        <w:pStyle w:val="normal"/>
        <w:numPr>
          <w:ilvl w:val="0"/>
          <w:numId w:val="7"/>
        </w:numPr>
        <w:spacing w:after="240" w:line="240" w:lineRule="auto"/>
        <w:rPr>
          <w:rFonts w:ascii="Athiti" w:eastAsia="Athiti" w:hAnsi="Athiti" w:cs="Athiti"/>
          <w:sz w:val="24"/>
          <w:szCs w:val="24"/>
          <w:lang w:val="cs-CZ"/>
        </w:rPr>
      </w:pPr>
      <w:r w:rsidRPr="0032504C">
        <w:rPr>
          <w:rFonts w:ascii="Athiti" w:eastAsia="Athiti" w:hAnsi="Athiti" w:cs="Athiti"/>
          <w:b/>
          <w:sz w:val="24"/>
          <w:szCs w:val="24"/>
          <w:lang w:val="cs-CZ"/>
        </w:rPr>
        <w:t>Koordinace a komunikace:</w:t>
      </w:r>
      <w:r w:rsidRPr="0032504C">
        <w:rPr>
          <w:rFonts w:ascii="Athiti" w:eastAsia="Athiti" w:hAnsi="Athiti" w:cs="Athiti"/>
          <w:sz w:val="24"/>
          <w:szCs w:val="24"/>
          <w:lang w:val="cs-CZ"/>
        </w:rPr>
        <w:t xml:space="preserve"> Veškerá interní i externí komunikace týkající se incidentu musí být řízena určeným týmem pro reakci na incident nebo odpovědnou osobou pro komunikaci, aby bylo zajištěno jednotné, důvěrné a právně konzistentní sdělování informací.</w:t>
      </w:r>
      <w:r w:rsidRPr="0032504C">
        <w:rPr>
          <w:rFonts w:ascii="Athiti" w:eastAsia="Athiti" w:hAnsi="Athiti" w:cs="Athiti"/>
          <w:sz w:val="24"/>
          <w:szCs w:val="24"/>
          <w:lang w:val="cs-CZ"/>
        </w:rPr>
        <w:br/>
      </w:r>
    </w:p>
    <w:p w:rsidR="0032504C" w:rsidRPr="0032504C" w:rsidRDefault="0032504C" w:rsidP="0032504C">
      <w:pPr>
        <w:pStyle w:val="normal"/>
        <w:spacing w:before="240" w:after="240" w:line="240" w:lineRule="auto"/>
        <w:jc w:val="both"/>
        <w:rPr>
          <w:rFonts w:ascii="Athiti" w:eastAsia="Athiti" w:hAnsi="Athiti" w:cs="Athiti"/>
          <w:b/>
          <w:sz w:val="24"/>
          <w:szCs w:val="24"/>
          <w:lang w:val="cs-CZ"/>
        </w:rPr>
      </w:pPr>
      <w:r w:rsidRPr="0032504C">
        <w:rPr>
          <w:rFonts w:ascii="Athiti" w:eastAsia="Athiti" w:hAnsi="Athiti" w:cs="Athiti"/>
          <w:sz w:val="24"/>
          <w:szCs w:val="24"/>
          <w:lang w:val="cs-CZ"/>
        </w:rPr>
        <w:lastRenderedPageBreak/>
        <w:t>Tento strukturovaný přístup je klíčový pro schopnost organizace obhájit své kroky, spolupracovat s regulačními orgány a orgány činnými v trestním řízení a chránit se před dalšími škodami v návaznosti na závažný incident.</w:t>
      </w:r>
    </w:p>
    <w:p w:rsidR="0032504C" w:rsidRPr="0032504C" w:rsidRDefault="0032504C" w:rsidP="0032504C">
      <w:pPr>
        <w:pStyle w:val="Nadpis2"/>
        <w:numPr>
          <w:ilvl w:val="1"/>
          <w:numId w:val="3"/>
        </w:numPr>
        <w:spacing w:line="240" w:lineRule="auto"/>
        <w:jc w:val="both"/>
        <w:rPr>
          <w:rFonts w:ascii="Athiti" w:eastAsia="Athiti" w:hAnsi="Athiti" w:cs="Athiti"/>
          <w:b/>
          <w:sz w:val="28"/>
          <w:szCs w:val="28"/>
          <w:lang w:val="cs-CZ"/>
        </w:rPr>
      </w:pPr>
      <w:bookmarkStart w:id="4" w:name="_la62gki1opso" w:colFirst="0" w:colLast="0"/>
      <w:bookmarkEnd w:id="4"/>
      <w:r w:rsidRPr="0032504C">
        <w:rPr>
          <w:rFonts w:ascii="Athiti" w:eastAsia="Athiti" w:hAnsi="Athiti" w:cs="Athiti"/>
          <w:b/>
          <w:sz w:val="28"/>
          <w:szCs w:val="28"/>
          <w:lang w:val="cs-CZ"/>
        </w:rPr>
        <w:t>Postup</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lang w:val="cs-CZ"/>
        </w:rPr>
        <w:t>Za účelem zajištění jednotné, právně vyhovující a dobře koordinované reakce na závažné incidenty je nutné bezodkladně zahájit následující proces:</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Jmenování vedoucího týmu pro závažné incidenty</w:t>
      </w:r>
      <w:r w:rsidRPr="0032504C">
        <w:rPr>
          <w:rFonts w:ascii="Athiti" w:eastAsia="Athiti" w:hAnsi="Athiti" w:cs="Athiti"/>
          <w:b/>
          <w:lang w:val="cs-CZ"/>
        </w:rPr>
        <w:br/>
      </w:r>
      <w:r w:rsidRPr="0032504C">
        <w:rPr>
          <w:rFonts w:ascii="Athiti" w:eastAsia="Athiti" w:hAnsi="Athiti" w:cs="Athiti"/>
          <w:lang w:val="cs-CZ"/>
        </w:rPr>
        <w:t xml:space="preserve"> Určete člena vrcholového vedení (nebo zástupce z týmu vyššího managementu – SMT) jako Vedoucího týmu pro závažné incidenty (SITL). Tato osoba bude plnit roli jediného kontaktního bodu pro veškerou interní koordinaci a externí komunikaci související s incidentem.</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Stabilizace a zajištění prostředí</w:t>
      </w:r>
      <w:r w:rsidRPr="0032504C">
        <w:rPr>
          <w:rFonts w:ascii="Athiti" w:eastAsia="Athiti" w:hAnsi="Athiti" w:cs="Athiti"/>
          <w:b/>
          <w:lang w:val="cs-CZ"/>
        </w:rPr>
        <w:br/>
      </w:r>
      <w:r w:rsidRPr="0032504C">
        <w:rPr>
          <w:rFonts w:ascii="Athiti" w:eastAsia="Athiti" w:hAnsi="Athiti" w:cs="Athiti"/>
          <w:lang w:val="cs-CZ"/>
        </w:rPr>
        <w:t xml:space="preserve"> Okamžitě proveďte opatření izolace a omezení šíření podle pokynů uvedených v části </w:t>
      </w:r>
      <w:r w:rsidRPr="0032504C">
        <w:rPr>
          <w:rFonts w:ascii="Athiti" w:eastAsia="Athiti" w:hAnsi="Athiti" w:cs="Athiti"/>
          <w:i/>
          <w:lang w:val="cs-CZ"/>
        </w:rPr>
        <w:t>Vysoká úroveň postupu</w:t>
      </w:r>
      <w:r w:rsidRPr="0032504C">
        <w:rPr>
          <w:rFonts w:ascii="Athiti" w:eastAsia="Athiti" w:hAnsi="Athiti" w:cs="Athiti"/>
          <w:lang w:val="cs-CZ"/>
        </w:rPr>
        <w:t>. Veškerá činnost v dotčených systémech, souborech, sítích nebo aplikacích musí být zastavena, s výjimkou úkonů nezbytných k:</w:t>
      </w:r>
    </w:p>
    <w:p w:rsidR="0032504C" w:rsidRPr="0032504C" w:rsidRDefault="0032504C" w:rsidP="0032504C">
      <w:pPr>
        <w:pStyle w:val="normal"/>
        <w:numPr>
          <w:ilvl w:val="0"/>
          <w:numId w:val="1"/>
        </w:numPr>
        <w:spacing w:before="240" w:line="240" w:lineRule="auto"/>
        <w:rPr>
          <w:rFonts w:ascii="Athiti" w:eastAsia="Athiti" w:hAnsi="Athiti" w:cs="Athiti"/>
          <w:lang w:val="cs-CZ"/>
        </w:rPr>
      </w:pPr>
      <w:r w:rsidRPr="0032504C">
        <w:rPr>
          <w:rFonts w:ascii="Athiti" w:eastAsia="Athiti" w:hAnsi="Athiti" w:cs="Athiti"/>
          <w:lang w:val="cs-CZ"/>
        </w:rPr>
        <w:t>ochraně života, zdraví nebo bezpečnosti,</w:t>
      </w:r>
      <w:r w:rsidRPr="0032504C">
        <w:rPr>
          <w:rFonts w:ascii="Athiti" w:eastAsia="Athiti" w:hAnsi="Athiti" w:cs="Athiti"/>
          <w:lang w:val="cs-CZ"/>
        </w:rPr>
        <w:br/>
      </w:r>
    </w:p>
    <w:p w:rsidR="0032504C" w:rsidRPr="0032504C" w:rsidRDefault="0032504C" w:rsidP="0032504C">
      <w:pPr>
        <w:pStyle w:val="normal"/>
        <w:numPr>
          <w:ilvl w:val="0"/>
          <w:numId w:val="1"/>
        </w:numPr>
        <w:spacing w:after="240" w:line="240" w:lineRule="auto"/>
        <w:rPr>
          <w:rFonts w:ascii="Athiti" w:eastAsia="Athiti" w:hAnsi="Athiti" w:cs="Athiti"/>
          <w:lang w:val="cs-CZ"/>
        </w:rPr>
      </w:pPr>
      <w:r w:rsidRPr="0032504C">
        <w:rPr>
          <w:rFonts w:ascii="Athiti" w:eastAsia="Athiti" w:hAnsi="Athiti" w:cs="Athiti"/>
          <w:lang w:val="cs-CZ"/>
        </w:rPr>
        <w:t>zmírnění bezprostředního rizika pro infrastrukturu prostřednictvím minimálních a řízených zásahů.</w:t>
      </w:r>
      <w:r w:rsidRPr="0032504C">
        <w:rPr>
          <w:rFonts w:ascii="Athiti" w:eastAsia="Athiti" w:hAnsi="Athiti" w:cs="Athiti"/>
          <w:lang w:val="cs-CZ"/>
        </w:rPr>
        <w:br/>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Zapojení právního zástupce</w:t>
      </w:r>
      <w:r w:rsidRPr="0032504C">
        <w:rPr>
          <w:rFonts w:ascii="Athiti" w:eastAsia="Athiti" w:hAnsi="Athiti" w:cs="Athiti"/>
          <w:b/>
          <w:lang w:val="cs-CZ"/>
        </w:rPr>
        <w:br/>
      </w:r>
      <w:r w:rsidRPr="0032504C">
        <w:rPr>
          <w:rFonts w:ascii="Athiti" w:eastAsia="Athiti" w:hAnsi="Athiti" w:cs="Athiti"/>
          <w:lang w:val="cs-CZ"/>
        </w:rPr>
        <w:t xml:space="preserve"> Bez prodlení informujte interního právního poradce společnosti. Pokud není interní právník k dispozici, nebo je potřeba specializované odborné poradenství, kontaktujte předem schváleného externího právního zástupce z autorizované a regulované právní kanceláře se zkušenostmi v oblasti reakce na incidenty, ochrany osobních údajů nebo kybernetické kriminality.</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Zapojení forenzních a vyšetřovacích odborníků</w:t>
      </w:r>
      <w:r w:rsidRPr="0032504C">
        <w:rPr>
          <w:rFonts w:ascii="Athiti" w:eastAsia="Athiti" w:hAnsi="Athiti" w:cs="Athiti"/>
          <w:b/>
          <w:lang w:val="cs-CZ"/>
        </w:rPr>
        <w:br/>
      </w:r>
      <w:r w:rsidRPr="0032504C">
        <w:rPr>
          <w:rFonts w:ascii="Athiti" w:eastAsia="Athiti" w:hAnsi="Athiti" w:cs="Athiti"/>
          <w:lang w:val="cs-CZ"/>
        </w:rPr>
        <w:t xml:space="preserve"> Zapojte certifikovaného poskytovatele digitální forenzní expertizy ze seznamu předem schválených externích dodavatelů. Forenzní tým převezme odpovědnost za sběr, uchování a analýzu veškerých potenciálně relevantních důkazů v přísném souladu s postupy sledovatelnosti.</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Oznámení příslušným orgánům</w:t>
      </w:r>
      <w:r w:rsidRPr="0032504C">
        <w:rPr>
          <w:rFonts w:ascii="Athiti" w:eastAsia="Athiti" w:hAnsi="Athiti" w:cs="Athiti"/>
          <w:b/>
          <w:lang w:val="cs-CZ"/>
        </w:rPr>
        <w:br/>
      </w:r>
      <w:r w:rsidRPr="0032504C">
        <w:rPr>
          <w:rFonts w:ascii="Athiti" w:eastAsia="Athiti" w:hAnsi="Athiti" w:cs="Athiti"/>
          <w:lang w:val="cs-CZ"/>
        </w:rPr>
        <w:t xml:space="preserve"> Je-li to vyžadováno platnými právními předpisy nebo regulatorními rámci, neprodleně informujte:</w:t>
      </w:r>
    </w:p>
    <w:p w:rsidR="0032504C" w:rsidRPr="0032504C" w:rsidRDefault="0032504C" w:rsidP="0032504C">
      <w:pPr>
        <w:pStyle w:val="normal"/>
        <w:numPr>
          <w:ilvl w:val="0"/>
          <w:numId w:val="8"/>
        </w:numPr>
        <w:spacing w:before="240" w:line="240" w:lineRule="auto"/>
        <w:rPr>
          <w:rFonts w:ascii="Athiti" w:eastAsia="Athiti" w:hAnsi="Athiti" w:cs="Athiti"/>
          <w:lang w:val="cs-CZ"/>
        </w:rPr>
      </w:pPr>
      <w:r w:rsidRPr="0032504C">
        <w:rPr>
          <w:rFonts w:ascii="Athiti" w:eastAsia="Athiti" w:hAnsi="Athiti" w:cs="Athiti"/>
          <w:lang w:val="cs-CZ"/>
        </w:rPr>
        <w:t>místní nebo státní orgány činné v trestním řízení,</w:t>
      </w:r>
      <w:r w:rsidRPr="0032504C">
        <w:rPr>
          <w:rFonts w:ascii="Athiti" w:eastAsia="Athiti" w:hAnsi="Athiti" w:cs="Athiti"/>
          <w:lang w:val="cs-CZ"/>
        </w:rPr>
        <w:br/>
      </w:r>
    </w:p>
    <w:p w:rsidR="0032504C" w:rsidRPr="0032504C" w:rsidRDefault="0032504C" w:rsidP="0032504C">
      <w:pPr>
        <w:pStyle w:val="normal"/>
        <w:numPr>
          <w:ilvl w:val="0"/>
          <w:numId w:val="8"/>
        </w:numPr>
        <w:spacing w:line="240" w:lineRule="auto"/>
        <w:rPr>
          <w:rFonts w:ascii="Athiti" w:eastAsia="Athiti" w:hAnsi="Athiti" w:cs="Athiti"/>
          <w:lang w:val="cs-CZ"/>
        </w:rPr>
      </w:pPr>
      <w:r w:rsidRPr="0032504C">
        <w:rPr>
          <w:rFonts w:ascii="Athiti" w:eastAsia="Athiti" w:hAnsi="Athiti" w:cs="Athiti"/>
          <w:lang w:val="cs-CZ"/>
        </w:rPr>
        <w:t>příslušný Úřad pro ochranu osobních údajů,</w:t>
      </w:r>
      <w:r w:rsidRPr="0032504C">
        <w:rPr>
          <w:rFonts w:ascii="Athiti" w:eastAsia="Athiti" w:hAnsi="Athiti" w:cs="Athiti"/>
          <w:lang w:val="cs-CZ"/>
        </w:rPr>
        <w:br/>
      </w:r>
    </w:p>
    <w:p w:rsidR="0032504C" w:rsidRPr="0032504C" w:rsidRDefault="0032504C" w:rsidP="0032504C">
      <w:pPr>
        <w:pStyle w:val="normal"/>
        <w:numPr>
          <w:ilvl w:val="0"/>
          <w:numId w:val="8"/>
        </w:numPr>
        <w:spacing w:after="240" w:line="240" w:lineRule="auto"/>
        <w:rPr>
          <w:rFonts w:ascii="Athiti" w:eastAsia="Athiti" w:hAnsi="Athiti" w:cs="Athiti"/>
          <w:lang w:val="cs-CZ"/>
        </w:rPr>
      </w:pPr>
      <w:r w:rsidRPr="0032504C">
        <w:rPr>
          <w:rFonts w:ascii="Athiti" w:eastAsia="Athiti" w:hAnsi="Athiti" w:cs="Athiti"/>
          <w:lang w:val="cs-CZ"/>
        </w:rPr>
        <w:t>jakýkoli jiný regulační orgán specifický pro odvětví, kterého se incident týká.</w:t>
      </w:r>
      <w:r w:rsidRPr="0032504C">
        <w:rPr>
          <w:rFonts w:ascii="Athiti" w:eastAsia="Athiti" w:hAnsi="Athiti" w:cs="Athiti"/>
          <w:lang w:val="cs-CZ"/>
        </w:rPr>
        <w:br/>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lang w:val="cs-CZ"/>
        </w:rPr>
        <w:t>Všechna oznámení musí být posouzena a koordinována prostřednictvím právního poradce.</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Oznámení poskytovateli kybernetického pojištění</w:t>
      </w:r>
      <w:r w:rsidRPr="0032504C">
        <w:rPr>
          <w:rFonts w:ascii="Athiti" w:eastAsia="Athiti" w:hAnsi="Athiti" w:cs="Athiti"/>
          <w:b/>
          <w:lang w:val="cs-CZ"/>
        </w:rPr>
        <w:br/>
      </w:r>
      <w:r w:rsidRPr="0032504C">
        <w:rPr>
          <w:rFonts w:ascii="Athiti" w:eastAsia="Athiti" w:hAnsi="Athiti" w:cs="Athiti"/>
          <w:lang w:val="cs-CZ"/>
        </w:rPr>
        <w:t xml:space="preserve"> Pokud má organizace sjednané kybernetické pojištění, je nutné neprodleně informovat pojišťovnu v </w:t>
      </w:r>
      <w:r w:rsidRPr="0032504C">
        <w:rPr>
          <w:rFonts w:ascii="Athiti" w:eastAsia="Athiti" w:hAnsi="Athiti" w:cs="Athiti"/>
          <w:lang w:val="cs-CZ"/>
        </w:rPr>
        <w:lastRenderedPageBreak/>
        <w:t>souladu s podmínkami pojistné smlouvy a stanovenými lhůtami pro hlášení. Nedodržení těchto povinností může ohrozit nároky na pojistné plnění.</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Koordinace reakčních aktivit</w:t>
      </w:r>
      <w:r w:rsidRPr="0032504C">
        <w:rPr>
          <w:rFonts w:ascii="Athiti" w:eastAsia="Athiti" w:hAnsi="Athiti" w:cs="Athiti"/>
          <w:b/>
          <w:lang w:val="cs-CZ"/>
        </w:rPr>
        <w:br/>
      </w:r>
      <w:r w:rsidRPr="0032504C">
        <w:rPr>
          <w:rFonts w:ascii="Athiti" w:eastAsia="Athiti" w:hAnsi="Athiti" w:cs="Athiti"/>
          <w:lang w:val="cs-CZ"/>
        </w:rPr>
        <w:t xml:space="preserve"> Od této chvíle musí být všechny činnosti prováděny v souladu se strukturovaným postupem pro řízení incidentů, který zahrnuje:</w:t>
      </w:r>
    </w:p>
    <w:p w:rsidR="0032504C" w:rsidRPr="0032504C" w:rsidRDefault="0032504C" w:rsidP="0032504C">
      <w:pPr>
        <w:pStyle w:val="normal"/>
        <w:numPr>
          <w:ilvl w:val="0"/>
          <w:numId w:val="2"/>
        </w:numPr>
        <w:spacing w:before="240" w:line="240" w:lineRule="auto"/>
        <w:rPr>
          <w:rFonts w:ascii="Athiti" w:eastAsia="Athiti" w:hAnsi="Athiti" w:cs="Athiti"/>
          <w:lang w:val="cs-CZ"/>
        </w:rPr>
      </w:pPr>
      <w:r w:rsidRPr="0032504C">
        <w:rPr>
          <w:rFonts w:ascii="Athiti" w:eastAsia="Athiti" w:hAnsi="Athiti" w:cs="Athiti"/>
          <w:lang w:val="cs-CZ"/>
        </w:rPr>
        <w:t>zaznamenání incidentu do oficiálního systému sledování incidentů,</w:t>
      </w:r>
      <w:r w:rsidRPr="0032504C">
        <w:rPr>
          <w:rFonts w:ascii="Athiti" w:eastAsia="Athiti" w:hAnsi="Athiti" w:cs="Athiti"/>
          <w:lang w:val="cs-CZ"/>
        </w:rPr>
        <w:br/>
      </w:r>
    </w:p>
    <w:p w:rsidR="0032504C" w:rsidRPr="0032504C" w:rsidRDefault="0032504C" w:rsidP="0032504C">
      <w:pPr>
        <w:pStyle w:val="normal"/>
        <w:numPr>
          <w:ilvl w:val="0"/>
          <w:numId w:val="2"/>
        </w:numPr>
        <w:spacing w:line="240" w:lineRule="auto"/>
        <w:rPr>
          <w:rFonts w:ascii="Athiti" w:eastAsia="Athiti" w:hAnsi="Athiti" w:cs="Athiti"/>
          <w:lang w:val="cs-CZ"/>
        </w:rPr>
      </w:pPr>
      <w:r w:rsidRPr="0032504C">
        <w:rPr>
          <w:rFonts w:ascii="Athiti" w:eastAsia="Athiti" w:hAnsi="Athiti" w:cs="Athiti"/>
          <w:lang w:val="cs-CZ"/>
        </w:rPr>
        <w:t>vedení podrobné dokumentace všech provedených kroků, uskutečněné komunikace a obdržených rad,</w:t>
      </w:r>
      <w:r w:rsidRPr="0032504C">
        <w:rPr>
          <w:rFonts w:ascii="Athiti" w:eastAsia="Athiti" w:hAnsi="Athiti" w:cs="Athiti"/>
          <w:lang w:val="cs-CZ"/>
        </w:rPr>
        <w:br/>
      </w:r>
    </w:p>
    <w:p w:rsidR="0032504C" w:rsidRPr="0032504C" w:rsidRDefault="0032504C" w:rsidP="0032504C">
      <w:pPr>
        <w:pStyle w:val="normal"/>
        <w:numPr>
          <w:ilvl w:val="0"/>
          <w:numId w:val="2"/>
        </w:numPr>
        <w:spacing w:after="240" w:line="240" w:lineRule="auto"/>
        <w:rPr>
          <w:rFonts w:ascii="Athiti" w:eastAsia="Athiti" w:hAnsi="Athiti" w:cs="Athiti"/>
          <w:lang w:val="cs-CZ"/>
        </w:rPr>
      </w:pPr>
      <w:r w:rsidRPr="0032504C">
        <w:rPr>
          <w:rFonts w:ascii="Athiti" w:eastAsia="Athiti" w:hAnsi="Athiti" w:cs="Athiti"/>
          <w:lang w:val="cs-CZ"/>
        </w:rPr>
        <w:t>dodržování pokynů vydaných právním poradcem, orgány činnými v trestním řízení, regulátory, forenzními odborníky a pojišťovnou.</w:t>
      </w:r>
      <w:r w:rsidRPr="0032504C">
        <w:rPr>
          <w:rFonts w:ascii="Athiti" w:eastAsia="Athiti" w:hAnsi="Athiti" w:cs="Athiti"/>
          <w:lang w:val="cs-CZ"/>
        </w:rPr>
        <w:br/>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b/>
          <w:lang w:val="cs-CZ"/>
        </w:rPr>
        <w:t>Zajištění důvěrnosti a kontroly nad informacemi</w:t>
      </w:r>
      <w:r w:rsidRPr="0032504C">
        <w:rPr>
          <w:rFonts w:ascii="Athiti" w:eastAsia="Athiti" w:hAnsi="Athiti" w:cs="Athiti"/>
          <w:b/>
          <w:lang w:val="cs-CZ"/>
        </w:rPr>
        <w:br/>
      </w:r>
      <w:r w:rsidRPr="0032504C">
        <w:rPr>
          <w:rFonts w:ascii="Athiti" w:eastAsia="Athiti" w:hAnsi="Athiti" w:cs="Athiti"/>
          <w:lang w:val="cs-CZ"/>
        </w:rPr>
        <w:t xml:space="preserve"> Veškerá komunikace – interní i externí – musí být řízena určeným SITL nebo pověřenými osobami. Neautorizované sdělování informací nebo neformální komunikace jsou přísně zakázány.</w:t>
      </w:r>
    </w:p>
    <w:p w:rsidR="0032504C" w:rsidRPr="0032504C" w:rsidRDefault="0032504C" w:rsidP="0032504C">
      <w:pPr>
        <w:pStyle w:val="normal"/>
        <w:spacing w:before="240" w:after="240" w:line="240" w:lineRule="auto"/>
        <w:rPr>
          <w:rFonts w:ascii="Athiti" w:eastAsia="Athiti" w:hAnsi="Athiti" w:cs="Athiti"/>
          <w:lang w:val="cs-CZ"/>
        </w:rPr>
      </w:pPr>
      <w:r w:rsidRPr="0032504C">
        <w:rPr>
          <w:rFonts w:ascii="Athiti" w:eastAsia="Athiti" w:hAnsi="Athiti" w:cs="Athiti"/>
          <w:lang w:val="cs-CZ"/>
        </w:rPr>
        <w:t>Dodržováním tohoto strukturovaného postupu zajistí organizace právní obhajitelnost, regulatorní soulad a optimální koordinaci s klíčovými zainteresovanými stranami během celého životního cyklu incidentu.</w:t>
      </w:r>
    </w:p>
    <w:p w:rsidR="0032504C" w:rsidRPr="0032504C" w:rsidRDefault="0032504C" w:rsidP="0032504C">
      <w:pPr>
        <w:pStyle w:val="Nadpis1"/>
        <w:numPr>
          <w:ilvl w:val="0"/>
          <w:numId w:val="3"/>
        </w:numPr>
        <w:spacing w:before="240" w:line="240" w:lineRule="auto"/>
        <w:jc w:val="both"/>
        <w:rPr>
          <w:rFonts w:ascii="Athiti" w:eastAsia="Athiti" w:hAnsi="Athiti" w:cs="Athiti"/>
          <w:b/>
          <w:sz w:val="32"/>
          <w:szCs w:val="32"/>
          <w:lang w:val="cs-CZ"/>
        </w:rPr>
      </w:pPr>
      <w:bookmarkStart w:id="5" w:name="_7l862ewm3hzu" w:colFirst="0" w:colLast="0"/>
      <w:bookmarkEnd w:id="5"/>
      <w:r w:rsidRPr="0032504C">
        <w:rPr>
          <w:rFonts w:ascii="Athiti" w:eastAsia="Athiti" w:hAnsi="Athiti" w:cs="Athiti"/>
          <w:b/>
          <w:sz w:val="32"/>
          <w:szCs w:val="32"/>
          <w:lang w:val="cs-CZ"/>
        </w:rPr>
        <w:t xml:space="preserve">Dodržování politiky </w:t>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b/>
          <w:lang w:val="cs-CZ"/>
        </w:rPr>
        <w:t>Monitoring a ověřování souladu</w:t>
      </w:r>
      <w:r w:rsidRPr="0032504C">
        <w:rPr>
          <w:rFonts w:ascii="Athiti" w:eastAsia="Athiti" w:hAnsi="Athiti" w:cs="Athiti"/>
          <w:b/>
          <w:lang w:val="cs-CZ"/>
        </w:rPr>
        <w:br/>
      </w:r>
      <w:r w:rsidRPr="0032504C">
        <w:rPr>
          <w:rFonts w:ascii="Athiti" w:eastAsia="Athiti" w:hAnsi="Athiti" w:cs="Athiti"/>
          <w:lang w:val="cs-CZ"/>
        </w:rPr>
        <w:t xml:space="preserve"> Za zajištění dodržování této politiky odpovídá Tým pro řízení bezpečnosti informací (ISMT) prostřednictvím kombinace proaktivních i reaktivních dohledových mechanismů. Soulad s politikou bude ověřován mimo jiné prostřednictvím:</w:t>
      </w:r>
    </w:p>
    <w:p w:rsidR="0032504C" w:rsidRPr="0032504C" w:rsidRDefault="0032504C" w:rsidP="0032504C">
      <w:pPr>
        <w:pStyle w:val="normal"/>
        <w:numPr>
          <w:ilvl w:val="0"/>
          <w:numId w:val="4"/>
        </w:numPr>
        <w:spacing w:before="240" w:line="240" w:lineRule="auto"/>
        <w:rPr>
          <w:rFonts w:ascii="Athiti" w:eastAsia="Athiti" w:hAnsi="Athiti" w:cs="Athiti"/>
          <w:lang w:val="cs-CZ"/>
        </w:rPr>
      </w:pPr>
      <w:r w:rsidRPr="0032504C">
        <w:rPr>
          <w:rFonts w:ascii="Athiti" w:eastAsia="Athiti" w:hAnsi="Athiti" w:cs="Athiti"/>
          <w:lang w:val="cs-CZ"/>
        </w:rPr>
        <w:t>pravidelných přezkumů systémových a provozních výstupů a reportů;</w:t>
      </w:r>
      <w:r w:rsidRPr="0032504C">
        <w:rPr>
          <w:rFonts w:ascii="Athiti" w:eastAsia="Athiti" w:hAnsi="Athiti" w:cs="Athiti"/>
          <w:lang w:val="cs-CZ"/>
        </w:rPr>
        <w:br/>
      </w:r>
    </w:p>
    <w:p w:rsidR="0032504C" w:rsidRPr="0032504C" w:rsidRDefault="0032504C" w:rsidP="0032504C">
      <w:pPr>
        <w:pStyle w:val="normal"/>
        <w:numPr>
          <w:ilvl w:val="0"/>
          <w:numId w:val="4"/>
        </w:numPr>
        <w:spacing w:line="240" w:lineRule="auto"/>
        <w:rPr>
          <w:rFonts w:ascii="Athiti" w:eastAsia="Athiti" w:hAnsi="Athiti" w:cs="Athiti"/>
          <w:lang w:val="cs-CZ"/>
        </w:rPr>
      </w:pPr>
      <w:r w:rsidRPr="0032504C">
        <w:rPr>
          <w:rFonts w:ascii="Athiti" w:eastAsia="Athiti" w:hAnsi="Athiti" w:cs="Athiti"/>
          <w:lang w:val="cs-CZ"/>
        </w:rPr>
        <w:t>plánovaných i neohlášených interních auditů;</w:t>
      </w:r>
      <w:r w:rsidRPr="0032504C">
        <w:rPr>
          <w:rFonts w:ascii="Athiti" w:eastAsia="Athiti" w:hAnsi="Athiti" w:cs="Athiti"/>
          <w:lang w:val="cs-CZ"/>
        </w:rPr>
        <w:br/>
      </w:r>
    </w:p>
    <w:p w:rsidR="0032504C" w:rsidRPr="0032504C" w:rsidRDefault="0032504C" w:rsidP="0032504C">
      <w:pPr>
        <w:pStyle w:val="normal"/>
        <w:numPr>
          <w:ilvl w:val="0"/>
          <w:numId w:val="4"/>
        </w:numPr>
        <w:spacing w:line="240" w:lineRule="auto"/>
        <w:rPr>
          <w:rFonts w:ascii="Athiti" w:eastAsia="Athiti" w:hAnsi="Athiti" w:cs="Athiti"/>
          <w:lang w:val="cs-CZ"/>
        </w:rPr>
      </w:pPr>
      <w:r w:rsidRPr="0032504C">
        <w:rPr>
          <w:rFonts w:ascii="Athiti" w:eastAsia="Athiti" w:hAnsi="Athiti" w:cs="Athiti"/>
          <w:lang w:val="cs-CZ"/>
        </w:rPr>
        <w:t>nezávislých externích auditů, pokud jsou vyžadovány;</w:t>
      </w:r>
      <w:r w:rsidRPr="0032504C">
        <w:rPr>
          <w:rFonts w:ascii="Athiti" w:eastAsia="Athiti" w:hAnsi="Athiti" w:cs="Athiti"/>
          <w:lang w:val="cs-CZ"/>
        </w:rPr>
        <w:br/>
      </w:r>
    </w:p>
    <w:p w:rsidR="0032504C" w:rsidRPr="0032504C" w:rsidRDefault="0032504C" w:rsidP="0032504C">
      <w:pPr>
        <w:pStyle w:val="normal"/>
        <w:numPr>
          <w:ilvl w:val="0"/>
          <w:numId w:val="4"/>
        </w:numPr>
        <w:spacing w:line="240" w:lineRule="auto"/>
        <w:rPr>
          <w:rFonts w:ascii="Athiti" w:eastAsia="Athiti" w:hAnsi="Athiti" w:cs="Athiti"/>
          <w:lang w:val="cs-CZ"/>
        </w:rPr>
      </w:pPr>
      <w:r w:rsidRPr="0032504C">
        <w:rPr>
          <w:rFonts w:ascii="Athiti" w:eastAsia="Athiti" w:hAnsi="Athiti" w:cs="Athiti"/>
          <w:lang w:val="cs-CZ"/>
        </w:rPr>
        <w:t>přímé zpětné vazby od uživatelů a zúčastněných stran, předané správci politiky;</w:t>
      </w:r>
      <w:r w:rsidRPr="0032504C">
        <w:rPr>
          <w:rFonts w:ascii="Athiti" w:eastAsia="Athiti" w:hAnsi="Athiti" w:cs="Athiti"/>
          <w:lang w:val="cs-CZ"/>
        </w:rPr>
        <w:br/>
      </w:r>
    </w:p>
    <w:p w:rsidR="0032504C" w:rsidRPr="0032504C" w:rsidRDefault="0032504C" w:rsidP="0032504C">
      <w:pPr>
        <w:pStyle w:val="normal"/>
        <w:numPr>
          <w:ilvl w:val="0"/>
          <w:numId w:val="4"/>
        </w:numPr>
        <w:spacing w:after="240" w:line="240" w:lineRule="auto"/>
        <w:rPr>
          <w:rFonts w:ascii="Athiti" w:eastAsia="Athiti" w:hAnsi="Athiti" w:cs="Athiti"/>
          <w:lang w:val="cs-CZ"/>
        </w:rPr>
      </w:pPr>
      <w:r w:rsidRPr="0032504C">
        <w:rPr>
          <w:rFonts w:ascii="Athiti" w:eastAsia="Athiti" w:hAnsi="Athiti" w:cs="Athiti"/>
          <w:lang w:val="cs-CZ"/>
        </w:rPr>
        <w:t>vyhodnocování záznamů o incidentech a forenzních zpráv, kde je to relevantní.</w:t>
      </w:r>
      <w:r w:rsidRPr="0032504C">
        <w:rPr>
          <w:rFonts w:ascii="Athiti" w:eastAsia="Athiti" w:hAnsi="Athiti" w:cs="Athiti"/>
          <w:lang w:val="cs-CZ"/>
        </w:rPr>
        <w:br/>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lang w:val="cs-CZ"/>
        </w:rPr>
        <w:t>Zjištění z těchto aktivit budou pravidelně dokumentována a přezkoumávána ISMT a Týmem pro přezkum vedení s cílem identifikovat oblasti pro zlepšení nebo prosazení nápravných opatření.</w:t>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b/>
          <w:lang w:val="cs-CZ"/>
        </w:rPr>
        <w:t>Výjimky z politiky</w:t>
      </w:r>
      <w:r w:rsidRPr="0032504C">
        <w:rPr>
          <w:rFonts w:ascii="Athiti" w:eastAsia="Athiti" w:hAnsi="Athiti" w:cs="Athiti"/>
          <w:b/>
          <w:lang w:val="cs-CZ"/>
        </w:rPr>
        <w:br/>
      </w:r>
      <w:r w:rsidRPr="0032504C">
        <w:rPr>
          <w:rFonts w:ascii="Athiti" w:eastAsia="Athiti" w:hAnsi="Athiti" w:cs="Athiti"/>
          <w:lang w:val="cs-CZ"/>
        </w:rPr>
        <w:t xml:space="preserve"> Jakákoli odchylka od této politiky musí být formálně požádána písemně a řádně odůvodněna. Každá výjimka podléhá předchozímu schválení Manažera bezpečnosti informací a musí být:</w:t>
      </w:r>
    </w:p>
    <w:p w:rsidR="0032504C" w:rsidRPr="0032504C" w:rsidRDefault="0032504C" w:rsidP="0032504C">
      <w:pPr>
        <w:pStyle w:val="normal"/>
        <w:numPr>
          <w:ilvl w:val="0"/>
          <w:numId w:val="5"/>
        </w:numPr>
        <w:spacing w:before="240" w:line="240" w:lineRule="auto"/>
        <w:rPr>
          <w:rFonts w:ascii="Athiti" w:eastAsia="Athiti" w:hAnsi="Athiti" w:cs="Athiti"/>
          <w:lang w:val="cs-CZ"/>
        </w:rPr>
      </w:pPr>
      <w:r w:rsidRPr="0032504C">
        <w:rPr>
          <w:rFonts w:ascii="Athiti" w:eastAsia="Athiti" w:hAnsi="Athiti" w:cs="Athiti"/>
          <w:lang w:val="cs-CZ"/>
        </w:rPr>
        <w:t>zaznamenána v evidenci výjimek, včetně jejího rozsahu, doby platnosti a posouzení rizik;</w:t>
      </w:r>
      <w:r w:rsidRPr="0032504C">
        <w:rPr>
          <w:rFonts w:ascii="Athiti" w:eastAsia="Athiti" w:hAnsi="Athiti" w:cs="Athiti"/>
          <w:lang w:val="cs-CZ"/>
        </w:rPr>
        <w:br/>
      </w:r>
    </w:p>
    <w:p w:rsidR="0032504C" w:rsidRPr="0032504C" w:rsidRDefault="0032504C" w:rsidP="0032504C">
      <w:pPr>
        <w:pStyle w:val="normal"/>
        <w:numPr>
          <w:ilvl w:val="0"/>
          <w:numId w:val="5"/>
        </w:numPr>
        <w:spacing w:line="240" w:lineRule="auto"/>
        <w:rPr>
          <w:rFonts w:ascii="Athiti" w:eastAsia="Athiti" w:hAnsi="Athiti" w:cs="Athiti"/>
          <w:lang w:val="cs-CZ"/>
        </w:rPr>
      </w:pPr>
      <w:r w:rsidRPr="0032504C">
        <w:rPr>
          <w:rFonts w:ascii="Athiti" w:eastAsia="Athiti" w:hAnsi="Athiti" w:cs="Athiti"/>
          <w:lang w:val="cs-CZ"/>
        </w:rPr>
        <w:lastRenderedPageBreak/>
        <w:t>přezkoumána a spolupodepsána Týmem pro přezkum vedení, pokud se jedná o výjimku s podstatným rizikem;</w:t>
      </w:r>
      <w:r w:rsidRPr="0032504C">
        <w:rPr>
          <w:rFonts w:ascii="Athiti" w:eastAsia="Athiti" w:hAnsi="Athiti" w:cs="Athiti"/>
          <w:lang w:val="cs-CZ"/>
        </w:rPr>
        <w:br/>
      </w:r>
    </w:p>
    <w:p w:rsidR="0032504C" w:rsidRPr="0032504C" w:rsidRDefault="0032504C" w:rsidP="0032504C">
      <w:pPr>
        <w:pStyle w:val="normal"/>
        <w:numPr>
          <w:ilvl w:val="0"/>
          <w:numId w:val="5"/>
        </w:numPr>
        <w:spacing w:after="240" w:line="240" w:lineRule="auto"/>
        <w:rPr>
          <w:rFonts w:ascii="Athiti" w:eastAsia="Athiti" w:hAnsi="Athiti" w:cs="Athiti"/>
          <w:lang w:val="cs-CZ"/>
        </w:rPr>
      </w:pPr>
      <w:r w:rsidRPr="0032504C">
        <w:rPr>
          <w:rFonts w:ascii="Athiti" w:eastAsia="Athiti" w:hAnsi="Athiti" w:cs="Athiti"/>
          <w:lang w:val="cs-CZ"/>
        </w:rPr>
        <w:t>pravidelně přehodnocována, aby se ověřila její nadále trvající nezbytnost a účinnost v oblasti zmírnění rizik.</w:t>
      </w:r>
      <w:r w:rsidRPr="0032504C">
        <w:rPr>
          <w:rFonts w:ascii="Athiti" w:eastAsia="Athiti" w:hAnsi="Athiti" w:cs="Athiti"/>
          <w:lang w:val="cs-CZ"/>
        </w:rPr>
        <w:br/>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b/>
          <w:lang w:val="cs-CZ"/>
        </w:rPr>
        <w:t>Řešení případů nedodržení</w:t>
      </w:r>
      <w:r w:rsidRPr="0032504C">
        <w:rPr>
          <w:rFonts w:ascii="Athiti" w:eastAsia="Athiti" w:hAnsi="Athiti" w:cs="Athiti"/>
          <w:b/>
          <w:lang w:val="cs-CZ"/>
        </w:rPr>
        <w:br/>
      </w:r>
      <w:r w:rsidRPr="0032504C">
        <w:rPr>
          <w:rFonts w:ascii="Athiti" w:eastAsia="Athiti" w:hAnsi="Athiti" w:cs="Athiti"/>
          <w:lang w:val="cs-CZ"/>
        </w:rPr>
        <w:t xml:space="preserve"> Nedodržení této politiky – ať už úmyslné, nebo z nedbalosti – bude považováno za závažný problém a bude řešeno v souladu s disciplinárními postupy. V závislosti na závažnosti porušení mohou být přijata následující opatření:</w:t>
      </w:r>
    </w:p>
    <w:p w:rsidR="0032504C" w:rsidRPr="0032504C" w:rsidRDefault="0032504C" w:rsidP="0032504C">
      <w:pPr>
        <w:pStyle w:val="normal"/>
        <w:numPr>
          <w:ilvl w:val="0"/>
          <w:numId w:val="6"/>
        </w:numPr>
        <w:spacing w:before="240" w:line="240" w:lineRule="auto"/>
        <w:rPr>
          <w:rFonts w:ascii="Athiti" w:eastAsia="Athiti" w:hAnsi="Athiti" w:cs="Athiti"/>
          <w:lang w:val="cs-CZ"/>
        </w:rPr>
      </w:pPr>
      <w:r w:rsidRPr="0032504C">
        <w:rPr>
          <w:rFonts w:ascii="Athiti" w:eastAsia="Athiti" w:hAnsi="Athiti" w:cs="Athiti"/>
          <w:lang w:val="cs-CZ"/>
        </w:rPr>
        <w:t>formální napomenutí nebo povinné školení;</w:t>
      </w:r>
      <w:r w:rsidRPr="0032504C">
        <w:rPr>
          <w:rFonts w:ascii="Athiti" w:eastAsia="Athiti" w:hAnsi="Athiti" w:cs="Athiti"/>
          <w:lang w:val="cs-CZ"/>
        </w:rPr>
        <w:br/>
      </w:r>
    </w:p>
    <w:p w:rsidR="0032504C" w:rsidRPr="0032504C" w:rsidRDefault="0032504C" w:rsidP="0032504C">
      <w:pPr>
        <w:pStyle w:val="normal"/>
        <w:numPr>
          <w:ilvl w:val="0"/>
          <w:numId w:val="6"/>
        </w:numPr>
        <w:spacing w:line="240" w:lineRule="auto"/>
        <w:rPr>
          <w:rFonts w:ascii="Athiti" w:eastAsia="Athiti" w:hAnsi="Athiti" w:cs="Athiti"/>
          <w:lang w:val="cs-CZ"/>
        </w:rPr>
      </w:pPr>
      <w:r w:rsidRPr="0032504C">
        <w:rPr>
          <w:rFonts w:ascii="Athiti" w:eastAsia="Athiti" w:hAnsi="Athiti" w:cs="Athiti"/>
          <w:lang w:val="cs-CZ"/>
        </w:rPr>
        <w:t>dočasné odebrání přístupu k informačním systémům;</w:t>
      </w:r>
      <w:r w:rsidRPr="0032504C">
        <w:rPr>
          <w:rFonts w:ascii="Athiti" w:eastAsia="Athiti" w:hAnsi="Athiti" w:cs="Athiti"/>
          <w:lang w:val="cs-CZ"/>
        </w:rPr>
        <w:br/>
      </w:r>
    </w:p>
    <w:p w:rsidR="0032504C" w:rsidRPr="0032504C" w:rsidRDefault="0032504C" w:rsidP="0032504C">
      <w:pPr>
        <w:pStyle w:val="normal"/>
        <w:numPr>
          <w:ilvl w:val="0"/>
          <w:numId w:val="6"/>
        </w:numPr>
        <w:spacing w:line="240" w:lineRule="auto"/>
        <w:rPr>
          <w:rFonts w:ascii="Athiti" w:eastAsia="Athiti" w:hAnsi="Athiti" w:cs="Athiti"/>
          <w:lang w:val="cs-CZ"/>
        </w:rPr>
      </w:pPr>
      <w:r w:rsidRPr="0032504C">
        <w:rPr>
          <w:rFonts w:ascii="Athiti" w:eastAsia="Athiti" w:hAnsi="Athiti" w:cs="Athiti"/>
          <w:lang w:val="cs-CZ"/>
        </w:rPr>
        <w:t>disciplinární opatření podle interních směrnic HR, včetně možnosti ukončení pracovního poměru;</w:t>
      </w:r>
      <w:r w:rsidRPr="0032504C">
        <w:rPr>
          <w:rFonts w:ascii="Athiti" w:eastAsia="Athiti" w:hAnsi="Athiti" w:cs="Athiti"/>
          <w:lang w:val="cs-CZ"/>
        </w:rPr>
        <w:br/>
      </w:r>
    </w:p>
    <w:p w:rsidR="0032504C" w:rsidRPr="0032504C" w:rsidRDefault="0032504C" w:rsidP="0032504C">
      <w:pPr>
        <w:pStyle w:val="normal"/>
        <w:numPr>
          <w:ilvl w:val="0"/>
          <w:numId w:val="6"/>
        </w:numPr>
        <w:spacing w:after="240" w:line="240" w:lineRule="auto"/>
        <w:rPr>
          <w:rFonts w:ascii="Athiti" w:eastAsia="Athiti" w:hAnsi="Athiti" w:cs="Athiti"/>
          <w:lang w:val="cs-CZ"/>
        </w:rPr>
      </w:pPr>
      <w:r w:rsidRPr="0032504C">
        <w:rPr>
          <w:rFonts w:ascii="Athiti" w:eastAsia="Athiti" w:hAnsi="Athiti" w:cs="Athiti"/>
          <w:lang w:val="cs-CZ"/>
        </w:rPr>
        <w:t>případné právní kroky nebo oznámení příslušnému regulačnímu orgánu, pokud je to vyžadováno.</w:t>
      </w:r>
      <w:r w:rsidRPr="0032504C">
        <w:rPr>
          <w:rFonts w:ascii="Athiti" w:eastAsia="Athiti" w:hAnsi="Athiti" w:cs="Athiti"/>
          <w:lang w:val="cs-CZ"/>
        </w:rPr>
        <w:br/>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b/>
          <w:lang w:val="cs-CZ"/>
        </w:rPr>
        <w:t>Údržba politiky a její průběžné zlepšování</w:t>
      </w:r>
      <w:r w:rsidRPr="0032504C">
        <w:rPr>
          <w:rFonts w:ascii="Athiti" w:eastAsia="Athiti" w:hAnsi="Athiti" w:cs="Athiti"/>
          <w:b/>
          <w:lang w:val="cs-CZ"/>
        </w:rPr>
        <w:br/>
      </w:r>
      <w:r w:rsidRPr="0032504C">
        <w:rPr>
          <w:rFonts w:ascii="Athiti" w:eastAsia="Athiti" w:hAnsi="Athiti" w:cs="Athiti"/>
          <w:lang w:val="cs-CZ"/>
        </w:rPr>
        <w:t xml:space="preserve"> Tato politika je živým dokumentem a je součástí širšího závazku organizace k neustálému zlepšování v rámci jejího Systému řízení bezpečnosti informací (ISMS). Politika bude revidována minimálně jednou ročně, případně častěji v reakci na legislativní, regulatorní nebo technologické změny.</w:t>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lang w:val="cs-CZ"/>
        </w:rPr>
        <w:t>Návrhy na aktualizaci mohou podávat členové ISMT, interní auditoři, právní poradci nebo provozní zúčastněné strany.</w:t>
      </w:r>
    </w:p>
    <w:p w:rsidR="0032504C" w:rsidRPr="0032504C" w:rsidRDefault="0032504C" w:rsidP="0032504C">
      <w:pPr>
        <w:pStyle w:val="normal"/>
        <w:spacing w:before="240" w:after="240" w:line="240" w:lineRule="auto"/>
        <w:jc w:val="both"/>
        <w:rPr>
          <w:rFonts w:ascii="Athiti" w:eastAsia="Athiti" w:hAnsi="Athiti" w:cs="Athiti"/>
          <w:lang w:val="cs-CZ"/>
        </w:rPr>
      </w:pPr>
      <w:r w:rsidRPr="0032504C">
        <w:rPr>
          <w:rFonts w:ascii="Athiti" w:eastAsia="Athiti" w:hAnsi="Athiti" w:cs="Athiti"/>
          <w:lang w:val="cs-CZ"/>
        </w:rPr>
        <w:t>Všechny revize musí být schváleny vrcholovým vedením a srozumitelně komunikovány všem dotčeným osobám.</w:t>
      </w:r>
    </w:p>
    <w:p w:rsidR="0032504C" w:rsidRPr="0032504C" w:rsidRDefault="0032504C" w:rsidP="0032504C">
      <w:pPr>
        <w:pStyle w:val="normal"/>
        <w:spacing w:before="240" w:after="240" w:line="240" w:lineRule="auto"/>
        <w:jc w:val="both"/>
        <w:rPr>
          <w:rFonts w:ascii="Athiti" w:eastAsia="Athiti" w:hAnsi="Athiti" w:cs="Athiti"/>
          <w:b/>
          <w:lang w:val="cs-CZ"/>
        </w:rPr>
      </w:pPr>
      <w:r w:rsidRPr="0032504C">
        <w:rPr>
          <w:rFonts w:ascii="Athiti" w:eastAsia="Athiti" w:hAnsi="Athiti" w:cs="Athiti"/>
          <w:lang w:val="cs-CZ"/>
        </w:rPr>
        <w:t>Cílem tohoto procesu je zajistit, aby politika zůstala účinná, relevantní a v souladu s vyvíjejícím se prostředím rizik a požadavky na shodu organizace.</w:t>
      </w:r>
    </w:p>
    <w:p w:rsidR="00B06DB5" w:rsidRPr="0032504C" w:rsidRDefault="00B06DB5">
      <w:pPr>
        <w:rPr>
          <w:lang w:val="cs-CZ"/>
        </w:rPr>
      </w:pPr>
    </w:p>
    <w:sectPr w:rsidR="00B06DB5" w:rsidRPr="0032504C" w:rsidSect="00204E2E">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659" w:rsidRDefault="006A5659" w:rsidP="008600AA">
      <w:pPr>
        <w:spacing w:line="240" w:lineRule="auto"/>
      </w:pPr>
      <w:r>
        <w:separator/>
      </w:r>
    </w:p>
  </w:endnote>
  <w:endnote w:type="continuationSeparator" w:id="1">
    <w:p w:rsidR="006A5659" w:rsidRDefault="006A5659" w:rsidP="008600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2E" w:rsidRDefault="008600AA">
    <w:pPr>
      <w:pStyle w:val="normal"/>
      <w:jc w:val="right"/>
    </w:pPr>
    <w:r>
      <w:rPr>
        <w:rFonts w:ascii="Athiti" w:eastAsia="Athiti" w:hAnsi="Athiti" w:cs="Athiti"/>
      </w:rPr>
      <w:fldChar w:fldCharType="begin"/>
    </w:r>
    <w:r w:rsidR="00A56A08">
      <w:rPr>
        <w:rFonts w:ascii="Athiti" w:eastAsia="Athiti" w:hAnsi="Athiti" w:cs="Athiti"/>
      </w:rPr>
      <w:instrText>PAGE</w:instrText>
    </w:r>
    <w:r>
      <w:rPr>
        <w:rFonts w:ascii="Athiti" w:eastAsia="Athiti" w:hAnsi="Athiti" w:cs="Athiti"/>
      </w:rPr>
      <w:fldChar w:fldCharType="separate"/>
    </w:r>
    <w:r w:rsidR="00F06B90">
      <w:rPr>
        <w:rFonts w:ascii="Athiti" w:eastAsia="Athiti" w:hAnsi="Athiti" w:cs="Athiti"/>
        <w:noProof/>
      </w:rPr>
      <w:t>4</w:t>
    </w:r>
    <w:r>
      <w:rPr>
        <w:rFonts w:ascii="Athiti" w:eastAsia="Athiti" w:hAnsi="Athiti" w:cs="Athit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659" w:rsidRDefault="006A5659" w:rsidP="008600AA">
      <w:pPr>
        <w:spacing w:line="240" w:lineRule="auto"/>
      </w:pPr>
      <w:r>
        <w:separator/>
      </w:r>
    </w:p>
  </w:footnote>
  <w:footnote w:type="continuationSeparator" w:id="1">
    <w:p w:rsidR="006A5659" w:rsidRDefault="006A5659" w:rsidP="008600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A61A5"/>
    <w:multiLevelType w:val="multilevel"/>
    <w:tmpl w:val="82B4A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4240E8"/>
    <w:multiLevelType w:val="multilevel"/>
    <w:tmpl w:val="A746D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D2C2BF3"/>
    <w:multiLevelType w:val="multilevel"/>
    <w:tmpl w:val="3F6ED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A5351E"/>
    <w:multiLevelType w:val="multilevel"/>
    <w:tmpl w:val="D8CA4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F1544EB"/>
    <w:multiLevelType w:val="multilevel"/>
    <w:tmpl w:val="59EAE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0134DAD"/>
    <w:multiLevelType w:val="multilevel"/>
    <w:tmpl w:val="550064A4"/>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6">
    <w:nsid w:val="757E38AE"/>
    <w:multiLevelType w:val="multilevel"/>
    <w:tmpl w:val="3B64D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D0928C2"/>
    <w:multiLevelType w:val="multilevel"/>
    <w:tmpl w:val="C682F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504C"/>
    <w:rsid w:val="0008250F"/>
    <w:rsid w:val="001F0902"/>
    <w:rsid w:val="00267770"/>
    <w:rsid w:val="0032504C"/>
    <w:rsid w:val="005811F2"/>
    <w:rsid w:val="006A5659"/>
    <w:rsid w:val="008600AA"/>
    <w:rsid w:val="009D0A5F"/>
    <w:rsid w:val="00A56A08"/>
    <w:rsid w:val="00B01FD2"/>
    <w:rsid w:val="00B06DB5"/>
    <w:rsid w:val="00F06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504C"/>
    <w:pPr>
      <w:spacing w:after="0"/>
    </w:pPr>
    <w:rPr>
      <w:rFonts w:ascii="Arial" w:eastAsia="Arial" w:hAnsi="Arial" w:cs="Arial"/>
    </w:rPr>
  </w:style>
  <w:style w:type="paragraph" w:styleId="Nadpis1">
    <w:name w:val="heading 1"/>
    <w:basedOn w:val="normal"/>
    <w:next w:val="normal"/>
    <w:link w:val="Nadpis1Char"/>
    <w:rsid w:val="0032504C"/>
    <w:pPr>
      <w:keepNext/>
      <w:keepLines/>
      <w:spacing w:before="400" w:after="120"/>
      <w:outlineLvl w:val="0"/>
    </w:pPr>
    <w:rPr>
      <w:sz w:val="40"/>
      <w:szCs w:val="40"/>
    </w:rPr>
  </w:style>
  <w:style w:type="paragraph" w:styleId="Nadpis2">
    <w:name w:val="heading 2"/>
    <w:basedOn w:val="normal"/>
    <w:next w:val="normal"/>
    <w:link w:val="Nadpis2Char"/>
    <w:rsid w:val="0032504C"/>
    <w:pPr>
      <w:keepNext/>
      <w:keepLines/>
      <w:spacing w:before="360" w:after="120"/>
      <w:outlineLvl w:val="1"/>
    </w:pPr>
    <w:rPr>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504C"/>
    <w:rPr>
      <w:rFonts w:ascii="Arial" w:eastAsia="Arial" w:hAnsi="Arial" w:cs="Arial"/>
      <w:sz w:val="40"/>
      <w:szCs w:val="40"/>
    </w:rPr>
  </w:style>
  <w:style w:type="character" w:customStyle="1" w:styleId="Nadpis2Char">
    <w:name w:val="Nadpis 2 Char"/>
    <w:basedOn w:val="Standardnpsmoodstavce"/>
    <w:link w:val="Nadpis2"/>
    <w:rsid w:val="0032504C"/>
    <w:rPr>
      <w:rFonts w:ascii="Arial" w:eastAsia="Arial" w:hAnsi="Arial" w:cs="Arial"/>
      <w:sz w:val="32"/>
      <w:szCs w:val="32"/>
    </w:rPr>
  </w:style>
  <w:style w:type="paragraph" w:customStyle="1" w:styleId="normal">
    <w:name w:val="normal"/>
    <w:rsid w:val="0032504C"/>
    <w:pPr>
      <w:spacing w:after="0"/>
    </w:pPr>
    <w:rPr>
      <w:rFonts w:ascii="Arial" w:eastAsia="Arial" w:hAnsi="Arial" w:cs="Arial"/>
    </w:rPr>
  </w:style>
  <w:style w:type="paragraph" w:styleId="Textbubliny">
    <w:name w:val="Balloon Text"/>
    <w:basedOn w:val="Normln"/>
    <w:link w:val="TextbublinyChar"/>
    <w:uiPriority w:val="99"/>
    <w:semiHidden/>
    <w:unhideWhenUsed/>
    <w:rsid w:val="0032504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504C"/>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1775</Words>
  <Characters>10118</Characters>
  <Application>Microsoft Office Word</Application>
  <DocSecurity>0</DocSecurity>
  <Lines>84</Lines>
  <Paragraphs>23</Paragraphs>
  <ScaleCrop>false</ScaleCrop>
  <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2025-07-28T20:19:00Z</dcterms:created>
  <dcterms:modified xsi:type="dcterms:W3CDTF">2025-07-30T03:21:00Z</dcterms:modified>
</cp:coreProperties>
</file>