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D4E" w:rsidRDefault="00732D4E" w:rsidP="00732D4E">
      <w:pPr>
        <w:pStyle w:val="normal"/>
        <w:rPr>
          <w:rFonts w:ascii="Athiti" w:eastAsia="Athiti" w:hAnsi="Athiti" w:cs="Athiti"/>
          <w:b/>
          <w:color w:val="44546A"/>
          <w:sz w:val="48"/>
          <w:szCs w:val="48"/>
        </w:rPr>
      </w:pPr>
    </w:p>
    <w:p w:rsidR="00732D4E" w:rsidRDefault="00732D4E" w:rsidP="00732D4E">
      <w:pPr>
        <w:pStyle w:val="normal"/>
        <w:rPr>
          <w:rFonts w:ascii="Athiti" w:eastAsia="Athiti" w:hAnsi="Athiti" w:cs="Athiti"/>
          <w:b/>
          <w:color w:val="44546A"/>
          <w:sz w:val="48"/>
          <w:szCs w:val="48"/>
        </w:rPr>
      </w:pPr>
    </w:p>
    <w:p w:rsidR="00732D4E" w:rsidRDefault="00732D4E" w:rsidP="00732D4E">
      <w:pPr>
        <w:pStyle w:val="normal"/>
        <w:rPr>
          <w:rFonts w:ascii="Athiti" w:eastAsia="Athiti" w:hAnsi="Athiti" w:cs="Athiti"/>
          <w:b/>
          <w:color w:val="44546A"/>
          <w:sz w:val="48"/>
          <w:szCs w:val="48"/>
        </w:rPr>
      </w:pPr>
      <w:bookmarkStart w:id="0" w:name="_heading=h.ouid73zgovp1" w:colFirst="0" w:colLast="0"/>
      <w:bookmarkEnd w:id="0"/>
    </w:p>
    <w:p w:rsidR="00732D4E" w:rsidRPr="003D65CC" w:rsidRDefault="00732D4E" w:rsidP="00732D4E">
      <w:pPr>
        <w:pStyle w:val="normal"/>
        <w:jc w:val="center"/>
        <w:rPr>
          <w:rFonts w:ascii="Athiti" w:eastAsia="Athiti" w:hAnsi="Athiti" w:cs="Athiti"/>
          <w:b/>
          <w:sz w:val="48"/>
          <w:szCs w:val="48"/>
          <w:lang w:val="cs-CZ"/>
        </w:rPr>
      </w:pPr>
      <w:r w:rsidRPr="003D65CC">
        <w:rPr>
          <w:rFonts w:ascii="Athiti" w:eastAsia="Athiti" w:hAnsi="Athiti" w:cs="Athiti"/>
          <w:b/>
          <w:sz w:val="48"/>
          <w:szCs w:val="48"/>
          <w:lang w:val="cs-CZ"/>
        </w:rPr>
        <w:t>Politika zpracování pokynů</w:t>
      </w:r>
    </w:p>
    <w:p w:rsidR="00732D4E" w:rsidRDefault="00732D4E" w:rsidP="00732D4E">
      <w:pPr>
        <w:pStyle w:val="normal"/>
        <w:jc w:val="center"/>
        <w:rPr>
          <w:rFonts w:ascii="Athiti" w:eastAsia="Athiti" w:hAnsi="Athiti" w:cs="Athiti"/>
          <w:b/>
          <w:sz w:val="48"/>
          <w:szCs w:val="48"/>
        </w:rPr>
      </w:pPr>
    </w:p>
    <w:p w:rsidR="00732D4E" w:rsidRDefault="00732D4E" w:rsidP="00732D4E">
      <w:pPr>
        <w:pStyle w:val="normal"/>
        <w:jc w:val="left"/>
        <w:rPr>
          <w:rFonts w:ascii="Athiti" w:eastAsia="Athiti" w:hAnsi="Athiti" w:cs="Athiti"/>
          <w:b/>
          <w:sz w:val="48"/>
          <w:szCs w:val="48"/>
        </w:rPr>
      </w:pPr>
    </w:p>
    <w:p w:rsidR="00732D4E" w:rsidRDefault="00732D4E" w:rsidP="00732D4E">
      <w:pPr>
        <w:pStyle w:val="normal"/>
        <w:widowControl w:val="0"/>
        <w:tabs>
          <w:tab w:val="left" w:pos="9356"/>
        </w:tabs>
        <w:spacing w:before="6" w:after="0" w:line="240" w:lineRule="auto"/>
        <w:rPr>
          <w:rFonts w:ascii="Athiti" w:eastAsia="Athiti" w:hAnsi="Athiti" w:cs="Athiti"/>
          <w:sz w:val="18"/>
          <w:szCs w:val="18"/>
        </w:rPr>
      </w:pPr>
    </w:p>
    <w:p w:rsidR="00732D4E" w:rsidRDefault="00732D4E" w:rsidP="00732D4E">
      <w:pPr>
        <w:pStyle w:val="normal"/>
        <w:widowControl w:val="0"/>
        <w:tabs>
          <w:tab w:val="left" w:pos="9356"/>
        </w:tabs>
        <w:spacing w:before="6" w:after="0" w:line="240" w:lineRule="auto"/>
        <w:rPr>
          <w:rFonts w:ascii="Athiti" w:eastAsia="Athiti" w:hAnsi="Athiti" w:cs="Athiti"/>
          <w:sz w:val="18"/>
          <w:szCs w:val="18"/>
        </w:rPr>
      </w:pPr>
    </w:p>
    <w:p w:rsidR="00732D4E" w:rsidRDefault="00732D4E" w:rsidP="00732D4E">
      <w:pPr>
        <w:pStyle w:val="normal"/>
        <w:widowControl w:val="0"/>
        <w:tabs>
          <w:tab w:val="left" w:pos="9356"/>
        </w:tabs>
        <w:spacing w:before="6" w:after="0" w:line="240" w:lineRule="auto"/>
        <w:rPr>
          <w:rFonts w:ascii="Athiti" w:eastAsia="Athiti" w:hAnsi="Athiti" w:cs="Athiti"/>
          <w:sz w:val="18"/>
          <w:szCs w:val="18"/>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732D4E" w:rsidTr="00FE0D5D">
        <w:trPr>
          <w:cantSplit/>
          <w:trHeight w:val="354"/>
          <w:tblHeader/>
        </w:trPr>
        <w:tc>
          <w:tcPr>
            <w:tcW w:w="3149" w:type="dxa"/>
            <w:shd w:val="clear" w:color="auto" w:fill="EFEFEF"/>
          </w:tcPr>
          <w:p w:rsidR="00732D4E" w:rsidRPr="00C531D4" w:rsidRDefault="00732D4E" w:rsidP="00FE0D5D">
            <w:pPr>
              <w:pStyle w:val="normal"/>
              <w:widowControl w:val="0"/>
              <w:tabs>
                <w:tab w:val="left" w:pos="9356"/>
              </w:tabs>
              <w:spacing w:before="64" w:after="0" w:line="240" w:lineRule="auto"/>
              <w:ind w:left="105"/>
              <w:rPr>
                <w:rFonts w:ascii="Athiti" w:eastAsia="Athiti" w:hAnsi="Athiti" w:cs="Athiti"/>
                <w:b/>
                <w:sz w:val="20"/>
                <w:szCs w:val="20"/>
                <w:lang w:val="cs-CZ"/>
              </w:rPr>
            </w:pPr>
            <w:r w:rsidRPr="00C531D4">
              <w:rPr>
                <w:rFonts w:ascii="Athiti" w:eastAsia="Athiti" w:hAnsi="Athiti" w:cs="Athiti"/>
                <w:b/>
                <w:sz w:val="20"/>
                <w:szCs w:val="20"/>
                <w:lang w:val="cs-CZ"/>
              </w:rPr>
              <w:t>Verze:</w:t>
            </w:r>
          </w:p>
        </w:tc>
        <w:tc>
          <w:tcPr>
            <w:tcW w:w="2746" w:type="dxa"/>
          </w:tcPr>
          <w:p w:rsidR="00732D4E" w:rsidRPr="00C531D4" w:rsidRDefault="00732D4E" w:rsidP="00FE0D5D">
            <w:pPr>
              <w:pStyle w:val="normal"/>
              <w:widowControl w:val="0"/>
              <w:tabs>
                <w:tab w:val="left" w:pos="9356"/>
              </w:tabs>
              <w:spacing w:before="71" w:after="0" w:line="240" w:lineRule="auto"/>
              <w:ind w:right="94"/>
              <w:rPr>
                <w:rFonts w:ascii="Athiti" w:eastAsia="Athiti" w:hAnsi="Athiti" w:cs="Athiti"/>
                <w:sz w:val="20"/>
                <w:szCs w:val="20"/>
                <w:lang w:val="cs-CZ"/>
              </w:rPr>
            </w:pPr>
            <w:r w:rsidRPr="00C531D4">
              <w:rPr>
                <w:rFonts w:ascii="Athiti" w:eastAsia="Athiti" w:hAnsi="Athiti" w:cs="Athiti"/>
                <w:sz w:val="20"/>
                <w:szCs w:val="20"/>
                <w:lang w:val="cs-CZ"/>
              </w:rPr>
              <w:t>1.0</w:t>
            </w:r>
          </w:p>
        </w:tc>
      </w:tr>
      <w:tr w:rsidR="00732D4E" w:rsidTr="00FE0D5D">
        <w:trPr>
          <w:cantSplit/>
          <w:trHeight w:val="354"/>
          <w:tblHeader/>
        </w:trPr>
        <w:tc>
          <w:tcPr>
            <w:tcW w:w="3149" w:type="dxa"/>
            <w:shd w:val="clear" w:color="auto" w:fill="EFEFEF"/>
          </w:tcPr>
          <w:p w:rsidR="00732D4E" w:rsidRPr="00C531D4" w:rsidRDefault="00732D4E" w:rsidP="00FE0D5D">
            <w:pPr>
              <w:pStyle w:val="normal"/>
              <w:widowControl w:val="0"/>
              <w:tabs>
                <w:tab w:val="left" w:pos="9356"/>
              </w:tabs>
              <w:spacing w:before="64" w:after="0" w:line="240" w:lineRule="auto"/>
              <w:ind w:left="105"/>
              <w:rPr>
                <w:rFonts w:ascii="Athiti" w:eastAsia="Athiti" w:hAnsi="Athiti" w:cs="Athiti"/>
                <w:b/>
                <w:sz w:val="20"/>
                <w:szCs w:val="20"/>
                <w:lang w:val="cs-CZ"/>
              </w:rPr>
            </w:pPr>
            <w:r w:rsidRPr="00C531D4">
              <w:rPr>
                <w:rFonts w:ascii="Athiti" w:eastAsia="Athiti" w:hAnsi="Athiti" w:cs="Athiti"/>
                <w:b/>
                <w:sz w:val="20"/>
                <w:szCs w:val="20"/>
                <w:lang w:val="cs-CZ"/>
              </w:rPr>
              <w:t>Schváleno dne:</w:t>
            </w:r>
          </w:p>
        </w:tc>
        <w:tc>
          <w:tcPr>
            <w:tcW w:w="2746" w:type="dxa"/>
          </w:tcPr>
          <w:p w:rsidR="00732D4E" w:rsidRPr="00C531D4" w:rsidRDefault="00C531D4" w:rsidP="00FE0D5D">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r w:rsidR="00732D4E" w:rsidTr="00FE0D5D">
        <w:trPr>
          <w:cantSplit/>
          <w:trHeight w:val="354"/>
          <w:tblHeader/>
        </w:trPr>
        <w:tc>
          <w:tcPr>
            <w:tcW w:w="3149" w:type="dxa"/>
            <w:shd w:val="clear" w:color="auto" w:fill="EFEFEF"/>
          </w:tcPr>
          <w:p w:rsidR="00732D4E" w:rsidRPr="00C531D4" w:rsidRDefault="00732D4E" w:rsidP="00FE0D5D">
            <w:pPr>
              <w:pStyle w:val="normal"/>
              <w:widowControl w:val="0"/>
              <w:tabs>
                <w:tab w:val="left" w:pos="9356"/>
              </w:tabs>
              <w:spacing w:before="64" w:after="0" w:line="240" w:lineRule="auto"/>
              <w:ind w:left="105"/>
              <w:rPr>
                <w:rFonts w:ascii="Athiti" w:eastAsia="Athiti" w:hAnsi="Athiti" w:cs="Athiti"/>
                <w:b/>
                <w:sz w:val="20"/>
                <w:szCs w:val="20"/>
                <w:lang w:val="cs-CZ"/>
              </w:rPr>
            </w:pPr>
            <w:r w:rsidRPr="00C531D4">
              <w:rPr>
                <w:rFonts w:ascii="Athiti" w:eastAsia="Athiti" w:hAnsi="Athiti" w:cs="Athiti"/>
                <w:b/>
                <w:sz w:val="20"/>
                <w:szCs w:val="20"/>
                <w:lang w:val="cs-CZ"/>
              </w:rPr>
              <w:t>Schváleno oddělením:</w:t>
            </w:r>
          </w:p>
        </w:tc>
        <w:tc>
          <w:tcPr>
            <w:tcW w:w="2746" w:type="dxa"/>
          </w:tcPr>
          <w:p w:rsidR="00732D4E" w:rsidRPr="00C531D4" w:rsidRDefault="00732D4E" w:rsidP="00FE0D5D">
            <w:pPr>
              <w:pStyle w:val="normal"/>
              <w:widowControl w:val="0"/>
              <w:tabs>
                <w:tab w:val="left" w:pos="9356"/>
              </w:tabs>
              <w:spacing w:before="71" w:after="0" w:line="240" w:lineRule="auto"/>
              <w:ind w:right="94"/>
              <w:rPr>
                <w:rFonts w:ascii="Athiti" w:eastAsia="Athiti" w:hAnsi="Athiti" w:cs="Athiti"/>
                <w:sz w:val="20"/>
                <w:szCs w:val="20"/>
                <w:lang w:val="cs-CZ"/>
              </w:rPr>
            </w:pPr>
            <w:r w:rsidRPr="00C531D4">
              <w:rPr>
                <w:rFonts w:ascii="Athiti" w:eastAsia="Athiti" w:hAnsi="Athiti" w:cs="Athiti"/>
                <w:sz w:val="20"/>
                <w:szCs w:val="20"/>
                <w:lang w:val="cs-CZ"/>
              </w:rPr>
              <w:t>Compliance</w:t>
            </w:r>
          </w:p>
        </w:tc>
      </w:tr>
      <w:tr w:rsidR="00732D4E" w:rsidTr="00FE0D5D">
        <w:trPr>
          <w:cantSplit/>
          <w:trHeight w:val="354"/>
          <w:tblHeader/>
        </w:trPr>
        <w:tc>
          <w:tcPr>
            <w:tcW w:w="3149" w:type="dxa"/>
            <w:shd w:val="clear" w:color="auto" w:fill="EFEFEF"/>
          </w:tcPr>
          <w:p w:rsidR="00732D4E" w:rsidRPr="00C531D4" w:rsidRDefault="00732D4E" w:rsidP="00FE0D5D">
            <w:pPr>
              <w:pStyle w:val="normal"/>
              <w:widowControl w:val="0"/>
              <w:tabs>
                <w:tab w:val="left" w:pos="9356"/>
              </w:tabs>
              <w:spacing w:before="64" w:after="0" w:line="240" w:lineRule="auto"/>
              <w:ind w:left="105"/>
              <w:rPr>
                <w:rFonts w:ascii="Athiti" w:eastAsia="Athiti" w:hAnsi="Athiti" w:cs="Athiti"/>
                <w:b/>
                <w:sz w:val="20"/>
                <w:szCs w:val="20"/>
                <w:lang w:val="cs-CZ"/>
              </w:rPr>
            </w:pPr>
            <w:r w:rsidRPr="00C531D4">
              <w:rPr>
                <w:rFonts w:ascii="Athiti" w:eastAsia="Athiti" w:hAnsi="Athiti" w:cs="Athiti"/>
                <w:b/>
                <w:sz w:val="20"/>
                <w:szCs w:val="20"/>
                <w:lang w:val="cs-CZ"/>
              </w:rPr>
              <w:t>Naposledy aktualizováno:</w:t>
            </w:r>
          </w:p>
        </w:tc>
        <w:tc>
          <w:tcPr>
            <w:tcW w:w="2746" w:type="dxa"/>
          </w:tcPr>
          <w:p w:rsidR="00732D4E" w:rsidRPr="00C531D4" w:rsidRDefault="00C531D4" w:rsidP="00FE0D5D">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732D4E" w:rsidRDefault="00732D4E" w:rsidP="00732D4E">
      <w:pPr>
        <w:pStyle w:val="normal"/>
        <w:jc w:val="left"/>
        <w:rPr>
          <w:rFonts w:ascii="Athiti" w:eastAsia="Athiti" w:hAnsi="Athiti" w:cs="Athiti"/>
          <w:color w:val="725DD9"/>
        </w:rPr>
      </w:pPr>
      <w:r>
        <w:br w:type="page"/>
      </w:r>
    </w:p>
    <w:p w:rsidR="00732D4E" w:rsidRPr="003D65CC" w:rsidRDefault="00732D4E" w:rsidP="00732D4E">
      <w:pPr>
        <w:pStyle w:val="normal"/>
        <w:keepNext/>
        <w:keepLines/>
        <w:spacing w:before="360" w:after="240"/>
        <w:jc w:val="left"/>
        <w:rPr>
          <w:rFonts w:ascii="Athiti" w:eastAsia="Athiti" w:hAnsi="Athiti" w:cs="Athiti"/>
          <w:b/>
          <w:sz w:val="36"/>
          <w:szCs w:val="36"/>
          <w:lang w:val="cs-CZ"/>
        </w:rPr>
      </w:pPr>
      <w:r w:rsidRPr="003D65CC">
        <w:rPr>
          <w:rFonts w:ascii="Athiti" w:eastAsia="Athiti" w:hAnsi="Athiti" w:cs="Athiti"/>
          <w:b/>
          <w:sz w:val="36"/>
          <w:szCs w:val="36"/>
          <w:lang w:val="cs-CZ"/>
        </w:rPr>
        <w:lastRenderedPageBreak/>
        <w:t>Obsah</w:t>
      </w:r>
    </w:p>
    <w:sdt>
      <w:sdtPr>
        <w:rPr>
          <w:lang w:val="cs-CZ"/>
        </w:rPr>
        <w:id w:val="336238267"/>
        <w:docPartObj>
          <w:docPartGallery w:val="Table of Contents"/>
          <w:docPartUnique/>
        </w:docPartObj>
      </w:sdtPr>
      <w:sdtContent>
        <w:p w:rsidR="00732D4E" w:rsidRPr="003D65CC" w:rsidRDefault="00F021DA" w:rsidP="00732D4E">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r w:rsidRPr="003D65CC">
            <w:rPr>
              <w:lang w:val="cs-CZ"/>
            </w:rPr>
            <w:fldChar w:fldCharType="begin"/>
          </w:r>
          <w:r w:rsidR="00732D4E" w:rsidRPr="003D65CC">
            <w:rPr>
              <w:lang w:val="cs-CZ"/>
            </w:rPr>
            <w:instrText xml:space="preserve"> TOC \h \u \z \t "Heading 1,1,Heading 2,2,Heading 3,3,"</w:instrText>
          </w:r>
          <w:r w:rsidRPr="003D65CC">
            <w:rPr>
              <w:lang w:val="cs-CZ"/>
            </w:rPr>
            <w:fldChar w:fldCharType="separate"/>
          </w:r>
          <w:hyperlink w:anchor="_heading=h.9rjii7rpa9xa">
            <w:r w:rsidR="00732D4E" w:rsidRPr="003D65CC">
              <w:rPr>
                <w:rFonts w:ascii="Athiti" w:eastAsia="Athiti" w:hAnsi="Athiti" w:cs="Athiti"/>
                <w:b/>
                <w:color w:val="000000"/>
                <w:sz w:val="22"/>
                <w:szCs w:val="22"/>
                <w:lang w:val="cs-CZ"/>
              </w:rPr>
              <w:t>Pojmy a definice</w:t>
            </w:r>
            <w:r w:rsidR="00732D4E" w:rsidRPr="003D65CC">
              <w:rPr>
                <w:rFonts w:ascii="Athiti" w:eastAsia="Athiti" w:hAnsi="Athiti" w:cs="Athiti"/>
                <w:b/>
                <w:color w:val="000000"/>
                <w:sz w:val="22"/>
                <w:szCs w:val="22"/>
                <w:lang w:val="cs-CZ"/>
              </w:rPr>
              <w:tab/>
              <w:t>2</w:t>
            </w:r>
          </w:hyperlink>
        </w:p>
        <w:p w:rsidR="00732D4E" w:rsidRPr="003D65CC" w:rsidRDefault="00F021DA" w:rsidP="00732D4E">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63efu7oo6rte">
            <w:r w:rsidR="00732D4E" w:rsidRPr="003D65CC">
              <w:rPr>
                <w:rFonts w:ascii="Athiti" w:eastAsia="Athiti" w:hAnsi="Athiti" w:cs="Athiti"/>
                <w:b/>
                <w:color w:val="000000"/>
                <w:sz w:val="22"/>
                <w:szCs w:val="22"/>
                <w:lang w:val="cs-CZ"/>
              </w:rPr>
              <w:t>1. Úvod</w:t>
            </w:r>
            <w:r w:rsidR="00732D4E" w:rsidRPr="003D65CC">
              <w:rPr>
                <w:rFonts w:ascii="Athiti" w:eastAsia="Athiti" w:hAnsi="Athiti" w:cs="Athiti"/>
                <w:b/>
                <w:color w:val="000000"/>
                <w:sz w:val="22"/>
                <w:szCs w:val="22"/>
                <w:lang w:val="cs-CZ"/>
              </w:rPr>
              <w:tab/>
              <w:t>3</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hpwnyhu7n15l">
            <w:r w:rsidR="00732D4E" w:rsidRPr="003D65CC">
              <w:rPr>
                <w:rFonts w:ascii="Athiti" w:eastAsia="Athiti" w:hAnsi="Athiti" w:cs="Athiti"/>
                <w:color w:val="000000"/>
                <w:sz w:val="22"/>
                <w:szCs w:val="22"/>
                <w:lang w:val="cs-CZ"/>
              </w:rPr>
              <w:t>1.1. Rozsah a účel</w:t>
            </w:r>
            <w:r w:rsidR="00732D4E" w:rsidRPr="003D65CC">
              <w:rPr>
                <w:rFonts w:ascii="Athiti" w:eastAsia="Athiti" w:hAnsi="Athiti" w:cs="Athiti"/>
                <w:color w:val="000000"/>
                <w:sz w:val="22"/>
                <w:szCs w:val="22"/>
                <w:lang w:val="cs-CZ"/>
              </w:rPr>
              <w:tab/>
              <w:t>4</w:t>
            </w:r>
          </w:hyperlink>
        </w:p>
        <w:p w:rsidR="00732D4E" w:rsidRPr="003D65CC" w:rsidRDefault="00F021DA" w:rsidP="00732D4E">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n4cqioddksd1">
            <w:r w:rsidR="00732D4E" w:rsidRPr="003D65CC">
              <w:rPr>
                <w:rFonts w:ascii="Athiti" w:eastAsia="Athiti" w:hAnsi="Athiti" w:cs="Athiti"/>
                <w:b/>
                <w:color w:val="000000"/>
                <w:sz w:val="22"/>
                <w:szCs w:val="22"/>
                <w:lang w:val="cs-CZ"/>
              </w:rPr>
              <w:t>2. Pokyny</w:t>
            </w:r>
            <w:r w:rsidR="00732D4E" w:rsidRPr="003D65CC">
              <w:rPr>
                <w:rFonts w:ascii="Athiti" w:eastAsia="Athiti" w:hAnsi="Athiti" w:cs="Athiti"/>
                <w:b/>
                <w:color w:val="000000"/>
                <w:sz w:val="22"/>
                <w:szCs w:val="22"/>
                <w:lang w:val="cs-CZ"/>
              </w:rPr>
              <w:tab/>
              <w:t>5</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ywcq1z4itayz">
            <w:r w:rsidR="00732D4E" w:rsidRPr="003D65CC">
              <w:rPr>
                <w:rFonts w:ascii="Athiti" w:eastAsia="Athiti" w:hAnsi="Athiti" w:cs="Athiti"/>
                <w:color w:val="000000"/>
                <w:sz w:val="22"/>
                <w:szCs w:val="22"/>
                <w:lang w:val="cs-CZ"/>
              </w:rPr>
              <w:t>2.1. Zadávání pokynů a automatická registrace</w:t>
            </w:r>
            <w:r w:rsidR="00732D4E" w:rsidRPr="003D65CC">
              <w:rPr>
                <w:rFonts w:ascii="Athiti" w:eastAsia="Athiti" w:hAnsi="Athiti" w:cs="Athiti"/>
                <w:color w:val="000000"/>
                <w:sz w:val="22"/>
                <w:szCs w:val="22"/>
                <w:lang w:val="cs-CZ"/>
              </w:rPr>
              <w:tab/>
              <w:t>5</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ig3k5jfbnli1">
            <w:r w:rsidR="00732D4E" w:rsidRPr="003D65CC">
              <w:rPr>
                <w:rFonts w:ascii="Athiti" w:eastAsia="Athiti" w:hAnsi="Athiti" w:cs="Athiti"/>
                <w:color w:val="000000"/>
                <w:sz w:val="22"/>
                <w:szCs w:val="22"/>
                <w:lang w:val="cs-CZ"/>
              </w:rPr>
              <w:t>2.2. Zaznamenaná data o pokynu</w:t>
            </w:r>
            <w:r w:rsidR="00732D4E" w:rsidRPr="003D65CC">
              <w:rPr>
                <w:rFonts w:ascii="Athiti" w:eastAsia="Athiti" w:hAnsi="Athiti" w:cs="Athiti"/>
                <w:color w:val="000000"/>
                <w:sz w:val="22"/>
                <w:szCs w:val="22"/>
                <w:lang w:val="cs-CZ"/>
              </w:rPr>
              <w:tab/>
              <w:t>6</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mhexf0rxro21">
            <w:r w:rsidR="00732D4E" w:rsidRPr="003D65CC">
              <w:rPr>
                <w:rFonts w:ascii="Athiti" w:eastAsia="Athiti" w:hAnsi="Athiti" w:cs="Athiti"/>
                <w:color w:val="000000"/>
                <w:sz w:val="22"/>
                <w:szCs w:val="22"/>
                <w:lang w:val="cs-CZ"/>
              </w:rPr>
              <w:t>2.3. Uchovávání záznamů</w:t>
            </w:r>
            <w:r w:rsidR="00732D4E" w:rsidRPr="003D65CC">
              <w:rPr>
                <w:rFonts w:ascii="Athiti" w:eastAsia="Athiti" w:hAnsi="Athiti" w:cs="Athiti"/>
                <w:color w:val="000000"/>
                <w:sz w:val="22"/>
                <w:szCs w:val="22"/>
                <w:lang w:val="cs-CZ"/>
              </w:rPr>
              <w:tab/>
              <w:t>7</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jgatxz57iy1n">
            <w:r w:rsidR="00732D4E" w:rsidRPr="003D65CC">
              <w:rPr>
                <w:rFonts w:ascii="Athiti" w:eastAsia="Athiti" w:hAnsi="Athiti" w:cs="Athiti"/>
                <w:color w:val="000000"/>
                <w:sz w:val="22"/>
                <w:szCs w:val="22"/>
                <w:lang w:val="cs-CZ"/>
              </w:rPr>
              <w:t>2.4. Provedení pokynu a ochrana integrity trhu</w:t>
            </w:r>
            <w:r w:rsidR="00732D4E" w:rsidRPr="003D65CC">
              <w:rPr>
                <w:rFonts w:ascii="Athiti" w:eastAsia="Athiti" w:hAnsi="Athiti" w:cs="Athiti"/>
                <w:color w:val="000000"/>
                <w:sz w:val="22"/>
                <w:szCs w:val="22"/>
                <w:lang w:val="cs-CZ"/>
              </w:rPr>
              <w:tab/>
              <w:t>7</w:t>
            </w:r>
          </w:hyperlink>
        </w:p>
        <w:p w:rsidR="00732D4E" w:rsidRPr="003D65CC" w:rsidRDefault="00F021DA" w:rsidP="00732D4E">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e8i62rc8k9if">
            <w:r w:rsidR="00732D4E" w:rsidRPr="003D65CC">
              <w:rPr>
                <w:rFonts w:ascii="Athiti" w:eastAsia="Athiti" w:hAnsi="Athiti" w:cs="Athiti"/>
                <w:b/>
                <w:color w:val="000000"/>
                <w:sz w:val="22"/>
                <w:szCs w:val="22"/>
                <w:lang w:val="cs-CZ"/>
              </w:rPr>
              <w:t>3. Kritéria provedení</w:t>
            </w:r>
            <w:r w:rsidR="00732D4E" w:rsidRPr="003D65CC">
              <w:rPr>
                <w:rFonts w:ascii="Athiti" w:eastAsia="Athiti" w:hAnsi="Athiti" w:cs="Athiti"/>
                <w:b/>
                <w:color w:val="000000"/>
                <w:sz w:val="22"/>
                <w:szCs w:val="22"/>
                <w:lang w:val="cs-CZ"/>
              </w:rPr>
              <w:tab/>
              <w:t>8</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k9a8dno4kasg">
            <w:r w:rsidR="00732D4E" w:rsidRPr="003D65CC">
              <w:rPr>
                <w:rFonts w:ascii="Athiti" w:eastAsia="Athiti" w:hAnsi="Athiti" w:cs="Athiti"/>
                <w:color w:val="000000"/>
                <w:sz w:val="22"/>
                <w:szCs w:val="22"/>
                <w:lang w:val="cs-CZ"/>
              </w:rPr>
              <w:t>3.1. Cena provedení</w:t>
            </w:r>
            <w:r w:rsidR="00732D4E" w:rsidRPr="003D65CC">
              <w:rPr>
                <w:rFonts w:ascii="Athiti" w:eastAsia="Athiti" w:hAnsi="Athiti" w:cs="Athiti"/>
                <w:color w:val="000000"/>
                <w:sz w:val="22"/>
                <w:szCs w:val="22"/>
                <w:lang w:val="cs-CZ"/>
              </w:rPr>
              <w:tab/>
              <w:t>8</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fjxsl5f4vky4">
            <w:r w:rsidR="00732D4E" w:rsidRPr="003D65CC">
              <w:rPr>
                <w:rFonts w:ascii="Athiti" w:eastAsia="Athiti" w:hAnsi="Athiti" w:cs="Athiti"/>
                <w:color w:val="000000"/>
                <w:sz w:val="22"/>
                <w:szCs w:val="22"/>
                <w:lang w:val="cs-CZ"/>
              </w:rPr>
              <w:t>3.2. Rychlost provedení</w:t>
            </w:r>
            <w:r w:rsidR="00732D4E" w:rsidRPr="003D65CC">
              <w:rPr>
                <w:rFonts w:ascii="Athiti" w:eastAsia="Athiti" w:hAnsi="Athiti" w:cs="Athiti"/>
                <w:color w:val="000000"/>
                <w:sz w:val="22"/>
                <w:szCs w:val="22"/>
                <w:lang w:val="cs-CZ"/>
              </w:rPr>
              <w:tab/>
              <w:t>8</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ey7enmw4xh7n">
            <w:r w:rsidR="00732D4E" w:rsidRPr="003D65CC">
              <w:rPr>
                <w:rFonts w:ascii="Athiti" w:eastAsia="Athiti" w:hAnsi="Athiti" w:cs="Athiti"/>
                <w:color w:val="000000"/>
                <w:sz w:val="22"/>
                <w:szCs w:val="22"/>
                <w:lang w:val="cs-CZ"/>
              </w:rPr>
              <w:t>3.3. Pravděpodobnost provedení a vypořádání</w:t>
            </w:r>
            <w:r w:rsidR="00732D4E" w:rsidRPr="003D65CC">
              <w:rPr>
                <w:rFonts w:ascii="Athiti" w:eastAsia="Athiti" w:hAnsi="Athiti" w:cs="Athiti"/>
                <w:color w:val="000000"/>
                <w:sz w:val="22"/>
                <w:szCs w:val="22"/>
                <w:lang w:val="cs-CZ"/>
              </w:rPr>
              <w:tab/>
              <w:t>9</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oipq74vnq8p8">
            <w:r w:rsidR="00732D4E" w:rsidRPr="003D65CC">
              <w:rPr>
                <w:rFonts w:ascii="Athiti" w:eastAsia="Athiti" w:hAnsi="Athiti" w:cs="Athiti"/>
                <w:color w:val="000000"/>
                <w:sz w:val="22"/>
                <w:szCs w:val="22"/>
                <w:lang w:val="cs-CZ"/>
              </w:rPr>
              <w:t>3.4. Zohlednění velikosti pokynu</w:t>
            </w:r>
            <w:r w:rsidR="00732D4E" w:rsidRPr="003D65CC">
              <w:rPr>
                <w:rFonts w:ascii="Athiti" w:eastAsia="Athiti" w:hAnsi="Athiti" w:cs="Athiti"/>
                <w:color w:val="000000"/>
                <w:sz w:val="22"/>
                <w:szCs w:val="22"/>
                <w:lang w:val="cs-CZ"/>
              </w:rPr>
              <w:tab/>
              <w:t>9</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qiz42dsc6zv4">
            <w:r w:rsidR="00732D4E" w:rsidRPr="003D65CC">
              <w:rPr>
                <w:rFonts w:ascii="Athiti" w:eastAsia="Athiti" w:hAnsi="Athiti" w:cs="Athiti"/>
                <w:color w:val="000000"/>
                <w:sz w:val="22"/>
                <w:szCs w:val="22"/>
                <w:lang w:val="cs-CZ"/>
              </w:rPr>
              <w:t>3.5. Opatření pro integritu trhu a omezení provedení</w:t>
            </w:r>
            <w:r w:rsidR="00732D4E" w:rsidRPr="003D65CC">
              <w:rPr>
                <w:rFonts w:ascii="Athiti" w:eastAsia="Athiti" w:hAnsi="Athiti" w:cs="Athiti"/>
                <w:color w:val="000000"/>
                <w:sz w:val="22"/>
                <w:szCs w:val="22"/>
                <w:lang w:val="cs-CZ"/>
              </w:rPr>
              <w:tab/>
              <w:t>9</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kpybszsmnil4">
            <w:r w:rsidR="00732D4E" w:rsidRPr="003D65CC">
              <w:rPr>
                <w:rFonts w:ascii="Athiti" w:eastAsia="Athiti" w:hAnsi="Athiti" w:cs="Athiti"/>
                <w:color w:val="000000"/>
                <w:sz w:val="22"/>
                <w:szCs w:val="22"/>
                <w:lang w:val="cs-CZ"/>
              </w:rPr>
              <w:t>3.6. Závazek k férovému a transparentnímu provedení</w:t>
            </w:r>
            <w:r w:rsidR="00732D4E" w:rsidRPr="003D65CC">
              <w:rPr>
                <w:rFonts w:ascii="Athiti" w:eastAsia="Athiti" w:hAnsi="Athiti" w:cs="Athiti"/>
                <w:color w:val="000000"/>
                <w:sz w:val="22"/>
                <w:szCs w:val="22"/>
                <w:lang w:val="cs-CZ"/>
              </w:rPr>
              <w:tab/>
              <w:t>10</w:t>
            </w:r>
          </w:hyperlink>
        </w:p>
        <w:p w:rsidR="00732D4E" w:rsidRPr="003D65CC" w:rsidRDefault="00F021DA" w:rsidP="00732D4E">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yl088zx1ueeh">
            <w:r w:rsidR="00732D4E" w:rsidRPr="003D65CC">
              <w:rPr>
                <w:rFonts w:ascii="Athiti" w:eastAsia="Athiti" w:hAnsi="Athiti" w:cs="Athiti"/>
                <w:b/>
                <w:color w:val="000000"/>
                <w:sz w:val="22"/>
                <w:szCs w:val="22"/>
                <w:lang w:val="cs-CZ"/>
              </w:rPr>
              <w:t>4. Obecná rizika</w:t>
            </w:r>
            <w:r w:rsidR="00732D4E" w:rsidRPr="003D65CC">
              <w:rPr>
                <w:rFonts w:ascii="Athiti" w:eastAsia="Athiti" w:hAnsi="Athiti" w:cs="Athiti"/>
                <w:b/>
                <w:color w:val="000000"/>
                <w:sz w:val="22"/>
                <w:szCs w:val="22"/>
                <w:lang w:val="cs-CZ"/>
              </w:rPr>
              <w:tab/>
              <w:t>10</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lvo0e1eklbck">
            <w:r w:rsidR="00732D4E" w:rsidRPr="003D65CC">
              <w:rPr>
                <w:rFonts w:ascii="Athiti" w:eastAsia="Athiti" w:hAnsi="Athiti" w:cs="Athiti"/>
                <w:color w:val="000000"/>
                <w:sz w:val="22"/>
                <w:szCs w:val="22"/>
                <w:lang w:val="cs-CZ"/>
              </w:rPr>
              <w:t>4.1. Výpadky obchodování</w:t>
            </w:r>
            <w:r w:rsidR="00732D4E" w:rsidRPr="003D65CC">
              <w:rPr>
                <w:rFonts w:ascii="Athiti" w:eastAsia="Athiti" w:hAnsi="Athiti" w:cs="Athiti"/>
                <w:color w:val="000000"/>
                <w:sz w:val="22"/>
                <w:szCs w:val="22"/>
                <w:lang w:val="cs-CZ"/>
              </w:rPr>
              <w:tab/>
              <w:t>10</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qb2fdhocz1po">
            <w:r w:rsidR="00732D4E" w:rsidRPr="003D65CC">
              <w:rPr>
                <w:rFonts w:ascii="Athiti" w:eastAsia="Athiti" w:hAnsi="Athiti" w:cs="Athiti"/>
                <w:color w:val="000000"/>
                <w:sz w:val="22"/>
                <w:szCs w:val="22"/>
                <w:lang w:val="cs-CZ"/>
              </w:rPr>
              <w:t>4.2. Technická rizika a kybernetické hrozby</w:t>
            </w:r>
            <w:r w:rsidR="00732D4E" w:rsidRPr="003D65CC">
              <w:rPr>
                <w:rFonts w:ascii="Athiti" w:eastAsia="Athiti" w:hAnsi="Athiti" w:cs="Athiti"/>
                <w:color w:val="000000"/>
                <w:sz w:val="22"/>
                <w:szCs w:val="22"/>
                <w:lang w:val="cs-CZ"/>
              </w:rPr>
              <w:tab/>
              <w:t>10</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o2r9s7eut56u">
            <w:r w:rsidR="00732D4E" w:rsidRPr="003D65CC">
              <w:rPr>
                <w:rFonts w:ascii="Athiti" w:eastAsia="Athiti" w:hAnsi="Athiti" w:cs="Athiti"/>
                <w:color w:val="000000"/>
                <w:sz w:val="22"/>
                <w:szCs w:val="22"/>
                <w:lang w:val="cs-CZ"/>
              </w:rPr>
              <w:t>4.3. Regulatorní nejistota</w:t>
            </w:r>
            <w:r w:rsidR="00732D4E" w:rsidRPr="003D65CC">
              <w:rPr>
                <w:rFonts w:ascii="Athiti" w:eastAsia="Athiti" w:hAnsi="Athiti" w:cs="Athiti"/>
                <w:color w:val="000000"/>
                <w:sz w:val="22"/>
                <w:szCs w:val="22"/>
                <w:lang w:val="cs-CZ"/>
              </w:rPr>
              <w:tab/>
              <w:t>11</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jueqlhnwzm4">
            <w:r w:rsidR="00732D4E" w:rsidRPr="003D65CC">
              <w:rPr>
                <w:rFonts w:ascii="Athiti" w:eastAsia="Athiti" w:hAnsi="Athiti" w:cs="Athiti"/>
                <w:color w:val="000000"/>
                <w:sz w:val="22"/>
                <w:szCs w:val="22"/>
                <w:lang w:val="cs-CZ"/>
              </w:rPr>
              <w:t>4.4. Volatilita trhu</w:t>
            </w:r>
            <w:r w:rsidR="00732D4E" w:rsidRPr="003D65CC">
              <w:rPr>
                <w:rFonts w:ascii="Athiti" w:eastAsia="Athiti" w:hAnsi="Athiti" w:cs="Athiti"/>
                <w:color w:val="000000"/>
                <w:sz w:val="22"/>
                <w:szCs w:val="22"/>
                <w:lang w:val="cs-CZ"/>
              </w:rPr>
              <w:tab/>
              <w:t>11</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fx1jood0ned6">
            <w:r w:rsidR="00732D4E" w:rsidRPr="003D65CC">
              <w:rPr>
                <w:rFonts w:ascii="Athiti" w:eastAsia="Athiti" w:hAnsi="Athiti" w:cs="Athiti"/>
                <w:color w:val="000000"/>
                <w:sz w:val="22"/>
                <w:szCs w:val="22"/>
                <w:lang w:val="cs-CZ"/>
              </w:rPr>
              <w:t>4.5. Riziko vyřazení aktiva z nabídky (delistingu)</w:t>
            </w:r>
            <w:r w:rsidR="00732D4E" w:rsidRPr="003D65CC">
              <w:rPr>
                <w:rFonts w:ascii="Athiti" w:eastAsia="Athiti" w:hAnsi="Athiti" w:cs="Athiti"/>
                <w:color w:val="000000"/>
                <w:sz w:val="22"/>
                <w:szCs w:val="22"/>
                <w:lang w:val="cs-CZ"/>
              </w:rPr>
              <w:tab/>
              <w:t>12</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ug175tkdmjnn">
            <w:r w:rsidR="00732D4E" w:rsidRPr="003D65CC">
              <w:rPr>
                <w:rFonts w:ascii="Athiti" w:eastAsia="Athiti" w:hAnsi="Athiti" w:cs="Athiti"/>
                <w:color w:val="000000"/>
                <w:sz w:val="22"/>
                <w:szCs w:val="22"/>
                <w:lang w:val="cs-CZ"/>
              </w:rPr>
              <w:t>4.6. Zmírnění rizik a doporučení pro klienty</w:t>
            </w:r>
            <w:r w:rsidR="00732D4E" w:rsidRPr="003D65CC">
              <w:rPr>
                <w:rFonts w:ascii="Athiti" w:eastAsia="Athiti" w:hAnsi="Athiti" w:cs="Athiti"/>
                <w:color w:val="000000"/>
                <w:sz w:val="22"/>
                <w:szCs w:val="22"/>
                <w:lang w:val="cs-CZ"/>
              </w:rPr>
              <w:tab/>
              <w:t>12</w:t>
            </w:r>
          </w:hyperlink>
        </w:p>
        <w:p w:rsidR="00732D4E" w:rsidRPr="003D65CC" w:rsidRDefault="00F021DA" w:rsidP="00732D4E">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3n7376iqrrp2">
            <w:r w:rsidR="00732D4E" w:rsidRPr="003D65CC">
              <w:rPr>
                <w:rFonts w:ascii="Athiti" w:eastAsia="Athiti" w:hAnsi="Athiti" w:cs="Athiti"/>
                <w:b/>
                <w:color w:val="000000"/>
                <w:sz w:val="22"/>
                <w:szCs w:val="22"/>
                <w:lang w:val="cs-CZ"/>
              </w:rPr>
              <w:t>5. Revize a změny</w:t>
            </w:r>
            <w:r w:rsidR="00732D4E" w:rsidRPr="003D65CC">
              <w:rPr>
                <w:rFonts w:ascii="Athiti" w:eastAsia="Athiti" w:hAnsi="Athiti" w:cs="Athiti"/>
                <w:b/>
                <w:color w:val="000000"/>
                <w:sz w:val="22"/>
                <w:szCs w:val="22"/>
                <w:lang w:val="cs-CZ"/>
              </w:rPr>
              <w:tab/>
              <w:t>13</w:t>
            </w:r>
          </w:hyperlink>
        </w:p>
        <w:p w:rsidR="00732D4E" w:rsidRPr="003D65CC"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pke0d5gpmw9y">
            <w:r w:rsidR="00732D4E" w:rsidRPr="003D65CC">
              <w:rPr>
                <w:rFonts w:ascii="Athiti" w:eastAsia="Athiti" w:hAnsi="Athiti" w:cs="Athiti"/>
                <w:color w:val="000000"/>
                <w:sz w:val="22"/>
                <w:szCs w:val="22"/>
                <w:lang w:val="cs-CZ"/>
              </w:rPr>
              <w:t>5.1. Revize a aktualizace</w:t>
            </w:r>
            <w:r w:rsidR="00732D4E" w:rsidRPr="003D65CC">
              <w:rPr>
                <w:rFonts w:ascii="Athiti" w:eastAsia="Athiti" w:hAnsi="Athiti" w:cs="Athiti"/>
                <w:color w:val="000000"/>
                <w:sz w:val="22"/>
                <w:szCs w:val="22"/>
                <w:lang w:val="cs-CZ"/>
              </w:rPr>
              <w:tab/>
              <w:t>13</w:t>
            </w:r>
          </w:hyperlink>
        </w:p>
        <w:p w:rsidR="00732D4E" w:rsidRDefault="00F021DA" w:rsidP="00732D4E">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9midj4ta0ga1">
            <w:r w:rsidR="00732D4E" w:rsidRPr="003D65CC">
              <w:rPr>
                <w:rFonts w:ascii="Athiti" w:eastAsia="Athiti" w:hAnsi="Athiti" w:cs="Athiti"/>
                <w:color w:val="000000"/>
                <w:sz w:val="22"/>
                <w:szCs w:val="22"/>
                <w:lang w:val="cs-CZ"/>
              </w:rPr>
              <w:t>5.2. Informování o změnách</w:t>
            </w:r>
            <w:r w:rsidR="00732D4E" w:rsidRPr="003D65CC">
              <w:rPr>
                <w:rFonts w:ascii="Athiti" w:eastAsia="Athiti" w:hAnsi="Athiti" w:cs="Athiti"/>
                <w:color w:val="000000"/>
                <w:sz w:val="22"/>
                <w:szCs w:val="22"/>
                <w:lang w:val="cs-CZ"/>
              </w:rPr>
              <w:tab/>
              <w:t>13</w:t>
            </w:r>
          </w:hyperlink>
          <w:r w:rsidRPr="003D65CC">
            <w:rPr>
              <w:lang w:val="cs-CZ"/>
            </w:rPr>
            <w:fldChar w:fldCharType="end"/>
          </w:r>
        </w:p>
      </w:sdtContent>
    </w:sdt>
    <w:p w:rsidR="00732D4E" w:rsidRDefault="00732D4E" w:rsidP="00732D4E">
      <w:pPr>
        <w:pStyle w:val="normal"/>
        <w:rPr>
          <w:rFonts w:ascii="Athiti" w:eastAsia="Athiti" w:hAnsi="Athiti" w:cs="Athiti"/>
          <w:color w:val="44546A"/>
          <w:sz w:val="32"/>
          <w:szCs w:val="32"/>
        </w:rPr>
      </w:pPr>
      <w:r>
        <w:br w:type="page"/>
      </w:r>
    </w:p>
    <w:p w:rsidR="00732D4E" w:rsidRPr="003D65CC" w:rsidRDefault="00732D4E" w:rsidP="00732D4E">
      <w:pPr>
        <w:pStyle w:val="Nadpis1"/>
        <w:keepNext w:val="0"/>
        <w:keepLines w:val="0"/>
        <w:widowControl w:val="0"/>
        <w:spacing w:before="0" w:after="0" w:line="240" w:lineRule="auto"/>
        <w:ind w:left="392" w:hanging="293"/>
        <w:rPr>
          <w:rFonts w:ascii="Athiti" w:eastAsia="Athiti" w:hAnsi="Athiti" w:cs="Athiti"/>
          <w:sz w:val="28"/>
          <w:szCs w:val="28"/>
          <w:lang w:val="cs-CZ"/>
        </w:rPr>
      </w:pPr>
      <w:bookmarkStart w:id="1" w:name="_heading=h.9rjii7rpa9xa" w:colFirst="0" w:colLast="0"/>
      <w:bookmarkEnd w:id="1"/>
      <w:r w:rsidRPr="003D65CC">
        <w:rPr>
          <w:rFonts w:ascii="Athiti" w:eastAsia="Athiti" w:hAnsi="Athiti" w:cs="Athiti"/>
          <w:sz w:val="28"/>
          <w:szCs w:val="28"/>
          <w:lang w:val="cs-CZ"/>
        </w:rPr>
        <w:lastRenderedPageBreak/>
        <w:t>Pojmy a definice</w:t>
      </w:r>
    </w:p>
    <w:p w:rsidR="00732D4E" w:rsidRPr="003D65CC" w:rsidRDefault="00732D4E" w:rsidP="00732D4E">
      <w:pPr>
        <w:pStyle w:val="normal"/>
        <w:widowControl w:val="0"/>
        <w:spacing w:before="108" w:after="0" w:line="240" w:lineRule="auto"/>
        <w:jc w:val="left"/>
        <w:rPr>
          <w:rFonts w:ascii="Athiti" w:eastAsia="Athiti" w:hAnsi="Athiti" w:cs="Athiti"/>
          <w:sz w:val="22"/>
          <w:szCs w:val="22"/>
          <w:lang w:val="cs-CZ"/>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844"/>
        <w:gridCol w:w="6516"/>
      </w:tblGrid>
      <w:tr w:rsidR="00732D4E" w:rsidRPr="003D65CC" w:rsidTr="00FE0D5D">
        <w:trPr>
          <w:cantSplit/>
          <w:trHeight w:val="51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center"/>
              <w:rPr>
                <w:rFonts w:ascii="Athiti" w:eastAsia="Athiti" w:hAnsi="Athiti" w:cs="Athiti"/>
                <w:sz w:val="22"/>
                <w:szCs w:val="22"/>
                <w:lang w:val="cs-CZ"/>
              </w:rPr>
            </w:pPr>
            <w:r w:rsidRPr="003D65CC">
              <w:rPr>
                <w:rFonts w:ascii="Athiti" w:eastAsia="Athiti" w:hAnsi="Athiti" w:cs="Athiti"/>
                <w:b/>
                <w:sz w:val="22"/>
                <w:szCs w:val="22"/>
                <w:lang w:val="cs-CZ"/>
              </w:rPr>
              <w:t>Pojem</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center"/>
              <w:rPr>
                <w:rFonts w:ascii="Athiti" w:eastAsia="Athiti" w:hAnsi="Athiti" w:cs="Athiti"/>
                <w:sz w:val="22"/>
                <w:szCs w:val="22"/>
                <w:lang w:val="cs-CZ"/>
              </w:rPr>
            </w:pPr>
            <w:r w:rsidRPr="003D65CC">
              <w:rPr>
                <w:rFonts w:ascii="Athiti" w:eastAsia="Athiti" w:hAnsi="Athiti" w:cs="Athiti"/>
                <w:b/>
                <w:sz w:val="22"/>
                <w:szCs w:val="22"/>
                <w:lang w:val="cs-CZ"/>
              </w:rPr>
              <w:t>Definice</w:t>
            </w:r>
          </w:p>
        </w:tc>
      </w:tr>
      <w:tr w:rsidR="00732D4E" w:rsidRPr="003D65CC" w:rsidTr="00FE0D5D">
        <w:trPr>
          <w:cantSplit/>
          <w:trHeight w:val="51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Pokyn</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Instrukce klienta k nákupu nebo prodeji kryptoaktiva.</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Kryptoaktivum</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Digitální aktivum, které je předmětem obchodování, např. token nebo kryptoměna.</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RTO (Reception and Transmission...)</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Přijetí a předání pokynu za účelem jeho provedení prostřednictvím třetí strany.</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Nejlepší způsob provedení</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Zajištění co nejvýhodnějšího výsledku pro klienta při obchodování.</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Limitní pokyn</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Pokyn, který bude proveden pouze za předem stanovenou cenu nebo lepší.</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Auditní záznam</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Zaznamenaná data o pokynech sloužící k ověření a kontrole souladu.</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SLA (Service Level Agreement)</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Smluvně definované podmínky úrovně poskytovaných služeb.</w:t>
            </w:r>
          </w:p>
        </w:tc>
      </w:tr>
      <w:tr w:rsidR="00732D4E" w:rsidRPr="003D65CC" w:rsidTr="00FE0D5D">
        <w:trPr>
          <w:cantSplit/>
          <w:trHeight w:val="51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Delisting</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Vyřazení kryptoaktiva z nabídky obchodní platformy.</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MiCA</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Nařízení Evropského parlamentu a Rady (EU) 2023/1114 o trzích s kryptoaktivy.</w:t>
            </w:r>
          </w:p>
        </w:tc>
      </w:tr>
      <w:tr w:rsidR="00732D4E" w:rsidRPr="003D65CC" w:rsidTr="00FE0D5D">
        <w:trPr>
          <w:cantSplit/>
          <w:trHeight w:val="51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Politika</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Tento dokument – Politika zpracování pokynů.</w:t>
            </w:r>
          </w:p>
        </w:tc>
      </w:tr>
      <w:tr w:rsidR="00732D4E" w:rsidRPr="003D65CC" w:rsidTr="00FE0D5D">
        <w:trPr>
          <w:cantSplit/>
          <w:trHeight w:val="51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Provedení pokynu</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Proces realizace obchodního pokynu klienta.</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Likvidita</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Schopnost trhu absorbovat objem obchodů bez výrazného ovlivnění ceny.</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Volatilita</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Kolísavost ceny kryptoaktiv, která ovlivňuje stabilitu obchodování.</w:t>
            </w:r>
          </w:p>
        </w:tc>
      </w:tr>
      <w:tr w:rsidR="00732D4E" w:rsidRPr="003D65CC" w:rsidTr="00FE0D5D">
        <w:trPr>
          <w:cantSplit/>
          <w:trHeight w:val="51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Dvoufaktorová autentizace</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Bezpečnostní prvek zvyšující ochranu uživatelského účtu.</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lastRenderedPageBreak/>
              <w:t>API</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Aplikační rozhraní, kterým společnost poskytuje přístup k systémům a datům pro automatizaci obchodování.</w:t>
            </w:r>
          </w:p>
        </w:tc>
      </w:tr>
      <w:tr w:rsidR="00732D4E" w:rsidRPr="003D65CC" w:rsidTr="00FE0D5D">
        <w:trPr>
          <w:cantSplit/>
          <w:trHeight w:val="51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Záznam o vypořádání</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Dokumentace potvrzující úspěšné vypořádání transakce.</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Hard fork</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Zásadní změna protokolu blockchainu vedoucí k vytvoření nové větve řetězce.</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Wash trading</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Zakázaná praktika – umělé zvyšování objemu obchodováním se sebou samým.</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Spoofing</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Zadávání pokynů bez úmyslu je provést, za účelem manipulace s trhem.</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Layering</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Vrstvení falešných pokynů k vytvoření falešného dojmu o poptávce nebo nabídce.</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Regulační orgány</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Instituce jako ČNB nebo ESMA dohlížející na dodržování finančních předpisů.</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Transakční limit</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Předem stanovený maximální objem nebo hodnota obchodů klienta.</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Zabezpečené úložiště</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Hardwarové nebo softwarové řešení pro bezpečné uchovávání kryptoaktiv.</w:t>
            </w:r>
          </w:p>
        </w:tc>
      </w:tr>
      <w:tr w:rsidR="00732D4E" w:rsidRPr="003D65CC" w:rsidTr="00FE0D5D">
        <w:trPr>
          <w:cantSplit/>
          <w:trHeight w:val="785"/>
          <w:tblHeader/>
        </w:trPr>
        <w:tc>
          <w:tcPr>
            <w:tcW w:w="28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b/>
                <w:sz w:val="22"/>
                <w:szCs w:val="22"/>
                <w:lang w:val="cs-CZ"/>
              </w:rPr>
            </w:pPr>
            <w:r w:rsidRPr="003D65CC">
              <w:rPr>
                <w:rFonts w:ascii="Athiti" w:eastAsia="Athiti" w:hAnsi="Athiti" w:cs="Athiti"/>
                <w:b/>
                <w:sz w:val="22"/>
                <w:szCs w:val="22"/>
                <w:lang w:val="cs-CZ"/>
              </w:rPr>
              <w:t>Klient</w:t>
            </w:r>
          </w:p>
        </w:tc>
        <w:tc>
          <w:tcPr>
            <w:tcW w:w="6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32D4E" w:rsidRPr="003D65CC" w:rsidRDefault="00732D4E" w:rsidP="00FE0D5D">
            <w:pPr>
              <w:pStyle w:val="normal"/>
              <w:widowControl w:val="0"/>
              <w:spacing w:before="108"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Osoba, která uzavřela smlouvu se společností za účelem obchodování s kryptoaktivy.</w:t>
            </w:r>
          </w:p>
        </w:tc>
      </w:tr>
    </w:tbl>
    <w:p w:rsidR="00732D4E" w:rsidRPr="003D65CC" w:rsidRDefault="00732D4E" w:rsidP="00732D4E">
      <w:pPr>
        <w:pStyle w:val="Nadpis1"/>
        <w:widowControl w:val="0"/>
        <w:spacing w:before="240" w:line="256" w:lineRule="auto"/>
        <w:rPr>
          <w:rFonts w:ascii="Athiti" w:eastAsia="Athiti" w:hAnsi="Athiti" w:cs="Athiti"/>
          <w:b w:val="0"/>
          <w:sz w:val="40"/>
          <w:szCs w:val="40"/>
          <w:lang w:val="cs-CZ"/>
        </w:rPr>
      </w:pPr>
      <w:bookmarkStart w:id="2" w:name="_heading=h.63efu7oo6rte" w:colFirst="0" w:colLast="0"/>
      <w:bookmarkEnd w:id="2"/>
      <w:r w:rsidRPr="003D65CC">
        <w:rPr>
          <w:rFonts w:ascii="Athiti" w:eastAsia="Athiti" w:hAnsi="Athiti" w:cs="Athiti"/>
          <w:b w:val="0"/>
          <w:sz w:val="40"/>
          <w:szCs w:val="40"/>
          <w:lang w:val="cs-CZ"/>
        </w:rPr>
        <w:t>1. Úvod</w:t>
      </w:r>
    </w:p>
    <w:p w:rsidR="00732D4E" w:rsidRPr="003D65CC" w:rsidRDefault="00732D4E" w:rsidP="00732D4E">
      <w:pPr>
        <w:pStyle w:val="normal"/>
        <w:widowControl w:val="0"/>
        <w:spacing w:before="240" w:after="240" w:line="256" w:lineRule="auto"/>
        <w:rPr>
          <w:rFonts w:ascii="Athiti" w:eastAsia="Athiti" w:hAnsi="Athiti" w:cs="Athiti"/>
          <w:sz w:val="22"/>
          <w:szCs w:val="22"/>
          <w:lang w:val="cs-CZ"/>
        </w:rPr>
      </w:pPr>
      <w:r w:rsidRPr="003D65CC">
        <w:rPr>
          <w:rFonts w:ascii="Athiti" w:eastAsia="Athiti" w:hAnsi="Athiti" w:cs="Athiti"/>
          <w:sz w:val="22"/>
          <w:szCs w:val="22"/>
          <w:lang w:val="cs-CZ"/>
        </w:rPr>
        <w:t>Tato Politika zpracování pokynů a zajištění nejlepšího způsobu provedení (dále jen „Politika“) představuje závazný interní dokument společnosti (dále jen „společnost“), který stanoví pravidla, zásady a procesy vztahující se k přijetí, přenosu a provedení pokynů klientů v souvislosti s poskytováním služeb souvisejících s kryptoaktivy.</w:t>
      </w:r>
    </w:p>
    <w:p w:rsidR="00732D4E" w:rsidRPr="003D65CC" w:rsidRDefault="00732D4E" w:rsidP="00732D4E">
      <w:pPr>
        <w:pStyle w:val="normal"/>
        <w:widowControl w:val="0"/>
        <w:spacing w:before="240" w:after="240" w:line="256" w:lineRule="auto"/>
        <w:rPr>
          <w:rFonts w:ascii="Athiti" w:eastAsia="Athiti" w:hAnsi="Athiti" w:cs="Athiti"/>
          <w:sz w:val="22"/>
          <w:szCs w:val="22"/>
          <w:lang w:val="cs-CZ"/>
        </w:rPr>
      </w:pPr>
      <w:r w:rsidRPr="003D65CC">
        <w:rPr>
          <w:rFonts w:ascii="Athiti" w:eastAsia="Athiti" w:hAnsi="Athiti" w:cs="Athiti"/>
          <w:sz w:val="22"/>
          <w:szCs w:val="22"/>
          <w:lang w:val="cs-CZ"/>
        </w:rPr>
        <w:t>Hlavním účelem této Politiky je zajistit, aby společnost při zpracování pokynů svých klientů dodržovala povinnost jednat čestně, spravedlivě, profesionálně a v nejlepším zájmu svých klientů, a to v souladu s požadavky stanovenými Nařízením Evropského parlamentu a Rady (EU) 2023/1114 o trzích s kryptoaktivy (MiCA), zejména s ohledem na zásadu nejlepšího způsobu provedení pokynu.</w:t>
      </w:r>
    </w:p>
    <w:p w:rsidR="00732D4E" w:rsidRPr="003D65CC" w:rsidRDefault="00732D4E" w:rsidP="00732D4E">
      <w:pPr>
        <w:pStyle w:val="normal"/>
        <w:widowControl w:val="0"/>
        <w:spacing w:before="240" w:after="240" w:line="256" w:lineRule="auto"/>
        <w:rPr>
          <w:rFonts w:ascii="Athiti" w:eastAsia="Athiti" w:hAnsi="Athiti" w:cs="Athiti"/>
          <w:sz w:val="22"/>
          <w:szCs w:val="22"/>
          <w:lang w:val="cs-CZ"/>
        </w:rPr>
      </w:pPr>
      <w:r w:rsidRPr="003D65CC">
        <w:rPr>
          <w:rFonts w:ascii="Athiti" w:eastAsia="Athiti" w:hAnsi="Athiti" w:cs="Athiti"/>
          <w:sz w:val="22"/>
          <w:szCs w:val="22"/>
          <w:lang w:val="cs-CZ"/>
        </w:rPr>
        <w:t xml:space="preserve">Politika byla vypracována s ohledem na povahu, rozsah a složitost služeb poskytovaných společností a zohledňuje specifika obchodování s kryptoaktivy, jakož i relevantní tržní standardy a technické podmínky. Dokument rovněž reflektuje technologickou infrastrukturu, obchodní model společnosti, vztahy se třetími </w:t>
      </w:r>
      <w:r w:rsidRPr="003D65CC">
        <w:rPr>
          <w:rFonts w:ascii="Athiti" w:eastAsia="Athiti" w:hAnsi="Athiti" w:cs="Athiti"/>
          <w:sz w:val="22"/>
          <w:szCs w:val="22"/>
          <w:lang w:val="cs-CZ"/>
        </w:rPr>
        <w:lastRenderedPageBreak/>
        <w:t>stranami a rizikový profil příslušných služeb.</w:t>
      </w:r>
    </w:p>
    <w:p w:rsidR="00732D4E" w:rsidRPr="003D65CC" w:rsidRDefault="00732D4E" w:rsidP="00732D4E">
      <w:pPr>
        <w:pStyle w:val="normal"/>
        <w:widowControl w:val="0"/>
        <w:spacing w:before="240" w:after="240" w:line="256" w:lineRule="auto"/>
        <w:rPr>
          <w:rFonts w:ascii="Athiti" w:eastAsia="Athiti" w:hAnsi="Athiti" w:cs="Athiti"/>
          <w:sz w:val="22"/>
          <w:szCs w:val="22"/>
          <w:lang w:val="cs-CZ"/>
        </w:rPr>
      </w:pPr>
      <w:r w:rsidRPr="003D65CC">
        <w:rPr>
          <w:rFonts w:ascii="Athiti" w:eastAsia="Athiti" w:hAnsi="Athiti" w:cs="Athiti"/>
          <w:sz w:val="22"/>
          <w:szCs w:val="22"/>
          <w:lang w:val="cs-CZ"/>
        </w:rPr>
        <w:t>Tato Politika je závazná pro všechny zaměstnance, zástupce a jiné osoby jednající jménem společnosti, kteří se podílejí na procesu přijímání, přenosu a provedení pokynů klientů. Klienti společnosti jsou zároveň informováni o obsahu této Politiky a jejích zásadách, neboť její naplňování je integrální součástí smluvního vztahu mezi klientem a společností.</w:t>
      </w:r>
    </w:p>
    <w:p w:rsidR="00732D4E" w:rsidRPr="003D65CC" w:rsidRDefault="00732D4E" w:rsidP="00732D4E">
      <w:pPr>
        <w:pStyle w:val="normal"/>
        <w:widowControl w:val="0"/>
        <w:spacing w:before="240" w:after="240" w:line="256" w:lineRule="auto"/>
        <w:rPr>
          <w:rFonts w:ascii="Athiti" w:eastAsia="Athiti" w:hAnsi="Athiti" w:cs="Athiti"/>
          <w:sz w:val="22"/>
          <w:szCs w:val="22"/>
          <w:lang w:val="cs-CZ"/>
        </w:rPr>
      </w:pPr>
      <w:r w:rsidRPr="003D65CC">
        <w:rPr>
          <w:rFonts w:ascii="Athiti" w:eastAsia="Athiti" w:hAnsi="Athiti" w:cs="Athiti"/>
          <w:sz w:val="22"/>
          <w:szCs w:val="22"/>
          <w:lang w:val="cs-CZ"/>
        </w:rPr>
        <w:t>Společnost si je vědoma své odpovědnosti vůči klientům i regulatorním orgánům, a proto zajišťuje pravidelné přezkoumání a aktualizaci této Politiky tak, aby odpovídala aktuálním právním požadavkům, tržním podmínkám a technologickému vývoji v oblasti kryptoaktiv.</w:t>
      </w:r>
    </w:p>
    <w:p w:rsidR="00732D4E" w:rsidRPr="003D65CC" w:rsidRDefault="00732D4E" w:rsidP="00732D4E">
      <w:pPr>
        <w:pStyle w:val="Nadpis2"/>
        <w:widowControl w:val="0"/>
        <w:spacing w:before="240" w:after="240" w:line="256" w:lineRule="auto"/>
        <w:rPr>
          <w:rFonts w:ascii="Athiti" w:eastAsia="Athiti" w:hAnsi="Athiti" w:cs="Athiti"/>
          <w:sz w:val="32"/>
          <w:szCs w:val="32"/>
          <w:lang w:val="cs-CZ"/>
        </w:rPr>
      </w:pPr>
      <w:bookmarkStart w:id="3" w:name="_heading=h.hpwnyhu7n15l" w:colFirst="0" w:colLast="0"/>
      <w:bookmarkEnd w:id="3"/>
      <w:r w:rsidRPr="003D65CC">
        <w:rPr>
          <w:rFonts w:ascii="Athiti" w:eastAsia="Athiti" w:hAnsi="Athiti" w:cs="Athiti"/>
          <w:sz w:val="32"/>
          <w:szCs w:val="32"/>
          <w:lang w:val="cs-CZ"/>
        </w:rPr>
        <w:t>1.1. Rozsah a účel</w:t>
      </w:r>
    </w:p>
    <w:p w:rsidR="00732D4E" w:rsidRPr="003D65CC" w:rsidRDefault="00732D4E" w:rsidP="00732D4E">
      <w:pPr>
        <w:pStyle w:val="normal"/>
        <w:widowControl w:val="0"/>
        <w:spacing w:before="240" w:after="240" w:line="256" w:lineRule="auto"/>
        <w:rPr>
          <w:rFonts w:ascii="Athiti" w:eastAsia="Athiti" w:hAnsi="Athiti" w:cs="Athiti"/>
          <w:sz w:val="22"/>
          <w:szCs w:val="22"/>
          <w:lang w:val="cs-CZ"/>
        </w:rPr>
      </w:pPr>
      <w:r w:rsidRPr="003D65CC">
        <w:rPr>
          <w:rFonts w:ascii="Athiti" w:eastAsia="Athiti" w:hAnsi="Athiti" w:cs="Athiti"/>
          <w:sz w:val="22"/>
          <w:szCs w:val="22"/>
          <w:lang w:val="cs-CZ"/>
        </w:rPr>
        <w:t>Tato Politika se vztahuje na veškeré pokyny související s obchodováním kryptoaktiv, které jsou přijímány od klientů společnosti a následně předávány nebo prováděny jménem těchto klientů, včetně případů, kdy společnost jedná jako prostředník mezi klientem a třetí stranou, například poskytovatelem obchodní platformy.</w:t>
      </w:r>
    </w:p>
    <w:p w:rsidR="00732D4E" w:rsidRPr="003D65CC" w:rsidRDefault="00732D4E" w:rsidP="00732D4E">
      <w:pPr>
        <w:pStyle w:val="normal"/>
        <w:widowControl w:val="0"/>
        <w:spacing w:before="240" w:after="240" w:line="256" w:lineRule="auto"/>
        <w:rPr>
          <w:rFonts w:ascii="Athiti" w:eastAsia="Athiti" w:hAnsi="Athiti" w:cs="Athiti"/>
          <w:sz w:val="22"/>
          <w:szCs w:val="22"/>
          <w:lang w:val="cs-CZ"/>
        </w:rPr>
      </w:pPr>
      <w:r w:rsidRPr="003D65CC">
        <w:rPr>
          <w:rFonts w:ascii="Athiti" w:eastAsia="Athiti" w:hAnsi="Athiti" w:cs="Athiti"/>
          <w:sz w:val="22"/>
          <w:szCs w:val="22"/>
          <w:lang w:val="cs-CZ"/>
        </w:rPr>
        <w:t>Konkrétně tato Politika upravuje:</w:t>
      </w:r>
    </w:p>
    <w:p w:rsidR="00732D4E" w:rsidRPr="003D65CC" w:rsidRDefault="00732D4E" w:rsidP="00732D4E">
      <w:pPr>
        <w:pStyle w:val="normal"/>
        <w:widowControl w:val="0"/>
        <w:numPr>
          <w:ilvl w:val="0"/>
          <w:numId w:val="2"/>
        </w:numPr>
        <w:spacing w:before="240" w:after="0" w:line="256" w:lineRule="auto"/>
        <w:jc w:val="left"/>
        <w:rPr>
          <w:rFonts w:ascii="Athiti" w:eastAsia="Athiti" w:hAnsi="Athiti" w:cs="Athiti"/>
          <w:sz w:val="22"/>
          <w:szCs w:val="22"/>
          <w:lang w:val="cs-CZ"/>
        </w:rPr>
      </w:pPr>
      <w:r w:rsidRPr="003D65CC">
        <w:rPr>
          <w:rFonts w:ascii="Athiti" w:eastAsia="Athiti" w:hAnsi="Athiti" w:cs="Athiti"/>
          <w:sz w:val="22"/>
          <w:szCs w:val="22"/>
          <w:lang w:val="cs-CZ"/>
        </w:rPr>
        <w:t>Zásady a procesy přijímání a předávání pokynů k transakcím s kryptoaktivy (tzv. „Reception and Transmission of Orders“ – RTO);</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
        </w:numPr>
        <w:spacing w:after="0" w:line="256" w:lineRule="auto"/>
        <w:jc w:val="left"/>
        <w:rPr>
          <w:rFonts w:ascii="Athiti" w:eastAsia="Athiti" w:hAnsi="Athiti" w:cs="Athiti"/>
          <w:sz w:val="22"/>
          <w:szCs w:val="22"/>
          <w:lang w:val="cs-CZ"/>
        </w:rPr>
      </w:pPr>
      <w:r w:rsidRPr="003D65CC">
        <w:rPr>
          <w:rFonts w:ascii="Athiti" w:eastAsia="Athiti" w:hAnsi="Athiti" w:cs="Athiti"/>
          <w:sz w:val="22"/>
          <w:szCs w:val="22"/>
          <w:lang w:val="cs-CZ"/>
        </w:rPr>
        <w:t>Zásady a procesy přímého provádění pokynů jménem klienta;</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
        </w:numPr>
        <w:spacing w:after="0" w:line="256" w:lineRule="auto"/>
        <w:jc w:val="left"/>
        <w:rPr>
          <w:rFonts w:ascii="Athiti" w:eastAsia="Athiti" w:hAnsi="Athiti" w:cs="Athiti"/>
          <w:sz w:val="22"/>
          <w:szCs w:val="22"/>
          <w:lang w:val="cs-CZ"/>
        </w:rPr>
      </w:pPr>
      <w:r w:rsidRPr="003D65CC">
        <w:rPr>
          <w:rFonts w:ascii="Athiti" w:eastAsia="Athiti" w:hAnsi="Athiti" w:cs="Athiti"/>
          <w:sz w:val="22"/>
          <w:szCs w:val="22"/>
          <w:lang w:val="cs-CZ"/>
        </w:rPr>
        <w:t>Kritéria hodnocení nejlepšího způsobu provedení, včetně ceny, rychlosti, pravděpodobnosti provedení a vypořádání, velikosti pokynu a dalších faktorů;</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
        </w:numPr>
        <w:spacing w:after="0" w:line="256" w:lineRule="auto"/>
        <w:jc w:val="left"/>
        <w:rPr>
          <w:rFonts w:ascii="Athiti" w:eastAsia="Athiti" w:hAnsi="Athiti" w:cs="Athiti"/>
          <w:sz w:val="22"/>
          <w:szCs w:val="22"/>
          <w:lang w:val="cs-CZ"/>
        </w:rPr>
      </w:pPr>
      <w:r w:rsidRPr="003D65CC">
        <w:rPr>
          <w:rFonts w:ascii="Athiti" w:eastAsia="Athiti" w:hAnsi="Athiti" w:cs="Athiti"/>
          <w:sz w:val="22"/>
          <w:szCs w:val="22"/>
          <w:lang w:val="cs-CZ"/>
        </w:rPr>
        <w:t>Požadavky na uchovávání záznamů, transparentnost a komunikaci s klientem;</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
        </w:numPr>
        <w:spacing w:after="0" w:line="256" w:lineRule="auto"/>
        <w:jc w:val="left"/>
        <w:rPr>
          <w:rFonts w:ascii="Athiti" w:eastAsia="Athiti" w:hAnsi="Athiti" w:cs="Athiti"/>
          <w:sz w:val="22"/>
          <w:szCs w:val="22"/>
          <w:lang w:val="cs-CZ"/>
        </w:rPr>
      </w:pPr>
      <w:r w:rsidRPr="003D65CC">
        <w:rPr>
          <w:rFonts w:ascii="Athiti" w:eastAsia="Athiti" w:hAnsi="Athiti" w:cs="Athiti"/>
          <w:sz w:val="22"/>
          <w:szCs w:val="22"/>
          <w:lang w:val="cs-CZ"/>
        </w:rPr>
        <w:t>Opatření na ochranu integrity trhu a prevenci manipulace;</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
        </w:numPr>
        <w:spacing w:after="240" w:line="256" w:lineRule="auto"/>
        <w:jc w:val="left"/>
        <w:rPr>
          <w:rFonts w:ascii="Athiti" w:eastAsia="Athiti" w:hAnsi="Athiti" w:cs="Athiti"/>
          <w:sz w:val="22"/>
          <w:szCs w:val="22"/>
          <w:lang w:val="cs-CZ"/>
        </w:rPr>
      </w:pPr>
      <w:r w:rsidRPr="003D65CC">
        <w:rPr>
          <w:rFonts w:ascii="Athiti" w:eastAsia="Athiti" w:hAnsi="Athiti" w:cs="Athiti"/>
          <w:sz w:val="22"/>
          <w:szCs w:val="22"/>
          <w:lang w:val="cs-CZ"/>
        </w:rPr>
        <w:t>Interní kontrolní mechanismy zajišťující dodržování zásady nejlepšího provedení.</w:t>
      </w:r>
      <w:r w:rsidRPr="003D65CC">
        <w:rPr>
          <w:rFonts w:ascii="Athiti" w:eastAsia="Athiti" w:hAnsi="Athiti" w:cs="Athiti"/>
          <w:sz w:val="22"/>
          <w:szCs w:val="22"/>
          <w:lang w:val="cs-CZ"/>
        </w:rPr>
        <w:br/>
      </w:r>
    </w:p>
    <w:p w:rsidR="00732D4E" w:rsidRPr="003D65CC" w:rsidRDefault="00732D4E" w:rsidP="00732D4E">
      <w:pPr>
        <w:pStyle w:val="normal"/>
        <w:widowControl w:val="0"/>
        <w:spacing w:before="240" w:after="240" w:line="256" w:lineRule="auto"/>
        <w:rPr>
          <w:rFonts w:ascii="Athiti" w:eastAsia="Athiti" w:hAnsi="Athiti" w:cs="Athiti"/>
          <w:sz w:val="22"/>
          <w:szCs w:val="22"/>
          <w:lang w:val="cs-CZ"/>
        </w:rPr>
      </w:pPr>
      <w:r w:rsidRPr="003D65CC">
        <w:rPr>
          <w:rFonts w:ascii="Athiti" w:eastAsia="Athiti" w:hAnsi="Athiti" w:cs="Athiti"/>
          <w:sz w:val="22"/>
          <w:szCs w:val="22"/>
          <w:lang w:val="cs-CZ"/>
        </w:rPr>
        <w:t>Cílem Politiky je zavést systematický a konzistentní rámec, jehož prostřednictvím bude společnost zajišťovat, že každý pokyn klienta bude zpracován způsobem, který maximalizuje pravděpodobnost dosažení co nejvýhodnějšího výsledku pro klienta, a zároveň minimalizuje provozní, právní a reputační rizika.</w:t>
      </w:r>
    </w:p>
    <w:p w:rsidR="00732D4E" w:rsidRPr="003D65CC" w:rsidRDefault="00732D4E" w:rsidP="00732D4E">
      <w:pPr>
        <w:pStyle w:val="normal"/>
        <w:widowControl w:val="0"/>
        <w:spacing w:before="240" w:after="240" w:line="256" w:lineRule="auto"/>
        <w:rPr>
          <w:rFonts w:ascii="Athiti" w:eastAsia="Athiti" w:hAnsi="Athiti" w:cs="Athiti"/>
          <w:sz w:val="22"/>
          <w:szCs w:val="22"/>
          <w:lang w:val="cs-CZ"/>
        </w:rPr>
      </w:pPr>
      <w:r w:rsidRPr="003D65CC">
        <w:rPr>
          <w:rFonts w:ascii="Athiti" w:eastAsia="Athiti" w:hAnsi="Athiti" w:cs="Athiti"/>
          <w:sz w:val="22"/>
          <w:szCs w:val="22"/>
          <w:lang w:val="cs-CZ"/>
        </w:rPr>
        <w:t>Politika vychází z regulatorních očekávání v oblasti služeb spojených s kryptoaktivy, přičemž respektuje rovněž obecné principy investor protection (ochrana investorů), které jsou součástí evropské legislativy v oblasti finančních trhů. Společnost si je vědoma, že i když na trhu s kryptoaktivy mohou chybět některé tradiční záruky jako u regulovaných investičních nástrojů, zásady transparentnosti a nejlepšího způsobu provedení musí být dodržovány s neměnnou pečlivostí a důsledností.</w:t>
      </w:r>
    </w:p>
    <w:p w:rsidR="00732D4E" w:rsidRPr="003D65CC" w:rsidRDefault="00732D4E" w:rsidP="00732D4E">
      <w:pPr>
        <w:pStyle w:val="Nadpis1"/>
        <w:keepNext w:val="0"/>
        <w:keepLines w:val="0"/>
        <w:widowControl w:val="0"/>
        <w:tabs>
          <w:tab w:val="left" w:pos="727"/>
        </w:tabs>
        <w:spacing w:before="280" w:after="80" w:line="254" w:lineRule="auto"/>
        <w:rPr>
          <w:rFonts w:ascii="Athiti" w:eastAsia="Athiti" w:hAnsi="Athiti" w:cs="Athiti"/>
          <w:lang w:val="cs-CZ"/>
        </w:rPr>
      </w:pPr>
      <w:bookmarkStart w:id="4" w:name="_heading=h.o064n1n1q2wt" w:colFirst="0" w:colLast="0"/>
      <w:bookmarkEnd w:id="4"/>
      <w:r w:rsidRPr="003D65CC">
        <w:rPr>
          <w:rFonts w:ascii="Athiti" w:eastAsia="Athiti" w:hAnsi="Athiti" w:cs="Athiti"/>
          <w:lang w:val="cs-CZ"/>
        </w:rPr>
        <w:t>2. Pokyny</w:t>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Tato část Politiky upravuje podrobný proces přijímání, evidence, zpracování a provádění pokynů klientů, a to včetně technických, provozních a bezpečnostních aspektů celého cyklu nakládání s pokyny. Společnost tímto zajišťuje maximální úroveň transparentnosti, sledovatelnosti, ochrany integrity trhu a rovného přístupu všech klientů k obchodní infrastruktuře.</w:t>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lastRenderedPageBreak/>
        <w:t>Společnost věnuje zvláštní pozornost přesnosti zaznamenaných údajů, zabezpečení systémů, zabránění neoprávněnému přístupu a zajištění souladu s platnými právními a regulatorními požadavky.</w:t>
      </w:r>
    </w:p>
    <w:p w:rsidR="00732D4E" w:rsidRPr="003D65CC" w:rsidRDefault="00732D4E" w:rsidP="00732D4E">
      <w:pPr>
        <w:pStyle w:val="Nadpis2"/>
        <w:keepNext w:val="0"/>
        <w:keepLines w:val="0"/>
        <w:widowControl w:val="0"/>
        <w:tabs>
          <w:tab w:val="left" w:pos="727"/>
        </w:tabs>
        <w:spacing w:before="280" w:after="80" w:line="254" w:lineRule="auto"/>
        <w:rPr>
          <w:rFonts w:ascii="Athiti" w:eastAsia="Athiti" w:hAnsi="Athiti" w:cs="Athiti"/>
          <w:lang w:val="cs-CZ"/>
        </w:rPr>
      </w:pPr>
      <w:bookmarkStart w:id="5" w:name="_heading=h.7eez5x6q8wvd" w:colFirst="0" w:colLast="0"/>
      <w:bookmarkEnd w:id="5"/>
      <w:r w:rsidRPr="003D65CC">
        <w:rPr>
          <w:rFonts w:ascii="Athiti" w:eastAsia="Athiti" w:hAnsi="Athiti" w:cs="Athiti"/>
          <w:lang w:val="cs-CZ"/>
        </w:rPr>
        <w:t>2.1. Zadávání pokynů a automatická registrace</w:t>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Klienti společnosti mohou zadávat pokyny výhradně prostřednictvím elektronického obchodního systému, který je provozován společností nebo výslovně určenými technologickými partnery. Mezi podporované způsoby podání pokynu patří:</w:t>
      </w:r>
    </w:p>
    <w:p w:rsidR="00732D4E" w:rsidRPr="003D65CC" w:rsidRDefault="00732D4E" w:rsidP="00732D4E">
      <w:pPr>
        <w:pStyle w:val="normal"/>
        <w:widowControl w:val="0"/>
        <w:numPr>
          <w:ilvl w:val="0"/>
          <w:numId w:val="3"/>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zabezpečené webové rozhraní (např. klientská platforma dostupná po přihlášení);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3"/>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přímé API napojení, pokud to smluvní vztah a technická infrastruktura umožňuje;</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3"/>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případně mobilní aplikace, pokud je oficiálně poskytnuta.</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Elektronický přístup je chráněn víceúrovňovým zabezpečením zahrnujícím:</w:t>
      </w:r>
    </w:p>
    <w:p w:rsidR="00732D4E" w:rsidRPr="003D65CC" w:rsidRDefault="00732D4E" w:rsidP="00732D4E">
      <w:pPr>
        <w:pStyle w:val="normal"/>
        <w:widowControl w:val="0"/>
        <w:numPr>
          <w:ilvl w:val="0"/>
          <w:numId w:val="11"/>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šifrovaný přenos dat (např. HTTPS, TLS),</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1"/>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autentizaci a autorizaci uživatele (např. přihlašovací údaje, dvoufaktorové ověření),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1"/>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sledování anomálií v chování uživatele.</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Každý pokyn je po odeslání klientem automaticky zaznamenán v systému společnosti. Záznam obsahuje:</w:t>
      </w:r>
    </w:p>
    <w:p w:rsidR="00732D4E" w:rsidRPr="003D65CC" w:rsidRDefault="00732D4E" w:rsidP="00732D4E">
      <w:pPr>
        <w:pStyle w:val="normal"/>
        <w:widowControl w:val="0"/>
        <w:numPr>
          <w:ilvl w:val="0"/>
          <w:numId w:val="25"/>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časové razítko (timestamp) synchronizované s oficiálním časovým serverem,</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5"/>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unikátní identifikátor pokynu,</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5"/>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přímé přiřazení k účtu klienta.</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Systém automaticky validuje úplnost a správnost pokynu před jeho přijetím. Neúplné nebo nesmyslné pokyny jsou odmítnuty s příslušným oznámením klientovi.</w:t>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 xml:space="preserve">Společnost z důvodu právní jistoty </w:t>
      </w:r>
      <w:r w:rsidRPr="003D65CC">
        <w:rPr>
          <w:rFonts w:ascii="Athiti" w:eastAsia="Athiti" w:hAnsi="Athiti" w:cs="Athiti"/>
          <w:b/>
          <w:sz w:val="22"/>
          <w:szCs w:val="22"/>
          <w:lang w:val="cs-CZ"/>
        </w:rPr>
        <w:t>nepřijímá pokyny</w:t>
      </w:r>
      <w:r w:rsidRPr="003D65CC">
        <w:rPr>
          <w:rFonts w:ascii="Athiti" w:eastAsia="Athiti" w:hAnsi="Athiti" w:cs="Athiti"/>
          <w:sz w:val="22"/>
          <w:szCs w:val="22"/>
          <w:lang w:val="cs-CZ"/>
        </w:rPr>
        <w:t xml:space="preserve"> zadávané:</w:t>
      </w:r>
    </w:p>
    <w:p w:rsidR="00732D4E" w:rsidRPr="003D65CC" w:rsidRDefault="00732D4E" w:rsidP="00732D4E">
      <w:pPr>
        <w:pStyle w:val="normal"/>
        <w:widowControl w:val="0"/>
        <w:numPr>
          <w:ilvl w:val="0"/>
          <w:numId w:val="24"/>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telefonicky,</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4"/>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e-mailem,</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4"/>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nebo jiným neautorizovaným způsobem.</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Výjimky jsou možné pouze v mimořádných situacích a výhradně na základě písemného souhlasu odpovědné osoby společnosti a za dodržení přísných kontrolních postupů.</w:t>
      </w:r>
    </w:p>
    <w:p w:rsidR="00732D4E" w:rsidRPr="003D65CC" w:rsidRDefault="00732D4E" w:rsidP="00732D4E">
      <w:pPr>
        <w:pStyle w:val="Nadpis2"/>
        <w:keepNext w:val="0"/>
        <w:keepLines w:val="0"/>
        <w:widowControl w:val="0"/>
        <w:tabs>
          <w:tab w:val="left" w:pos="727"/>
        </w:tabs>
        <w:spacing w:before="280" w:after="80" w:line="254" w:lineRule="auto"/>
        <w:rPr>
          <w:rFonts w:ascii="Athiti" w:eastAsia="Athiti" w:hAnsi="Athiti" w:cs="Athiti"/>
          <w:lang w:val="cs-CZ"/>
        </w:rPr>
      </w:pPr>
      <w:bookmarkStart w:id="6" w:name="_heading=h.oyer3fs1co0p" w:colFirst="0" w:colLast="0"/>
      <w:bookmarkEnd w:id="6"/>
      <w:r w:rsidRPr="003D65CC">
        <w:rPr>
          <w:rFonts w:ascii="Athiti" w:eastAsia="Athiti" w:hAnsi="Athiti" w:cs="Athiti"/>
          <w:lang w:val="cs-CZ"/>
        </w:rPr>
        <w:t>2.2. Zaznamenaná data o pokynu</w:t>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Každý pokyn klienta je doplněn o soubor povinných dat, která slouží k jeho identifikaci, sledování a zpětnému ověření. Tato data tvoří tzv. auditní stopu, která musí být dohledatelná a neměnná.</w:t>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lastRenderedPageBreak/>
        <w:t>Minimální rozsah zaznamenaných údajů zahrnuje:</w:t>
      </w:r>
    </w:p>
    <w:p w:rsidR="00732D4E" w:rsidRPr="003D65CC" w:rsidRDefault="00732D4E" w:rsidP="00732D4E">
      <w:pPr>
        <w:pStyle w:val="normal"/>
        <w:widowControl w:val="0"/>
        <w:numPr>
          <w:ilvl w:val="0"/>
          <w:numId w:val="1"/>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datum a přesný čas podání pokynu;</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jednoznačnou identifikaci klienta (ID účtu, uživatel, IP adresa);</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typ kryptoaktiva a jeho jednoznačný identifikátor (např. ISIN, token symbol);</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typ pokynu (např. market, limit, stop-loss);</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směr pokynu (nákup / prodej);</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množství a cenový parametr (např. limitní cena);</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status pokynu (např. přijatý, zamítnutý, provedený, částečně provedený);</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obchodní kanál (web, API, mobilní aplikace, aj.).</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Tato data slouží:</w:t>
      </w:r>
    </w:p>
    <w:p w:rsidR="00732D4E" w:rsidRPr="003D65CC" w:rsidRDefault="00732D4E" w:rsidP="00732D4E">
      <w:pPr>
        <w:pStyle w:val="normal"/>
        <w:widowControl w:val="0"/>
        <w:numPr>
          <w:ilvl w:val="0"/>
          <w:numId w:val="20"/>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k právnímu a regulatornímu doložení procesu zpracování,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0"/>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k interním a externím auditům,</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0"/>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k vyhodnocování provozních incidentů a řešení klientských stížností,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0"/>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k monitoringu a detekci podezřelých obchodních vzorců.</w:t>
      </w:r>
    </w:p>
    <w:p w:rsidR="00732D4E" w:rsidRPr="003D65CC" w:rsidRDefault="00732D4E" w:rsidP="00732D4E">
      <w:pPr>
        <w:pStyle w:val="Nadpis2"/>
        <w:keepNext w:val="0"/>
        <w:keepLines w:val="0"/>
        <w:widowControl w:val="0"/>
        <w:tabs>
          <w:tab w:val="left" w:pos="727"/>
        </w:tabs>
        <w:spacing w:before="280" w:after="80" w:line="254" w:lineRule="auto"/>
        <w:rPr>
          <w:rFonts w:ascii="Athiti" w:eastAsia="Athiti" w:hAnsi="Athiti" w:cs="Athiti"/>
          <w:lang w:val="cs-CZ"/>
        </w:rPr>
      </w:pPr>
      <w:bookmarkStart w:id="7" w:name="_heading=h.vs9mo5sbp5ey" w:colFirst="0" w:colLast="0"/>
      <w:bookmarkEnd w:id="7"/>
      <w:r w:rsidRPr="003D65CC">
        <w:rPr>
          <w:rFonts w:ascii="Athiti" w:eastAsia="Athiti" w:hAnsi="Athiti" w:cs="Athiti"/>
          <w:lang w:val="cs-CZ"/>
        </w:rPr>
        <w:t>2.3. Uchovávání záznamů</w:t>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Společnost zajišťuje elektronické a zabezpečené uchovávání všech údajů o pokynech klientů, a to v souladu s:</w:t>
      </w:r>
    </w:p>
    <w:p w:rsidR="00732D4E" w:rsidRPr="003D65CC" w:rsidRDefault="00732D4E" w:rsidP="00732D4E">
      <w:pPr>
        <w:pStyle w:val="normal"/>
        <w:widowControl w:val="0"/>
        <w:numPr>
          <w:ilvl w:val="0"/>
          <w:numId w:val="14"/>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článkem 61 a násl. nařízení MiCA,</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4"/>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zákonem č. 253/2008 Sb. (AML zákon),</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4"/>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zákonem č. 256/2004 Sb. (ZPKT),</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4"/>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relevantními požadavky orgánů dohledu (např. ČNB, ESMA, FAÚ).</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 xml:space="preserve">Minimální doba uchovávání dat činí </w:t>
      </w:r>
      <w:r w:rsidRPr="003D65CC">
        <w:rPr>
          <w:rFonts w:ascii="Athiti" w:eastAsia="Athiti" w:hAnsi="Athiti" w:cs="Athiti"/>
          <w:b/>
          <w:sz w:val="22"/>
          <w:szCs w:val="22"/>
          <w:lang w:val="cs-CZ"/>
        </w:rPr>
        <w:t>10 let</w:t>
      </w:r>
      <w:r w:rsidRPr="003D65CC">
        <w:rPr>
          <w:rFonts w:ascii="Athiti" w:eastAsia="Athiti" w:hAnsi="Athiti" w:cs="Athiti"/>
          <w:sz w:val="22"/>
          <w:szCs w:val="22"/>
          <w:lang w:val="cs-CZ"/>
        </w:rPr>
        <w:t>, pokud právní předpisy nestanoví jinak. Společnost aplikuje bezpečnostní opatření, která zahrnují:</w:t>
      </w:r>
    </w:p>
    <w:p w:rsidR="00732D4E" w:rsidRPr="003D65CC" w:rsidRDefault="00732D4E" w:rsidP="00732D4E">
      <w:pPr>
        <w:pStyle w:val="normal"/>
        <w:widowControl w:val="0"/>
        <w:numPr>
          <w:ilvl w:val="0"/>
          <w:numId w:val="8"/>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ochranu před neoprávněným přístupem,</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8"/>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šifrování uložených dat,</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8"/>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víceúrovňové zálohování na geograficky oddělených místech,</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8"/>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pravidelné testování obnovitelnosti dat.</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Záznamy musí být kdykoliv dostupné pro účely:</w:t>
      </w:r>
    </w:p>
    <w:p w:rsidR="00732D4E" w:rsidRPr="003D65CC" w:rsidRDefault="00732D4E" w:rsidP="00732D4E">
      <w:pPr>
        <w:pStyle w:val="normal"/>
        <w:widowControl w:val="0"/>
        <w:numPr>
          <w:ilvl w:val="0"/>
          <w:numId w:val="15"/>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regulatorního šetření,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5"/>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interní kontroly,</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5"/>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vedení sporu s klientem nebo třetí stranou.</w:t>
      </w:r>
    </w:p>
    <w:p w:rsidR="00732D4E" w:rsidRPr="003D65CC" w:rsidRDefault="00732D4E" w:rsidP="00732D4E">
      <w:pPr>
        <w:pStyle w:val="Nadpis2"/>
        <w:keepNext w:val="0"/>
        <w:keepLines w:val="0"/>
        <w:widowControl w:val="0"/>
        <w:tabs>
          <w:tab w:val="left" w:pos="727"/>
        </w:tabs>
        <w:spacing w:before="280" w:after="80" w:line="254" w:lineRule="auto"/>
        <w:rPr>
          <w:rFonts w:ascii="Athiti" w:eastAsia="Athiti" w:hAnsi="Athiti" w:cs="Athiti"/>
          <w:lang w:val="cs-CZ"/>
        </w:rPr>
      </w:pPr>
      <w:bookmarkStart w:id="8" w:name="_heading=h.gpam0zbohsdl" w:colFirst="0" w:colLast="0"/>
      <w:bookmarkEnd w:id="8"/>
      <w:r w:rsidRPr="003D65CC">
        <w:rPr>
          <w:rFonts w:ascii="Athiti" w:eastAsia="Athiti" w:hAnsi="Athiti" w:cs="Athiti"/>
          <w:lang w:val="cs-CZ"/>
        </w:rPr>
        <w:t>2.4. Provedení pokynu a ochrana integrity trhu</w:t>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Po úspěšné registraci a validaci je pokyn předán k provedení. Společnost realizuje pokyny:</w:t>
      </w:r>
    </w:p>
    <w:p w:rsidR="00732D4E" w:rsidRPr="003D65CC" w:rsidRDefault="00732D4E" w:rsidP="00732D4E">
      <w:pPr>
        <w:pStyle w:val="normal"/>
        <w:widowControl w:val="0"/>
        <w:numPr>
          <w:ilvl w:val="0"/>
          <w:numId w:val="19"/>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ve vlastních systémech (např. interní párování příkazů),</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9"/>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prostřednictvím externích obchodních platforem (např. OTC desk, burzovní API).</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Provedení pokynu probíhá bez zbytečného odkladu, zpravidla v téměř reálném čase (near real-time). Po provedení dochází k:</w:t>
      </w:r>
    </w:p>
    <w:p w:rsidR="00732D4E" w:rsidRPr="003D65CC" w:rsidRDefault="00732D4E" w:rsidP="00732D4E">
      <w:pPr>
        <w:pStyle w:val="normal"/>
        <w:widowControl w:val="0"/>
        <w:numPr>
          <w:ilvl w:val="0"/>
          <w:numId w:val="16"/>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aktualizaci zůstatků klienta v systému,</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6"/>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vytvoření vypořádacího záznamu,</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6"/>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vystavení potvrzení o úspěšném provedení pokynu.</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Společnost důsledně implementuje mechanismy na ochranu integrity trhu, zejména:</w:t>
      </w:r>
    </w:p>
    <w:p w:rsidR="00732D4E" w:rsidRPr="003D65CC" w:rsidRDefault="00732D4E" w:rsidP="00732D4E">
      <w:pPr>
        <w:pStyle w:val="normal"/>
        <w:widowControl w:val="0"/>
        <w:numPr>
          <w:ilvl w:val="0"/>
          <w:numId w:val="18"/>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b/>
          <w:sz w:val="22"/>
          <w:szCs w:val="22"/>
          <w:lang w:val="cs-CZ"/>
        </w:rPr>
        <w:t>monitoring podezřelého chování</w:t>
      </w:r>
      <w:r w:rsidRPr="003D65CC">
        <w:rPr>
          <w:rFonts w:ascii="Athiti" w:eastAsia="Athiti" w:hAnsi="Athiti" w:cs="Athiti"/>
          <w:sz w:val="22"/>
          <w:szCs w:val="22"/>
          <w:lang w:val="cs-CZ"/>
        </w:rPr>
        <w:t xml:space="preserve"> (wash trading, layering, spoofing),</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8"/>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b/>
          <w:sz w:val="22"/>
          <w:szCs w:val="22"/>
          <w:lang w:val="cs-CZ"/>
        </w:rPr>
        <w:t>sledování objemových a frekvenčních limitů</w:t>
      </w:r>
      <w:r w:rsidRPr="003D65CC">
        <w:rPr>
          <w:rFonts w:ascii="Athiti" w:eastAsia="Athiti" w:hAnsi="Athiti" w:cs="Athiti"/>
          <w:sz w:val="22"/>
          <w:szCs w:val="22"/>
          <w:lang w:val="cs-CZ"/>
        </w:rPr>
        <w:t xml:space="preserve"> obchodování klientů,</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8"/>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b/>
          <w:sz w:val="22"/>
          <w:szCs w:val="22"/>
          <w:lang w:val="cs-CZ"/>
        </w:rPr>
        <w:t>zabránění zneužívání asymetrických informací</w:t>
      </w:r>
      <w:r w:rsidRPr="003D65CC">
        <w:rPr>
          <w:rFonts w:ascii="Athiti" w:eastAsia="Athiti" w:hAnsi="Athiti" w:cs="Athiti"/>
          <w:sz w:val="22"/>
          <w:szCs w:val="22"/>
          <w:lang w:val="cs-CZ"/>
        </w:rPr>
        <w:t xml:space="preserve"> (např. front-running),</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8"/>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b/>
          <w:sz w:val="22"/>
          <w:szCs w:val="22"/>
          <w:lang w:val="cs-CZ"/>
        </w:rPr>
        <w:t>možnost pozastavení systému</w:t>
      </w:r>
      <w:r w:rsidRPr="003D65CC">
        <w:rPr>
          <w:rFonts w:ascii="Athiti" w:eastAsia="Athiti" w:hAnsi="Athiti" w:cs="Athiti"/>
          <w:sz w:val="22"/>
          <w:szCs w:val="22"/>
          <w:lang w:val="cs-CZ"/>
        </w:rPr>
        <w:t xml:space="preserve"> v případě anomální aktivity nebo poruchy likvidity.</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V případě zjištění narušení integrity systému je společnost oprávněna:</w:t>
      </w:r>
    </w:p>
    <w:p w:rsidR="00732D4E" w:rsidRPr="003D65CC" w:rsidRDefault="00732D4E" w:rsidP="00732D4E">
      <w:pPr>
        <w:pStyle w:val="normal"/>
        <w:widowControl w:val="0"/>
        <w:numPr>
          <w:ilvl w:val="0"/>
          <w:numId w:val="13"/>
        </w:numPr>
        <w:tabs>
          <w:tab w:val="left" w:pos="727"/>
        </w:tabs>
        <w:spacing w:before="240"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pokyn neprovést,</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3"/>
        </w:numPr>
        <w:tabs>
          <w:tab w:val="left" w:pos="727"/>
        </w:tabs>
        <w:spacing w:after="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obchod anulovat (v souladu s obchodními podmínkami),</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3"/>
        </w:numPr>
        <w:tabs>
          <w:tab w:val="left" w:pos="727"/>
        </w:tabs>
        <w:spacing w:after="240" w:line="254" w:lineRule="auto"/>
        <w:jc w:val="left"/>
        <w:rPr>
          <w:rFonts w:ascii="Athiti" w:eastAsia="Athiti" w:hAnsi="Athiti" w:cs="Athiti"/>
          <w:sz w:val="22"/>
          <w:szCs w:val="22"/>
          <w:lang w:val="cs-CZ"/>
        </w:rPr>
      </w:pPr>
      <w:r w:rsidRPr="003D65CC">
        <w:rPr>
          <w:rFonts w:ascii="Athiti" w:eastAsia="Athiti" w:hAnsi="Athiti" w:cs="Athiti"/>
          <w:sz w:val="22"/>
          <w:szCs w:val="22"/>
          <w:lang w:val="cs-CZ"/>
        </w:rPr>
        <w:t>incident oznámit regulačnímu orgánu.</w:t>
      </w:r>
    </w:p>
    <w:p w:rsidR="00732D4E" w:rsidRPr="003D65CC" w:rsidRDefault="00732D4E" w:rsidP="00732D4E">
      <w:pPr>
        <w:pStyle w:val="normal"/>
        <w:widowControl w:val="0"/>
        <w:tabs>
          <w:tab w:val="left" w:pos="727"/>
        </w:tabs>
        <w:spacing w:before="240" w:after="240" w:line="254" w:lineRule="auto"/>
        <w:rPr>
          <w:rFonts w:ascii="Athiti" w:eastAsia="Athiti" w:hAnsi="Athiti" w:cs="Athiti"/>
          <w:sz w:val="22"/>
          <w:szCs w:val="22"/>
          <w:lang w:val="cs-CZ"/>
        </w:rPr>
      </w:pPr>
      <w:r w:rsidRPr="003D65CC">
        <w:rPr>
          <w:rFonts w:ascii="Athiti" w:eastAsia="Athiti" w:hAnsi="Athiti" w:cs="Athiti"/>
          <w:sz w:val="22"/>
          <w:szCs w:val="22"/>
          <w:lang w:val="cs-CZ"/>
        </w:rPr>
        <w:t>Cílem těchto opatření je chránit transparentnost obchodního prostředí, zachovat důvěru klientů a předejít destabilizaci trhu.</w:t>
      </w:r>
    </w:p>
    <w:p w:rsidR="00732D4E" w:rsidRPr="003D65CC" w:rsidRDefault="00732D4E" w:rsidP="00732D4E">
      <w:pPr>
        <w:pStyle w:val="Nadpis1"/>
        <w:widowControl w:val="0"/>
        <w:tabs>
          <w:tab w:val="left" w:pos="425"/>
        </w:tabs>
        <w:spacing w:before="240" w:line="240" w:lineRule="auto"/>
        <w:rPr>
          <w:rFonts w:ascii="Athiti" w:eastAsia="Athiti" w:hAnsi="Athiti" w:cs="Athiti"/>
          <w:b w:val="0"/>
          <w:sz w:val="40"/>
          <w:szCs w:val="40"/>
          <w:lang w:val="cs-CZ"/>
        </w:rPr>
      </w:pPr>
      <w:bookmarkStart w:id="9" w:name="_heading=h.e8i62rc8k9if" w:colFirst="0" w:colLast="0"/>
      <w:bookmarkEnd w:id="9"/>
      <w:r w:rsidRPr="003D65CC">
        <w:rPr>
          <w:rFonts w:ascii="Athiti" w:eastAsia="Athiti" w:hAnsi="Athiti" w:cs="Athiti"/>
          <w:b w:val="0"/>
          <w:sz w:val="40"/>
          <w:szCs w:val="40"/>
          <w:lang w:val="cs-CZ"/>
        </w:rPr>
        <w:lastRenderedPageBreak/>
        <w:t>3. Kritéria provedení</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Společnost odpovídá za provedení všech přijatých pokynů a zajišťuje jejich zpracování v souladu se zásadami nejlepšího způsobu provedení, které upřednostňují nejlepší zájmy klientů. Společnost si zachovává plnou kontrolu nad procesem provedení a využívá softwarové řešení pro provádění pokynů kryptoaktiv jménem klientů.</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10" w:name="_heading=h.k9a8dno4kasg" w:colFirst="0" w:colLast="0"/>
      <w:bookmarkEnd w:id="10"/>
      <w:r w:rsidRPr="003D65CC">
        <w:rPr>
          <w:rFonts w:ascii="Athiti" w:eastAsia="Athiti" w:hAnsi="Athiti" w:cs="Athiti"/>
          <w:sz w:val="32"/>
          <w:szCs w:val="32"/>
          <w:lang w:val="cs-CZ"/>
        </w:rPr>
        <w:t>3.1. Cena provedení</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Cena provedení transakce s kryptoaktivem závisí na řadě tržních faktorů, včetně:</w:t>
      </w:r>
    </w:p>
    <w:p w:rsidR="00732D4E" w:rsidRPr="003D65CC" w:rsidRDefault="00732D4E" w:rsidP="00732D4E">
      <w:pPr>
        <w:pStyle w:val="normal"/>
        <w:widowControl w:val="0"/>
        <w:numPr>
          <w:ilvl w:val="0"/>
          <w:numId w:val="9"/>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aktuálních tržních podmínek v době provedení,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9"/>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velikosti pokynu a jeho dopadu na trh,</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9"/>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úrovně likvidity na podporovaných burzách.</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Společnost zajišťuje, že klienti obdrží férovou a konkurenceschopnou cenu provedení tím, že agreguje tržní data v reálném čase z více zdrojů, a tím zajišťuje, že kotované ceny odpovídají aktuálním tržním podmínkám.</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11" w:name="_heading=h.fjxsl5f4vky4" w:colFirst="0" w:colLast="0"/>
      <w:bookmarkEnd w:id="11"/>
      <w:r w:rsidRPr="003D65CC">
        <w:rPr>
          <w:rFonts w:ascii="Athiti" w:eastAsia="Athiti" w:hAnsi="Athiti" w:cs="Athiti"/>
          <w:sz w:val="32"/>
          <w:szCs w:val="32"/>
          <w:lang w:val="cs-CZ"/>
        </w:rPr>
        <w:t>3.2. Rychlost provedení</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Společnost je zavázána k efektivnímu provádění obchodů a nabízí:</w:t>
      </w:r>
    </w:p>
    <w:p w:rsidR="00732D4E" w:rsidRPr="003D65CC" w:rsidRDefault="00732D4E" w:rsidP="00732D4E">
      <w:pPr>
        <w:pStyle w:val="normal"/>
        <w:widowControl w:val="0"/>
        <w:numPr>
          <w:ilvl w:val="0"/>
          <w:numId w:val="4"/>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téměř okamžité vypořádání provedených pokynů,</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4"/>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minimální zpoždění zpracování, které klientům zajišťuje rychlé a transparentní provedení.</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12" w:name="_heading=h.ey7enmw4xh7n" w:colFirst="0" w:colLast="0"/>
      <w:bookmarkEnd w:id="12"/>
      <w:r w:rsidRPr="003D65CC">
        <w:rPr>
          <w:rFonts w:ascii="Athiti" w:eastAsia="Athiti" w:hAnsi="Athiti" w:cs="Athiti"/>
          <w:sz w:val="32"/>
          <w:szCs w:val="32"/>
          <w:lang w:val="cs-CZ"/>
        </w:rPr>
        <w:t>3.3. Pravděpodobnost provedení a vypořádání</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Pravděpodobnost úspěšného provedení a vypořádání pokynu závisí na splnění následujících podmínek:</w:t>
      </w:r>
    </w:p>
    <w:p w:rsidR="00732D4E" w:rsidRPr="003D65CC" w:rsidRDefault="00732D4E" w:rsidP="00732D4E">
      <w:pPr>
        <w:pStyle w:val="normal"/>
        <w:widowControl w:val="0"/>
        <w:numPr>
          <w:ilvl w:val="0"/>
          <w:numId w:val="12"/>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klient má dostatek dostupných aktiv k dokončení transakce,</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2"/>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neexistují omezení účtu, která by bránila provedení obchodu,</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2"/>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tržní podmínky jsou stabilní, bez extrémní volatility nebo narušení likvidity.</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Pokyny zadané prostřednictvím společnosti mají vysokou pravděpodobnost úspěšného provedení a vypořádání, pokud jsou tyto podmínky splněny.</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13" w:name="_heading=h.oipq74vnq8p8" w:colFirst="0" w:colLast="0"/>
      <w:bookmarkEnd w:id="13"/>
      <w:r w:rsidRPr="003D65CC">
        <w:rPr>
          <w:rFonts w:ascii="Athiti" w:eastAsia="Athiti" w:hAnsi="Athiti" w:cs="Athiti"/>
          <w:sz w:val="32"/>
          <w:szCs w:val="32"/>
          <w:lang w:val="cs-CZ"/>
        </w:rPr>
        <w:t>3.4. Zohlednění velikosti pokynu</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Velikost pokynu může ovlivnit tržní cenu i efektivitu provedení.</w:t>
      </w:r>
      <w:r w:rsidRPr="003D65CC">
        <w:rPr>
          <w:rFonts w:ascii="Athiti" w:eastAsia="Athiti" w:hAnsi="Athiti" w:cs="Athiti"/>
          <w:sz w:val="22"/>
          <w:szCs w:val="22"/>
          <w:lang w:val="cs-CZ"/>
        </w:rPr>
        <w:br/>
        <w:t xml:space="preserve"> Společnost nabízí vysoké denní limity transakcí a konkurenceschopné limity pro jednotlivé pokyny.</w:t>
      </w:r>
      <w:r w:rsidRPr="003D65CC">
        <w:rPr>
          <w:rFonts w:ascii="Athiti" w:eastAsia="Athiti" w:hAnsi="Athiti" w:cs="Athiti"/>
          <w:sz w:val="22"/>
          <w:szCs w:val="22"/>
          <w:lang w:val="cs-CZ"/>
        </w:rPr>
        <w:br/>
        <w:t xml:space="preserve"> Klienti jsou informováni o svých specifických limitech transakcí ve společnosti, čímž je zajištěna transparentnost ohledně případných obchodních omezení.</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14" w:name="_heading=h.qiz42dsc6zv4" w:colFirst="0" w:colLast="0"/>
      <w:bookmarkEnd w:id="14"/>
      <w:r w:rsidRPr="003D65CC">
        <w:rPr>
          <w:rFonts w:ascii="Athiti" w:eastAsia="Athiti" w:hAnsi="Athiti" w:cs="Athiti"/>
          <w:sz w:val="32"/>
          <w:szCs w:val="32"/>
          <w:lang w:val="cs-CZ"/>
        </w:rPr>
        <w:lastRenderedPageBreak/>
        <w:t>3.5. Opatření pro integritu trhu a omezení provedení</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Společnost uplatňuje přísná opatření na ochranu integrity trhu a některé pokyny mohou být odmítnuty nebo zpožděny za specifických okolností, včetně:</w:t>
      </w:r>
    </w:p>
    <w:p w:rsidR="00732D4E" w:rsidRPr="003D65CC" w:rsidRDefault="00732D4E" w:rsidP="00732D4E">
      <w:pPr>
        <w:pStyle w:val="normal"/>
        <w:widowControl w:val="0"/>
        <w:numPr>
          <w:ilvl w:val="0"/>
          <w:numId w:val="22"/>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Nedostatečný zůstatek</w:t>
      </w:r>
      <w:r w:rsidRPr="003D65CC">
        <w:rPr>
          <w:rFonts w:ascii="Athiti" w:eastAsia="Athiti" w:hAnsi="Athiti" w:cs="Athiti"/>
          <w:sz w:val="22"/>
          <w:szCs w:val="22"/>
          <w:lang w:val="cs-CZ"/>
        </w:rPr>
        <w:t>: Pokud klient nemá dostatek aktiv pro provedení výměny, pokyn nebude realizován.</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2"/>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Výpadek služby nebo nedostupnost burzy</w:t>
      </w:r>
      <w:r w:rsidRPr="003D65CC">
        <w:rPr>
          <w:rFonts w:ascii="Athiti" w:eastAsia="Athiti" w:hAnsi="Athiti" w:cs="Athiti"/>
          <w:sz w:val="22"/>
          <w:szCs w:val="22"/>
          <w:lang w:val="cs-CZ"/>
        </w:rPr>
        <w:t>: Pokyny nemusí být provedeny v případě technických problémů, plánované údržby nebo výpadků služeb třetích stran využívaných společností.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2"/>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Podezření na nelegální činnost nebo podvod</w:t>
      </w:r>
      <w:r w:rsidRPr="003D65CC">
        <w:rPr>
          <w:rFonts w:ascii="Athiti" w:eastAsia="Athiti" w:hAnsi="Athiti" w:cs="Athiti"/>
          <w:sz w:val="22"/>
          <w:szCs w:val="22"/>
          <w:lang w:val="cs-CZ"/>
        </w:rPr>
        <w:t>: Společnost si vyhrazuje právo odmítnout pokyn, pokud má důvodné podezření na podvodné nebo nelegální jednání (např. pokus o praní špinavých peněz nebo manipulaci s trhem).</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2"/>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Obchodní limity a omezení</w:t>
      </w:r>
      <w:r w:rsidRPr="003D65CC">
        <w:rPr>
          <w:rFonts w:ascii="Athiti" w:eastAsia="Athiti" w:hAnsi="Athiti" w:cs="Athiti"/>
          <w:sz w:val="22"/>
          <w:szCs w:val="22"/>
          <w:lang w:val="cs-CZ"/>
        </w:rPr>
        <w:t>: Pokyny, které překračují předem stanovené limity společnosti týkající se objemu, četnosti nebo celkového objemu obchodů v daném období, mohou být zablokovány.</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15" w:name="_heading=h.kpybszsmnil4" w:colFirst="0" w:colLast="0"/>
      <w:bookmarkEnd w:id="15"/>
      <w:r w:rsidRPr="003D65CC">
        <w:rPr>
          <w:rFonts w:ascii="Athiti" w:eastAsia="Athiti" w:hAnsi="Athiti" w:cs="Athiti"/>
          <w:sz w:val="32"/>
          <w:szCs w:val="32"/>
          <w:lang w:val="cs-CZ"/>
        </w:rPr>
        <w:t>3.6. Závazek k férovému a transparentnímu provedení</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Společnost zajišťuje, že všichni klienti mají přístup k:</w:t>
      </w:r>
    </w:p>
    <w:p w:rsidR="00732D4E" w:rsidRPr="003D65CC" w:rsidRDefault="00732D4E" w:rsidP="00732D4E">
      <w:pPr>
        <w:pStyle w:val="normal"/>
        <w:widowControl w:val="0"/>
        <w:numPr>
          <w:ilvl w:val="0"/>
          <w:numId w:val="21"/>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konzistentně konkurenceschopným cenám provedení,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1"/>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rychlému a spolehlivému vypořádání pokynů,</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1"/>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sz w:val="22"/>
          <w:szCs w:val="22"/>
          <w:lang w:val="cs-CZ"/>
        </w:rPr>
        <w:t>přísnému dodržování zásad souladu, řízení rizik a integrity trhu.</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Prostřednictvím uplatňování zásad nejlepšího provedení, cenové transparentnosti a proaktivního řízení rizik poskytuje společnost bezpečné, efektivní a důvěryhodné obchodní prostředí.</w:t>
      </w:r>
    </w:p>
    <w:p w:rsidR="00732D4E" w:rsidRPr="003D65CC" w:rsidRDefault="00732D4E" w:rsidP="00732D4E">
      <w:pPr>
        <w:pStyle w:val="Nadpis1"/>
        <w:widowControl w:val="0"/>
        <w:tabs>
          <w:tab w:val="left" w:pos="425"/>
        </w:tabs>
        <w:spacing w:before="240" w:line="240" w:lineRule="auto"/>
        <w:rPr>
          <w:rFonts w:ascii="Athiti" w:eastAsia="Athiti" w:hAnsi="Athiti" w:cs="Athiti"/>
          <w:b w:val="0"/>
          <w:sz w:val="40"/>
          <w:szCs w:val="40"/>
          <w:lang w:val="cs-CZ"/>
        </w:rPr>
      </w:pPr>
      <w:bookmarkStart w:id="16" w:name="_heading=h.yl088zx1ueeh" w:colFirst="0" w:colLast="0"/>
      <w:bookmarkEnd w:id="16"/>
      <w:r w:rsidRPr="003D65CC">
        <w:rPr>
          <w:rFonts w:ascii="Athiti" w:eastAsia="Athiti" w:hAnsi="Athiti" w:cs="Athiti"/>
          <w:b w:val="0"/>
          <w:sz w:val="40"/>
          <w:szCs w:val="40"/>
          <w:lang w:val="cs-CZ"/>
        </w:rPr>
        <w:t>4. Obecná rizika</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Obchodování s kryptoaktivy s sebou nese řadu přirozeně se vyskytujících rizik, která mohou ovlivnit hladké provedení pokynů a obecně narušit bezpečné a efektivní fungování obchodního prostředí. Níže uvedené klíčové rizikové faktory mohou negativně ovlivnit průběh a výsledky obchodních operací:</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17" w:name="_heading=h.lvo0e1eklbck" w:colFirst="0" w:colLast="0"/>
      <w:bookmarkEnd w:id="17"/>
      <w:r w:rsidRPr="003D65CC">
        <w:rPr>
          <w:rFonts w:ascii="Athiti" w:eastAsia="Athiti" w:hAnsi="Athiti" w:cs="Athiti"/>
          <w:sz w:val="32"/>
          <w:szCs w:val="32"/>
          <w:lang w:val="cs-CZ"/>
        </w:rPr>
        <w:t>4.1. Výpadky obchodování</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Narušení provádění pokynů může nastat v důsledku:</w:t>
      </w:r>
    </w:p>
    <w:p w:rsidR="00732D4E" w:rsidRPr="003D65CC" w:rsidRDefault="00732D4E" w:rsidP="00732D4E">
      <w:pPr>
        <w:pStyle w:val="normal"/>
        <w:widowControl w:val="0"/>
        <w:numPr>
          <w:ilvl w:val="0"/>
          <w:numId w:val="10"/>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technických poruch</w:t>
      </w:r>
      <w:r w:rsidRPr="003D65CC">
        <w:rPr>
          <w:rFonts w:ascii="Athiti" w:eastAsia="Athiti" w:hAnsi="Athiti" w:cs="Athiti"/>
          <w:sz w:val="22"/>
          <w:szCs w:val="22"/>
          <w:lang w:val="cs-CZ"/>
        </w:rPr>
        <w:t xml:space="preserve"> – selhání systémů, poruchy hardwaru nebo softwarové chyby;</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0"/>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problémů s konektivitou</w:t>
      </w:r>
      <w:r w:rsidRPr="003D65CC">
        <w:rPr>
          <w:rFonts w:ascii="Athiti" w:eastAsia="Athiti" w:hAnsi="Athiti" w:cs="Athiti"/>
          <w:sz w:val="22"/>
          <w:szCs w:val="22"/>
          <w:lang w:val="cs-CZ"/>
        </w:rPr>
        <w:t xml:space="preserve"> – výpadky sítě, selhání API nebo přerušení internetového připojení;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0"/>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nepředvídaných událostí</w:t>
      </w:r>
      <w:r w:rsidRPr="003D65CC">
        <w:rPr>
          <w:rFonts w:ascii="Athiti" w:eastAsia="Athiti" w:hAnsi="Athiti" w:cs="Athiti"/>
          <w:sz w:val="22"/>
          <w:szCs w:val="22"/>
          <w:lang w:val="cs-CZ"/>
        </w:rPr>
        <w:t xml:space="preserve"> – kybernetické útoky, výpadky proudu nebo selhání infrastruktury.</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Za účelem zmírnění těchto rizik společnost udržuje přísně definované smlouvy o úrovni poskytovaných služeb (SLA), prostřednictvím kterých monitoruje dostupnost systému a stabilitu platformy. V případě, že SLA nejsou splněny, jsou aktivovány eskalační postupy s cílem obnovit funkčnost služeb co nejdříve.</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18" w:name="_heading=h.qb2fdhocz1po" w:colFirst="0" w:colLast="0"/>
      <w:bookmarkEnd w:id="18"/>
      <w:r w:rsidRPr="003D65CC">
        <w:rPr>
          <w:rFonts w:ascii="Athiti" w:eastAsia="Athiti" w:hAnsi="Athiti" w:cs="Athiti"/>
          <w:sz w:val="32"/>
          <w:szCs w:val="32"/>
          <w:lang w:val="cs-CZ"/>
        </w:rPr>
        <w:lastRenderedPageBreak/>
        <w:t>4.2. Technická rizika a kybernetické hrozby</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Na rozdíl od tradičních fiat měn existují kryptoaktiva výhradně v digitální podobě, což je činí zranitelnými vůči:</w:t>
      </w:r>
    </w:p>
    <w:p w:rsidR="00732D4E" w:rsidRPr="003D65CC" w:rsidRDefault="00732D4E" w:rsidP="00732D4E">
      <w:pPr>
        <w:pStyle w:val="normal"/>
        <w:widowControl w:val="0"/>
        <w:numPr>
          <w:ilvl w:val="0"/>
          <w:numId w:val="7"/>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kybernetickým útokům</w:t>
      </w:r>
      <w:r w:rsidRPr="003D65CC">
        <w:rPr>
          <w:rFonts w:ascii="Athiti" w:eastAsia="Athiti" w:hAnsi="Athiti" w:cs="Athiti"/>
          <w:sz w:val="22"/>
          <w:szCs w:val="22"/>
          <w:lang w:val="cs-CZ"/>
        </w:rPr>
        <w:t xml:space="preserve"> – pokusy o napadení, phishingové útoky, zranitelnosti v chytrých kontraktech;</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7"/>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technickým poruchám</w:t>
      </w:r>
      <w:r w:rsidRPr="003D65CC">
        <w:rPr>
          <w:rFonts w:ascii="Athiti" w:eastAsia="Athiti" w:hAnsi="Athiti" w:cs="Athiti"/>
          <w:sz w:val="22"/>
          <w:szCs w:val="22"/>
          <w:lang w:val="cs-CZ"/>
        </w:rPr>
        <w:t xml:space="preserve"> – chyby v blockchainové síti, poruchy softwaru peněženek nebo zpoždění při zpracování transakcí.</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Tato rizika mohou vést k trvalé ztrátě prostředků, zpožděným transakcím nebo dočasné nedostupnosti aktiv. Společnost uplatňuje pokročilá bezpečnostní opatření ke zmírnění těchto hrozeb, nicméně klienti jsou důrazně vyzýváni k odpovědnému chování, včetně používání bezpečných peněženek, aktivace dvoufaktorového ověření a vyhýbání se podvodným praktikám.</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19" w:name="_heading=h.o2r9s7eut56u" w:colFirst="0" w:colLast="0"/>
      <w:bookmarkEnd w:id="19"/>
      <w:r w:rsidRPr="003D65CC">
        <w:rPr>
          <w:rFonts w:ascii="Athiti" w:eastAsia="Athiti" w:hAnsi="Athiti" w:cs="Athiti"/>
          <w:sz w:val="32"/>
          <w:szCs w:val="32"/>
          <w:lang w:val="cs-CZ"/>
        </w:rPr>
        <w:t>4.3. Regulatorní nejistota</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Právní a regulatorní rámec upravující oblast kryptoaktiv se neustále vyvíjí. S tím souvisí následující rizika:</w:t>
      </w:r>
    </w:p>
    <w:p w:rsidR="00732D4E" w:rsidRPr="003D65CC" w:rsidRDefault="00732D4E" w:rsidP="00732D4E">
      <w:pPr>
        <w:pStyle w:val="normal"/>
        <w:widowControl w:val="0"/>
        <w:numPr>
          <w:ilvl w:val="0"/>
          <w:numId w:val="17"/>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změny legislativy</w:t>
      </w:r>
      <w:r w:rsidRPr="003D65CC">
        <w:rPr>
          <w:rFonts w:ascii="Athiti" w:eastAsia="Athiti" w:hAnsi="Athiti" w:cs="Athiti"/>
          <w:sz w:val="22"/>
          <w:szCs w:val="22"/>
          <w:lang w:val="cs-CZ"/>
        </w:rPr>
        <w:t xml:space="preserve"> – státní orgány mohou zavádět nové zákony, předpisy nebo omezení týkající se obchodování, zdanění nebo vlastnictví kryptoaktiv;</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17"/>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mezistátní rozdíly</w:t>
      </w:r>
      <w:r w:rsidRPr="003D65CC">
        <w:rPr>
          <w:rFonts w:ascii="Athiti" w:eastAsia="Athiti" w:hAnsi="Athiti" w:cs="Athiti"/>
          <w:sz w:val="22"/>
          <w:szCs w:val="22"/>
          <w:lang w:val="cs-CZ"/>
        </w:rPr>
        <w:t xml:space="preserve"> – regulační požadavky se v jednotlivých jurisdikcích liší a mohou se neočekávaně měnit.</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Tyto změny mohou mít dopad na hodnotu, likviditu či dostupnost kryptoaktiv držených klienty. Společnost průběžně sleduje vývoj právních předpisů na globální úrovni, aby včas identifikovala možné dopady a zajistila soulad s platnými zákony.</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20" w:name="_heading=h.jueqlhnwzm4" w:colFirst="0" w:colLast="0"/>
      <w:bookmarkEnd w:id="20"/>
      <w:r w:rsidRPr="003D65CC">
        <w:rPr>
          <w:rFonts w:ascii="Athiti" w:eastAsia="Athiti" w:hAnsi="Athiti" w:cs="Athiti"/>
          <w:sz w:val="32"/>
          <w:szCs w:val="32"/>
          <w:lang w:val="cs-CZ"/>
        </w:rPr>
        <w:t>4.4. Volatilita trhu</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Kryptoaktiva jsou vysoce volatilní a jejich cena může podléhat prudkým a náhlým výkyvům v důsledku:</w:t>
      </w:r>
    </w:p>
    <w:p w:rsidR="00732D4E" w:rsidRPr="003D65CC" w:rsidRDefault="00732D4E" w:rsidP="00732D4E">
      <w:pPr>
        <w:pStyle w:val="normal"/>
        <w:widowControl w:val="0"/>
        <w:numPr>
          <w:ilvl w:val="0"/>
          <w:numId w:val="23"/>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technologického pokroku</w:t>
      </w:r>
      <w:r w:rsidRPr="003D65CC">
        <w:rPr>
          <w:rFonts w:ascii="Athiti" w:eastAsia="Athiti" w:hAnsi="Athiti" w:cs="Athiti"/>
          <w:sz w:val="22"/>
          <w:szCs w:val="22"/>
          <w:lang w:val="cs-CZ"/>
        </w:rPr>
        <w:t xml:space="preserve"> – vznik nových efektivnějších řešení může vést ke znehodnocení stávajících tokenů;</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3"/>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změn síťových protokolů</w:t>
      </w:r>
      <w:r w:rsidRPr="003D65CC">
        <w:rPr>
          <w:rFonts w:ascii="Athiti" w:eastAsia="Athiti" w:hAnsi="Athiti" w:cs="Athiti"/>
          <w:sz w:val="22"/>
          <w:szCs w:val="22"/>
          <w:lang w:val="cs-CZ"/>
        </w:rPr>
        <w:t xml:space="preserve"> – neočekávané softwarové aktualizace nebo tzv. hard forky mohou ovlivnit použitelnost a hodnotu aktiv;</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3"/>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regulačních oznámení</w:t>
      </w:r>
      <w:r w:rsidRPr="003D65CC">
        <w:rPr>
          <w:rFonts w:ascii="Athiti" w:eastAsia="Athiti" w:hAnsi="Athiti" w:cs="Athiti"/>
          <w:sz w:val="22"/>
          <w:szCs w:val="22"/>
          <w:lang w:val="cs-CZ"/>
        </w:rPr>
        <w:t xml:space="preserve"> – rozhodnutí státních orgánů nebo soudů může vyvolat výrazné cenové pohyby.</w:t>
      </w:r>
      <w:r w:rsidRPr="003D65CC">
        <w:rPr>
          <w:rFonts w:ascii="Athiti" w:eastAsia="Athiti" w:hAnsi="Athiti" w:cs="Athiti"/>
          <w:sz w:val="22"/>
          <w:szCs w:val="22"/>
          <w:lang w:val="cs-CZ"/>
        </w:rPr>
        <w:br/>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21" w:name="_heading=h.fx1jood0ned6" w:colFirst="0" w:colLast="0"/>
      <w:bookmarkEnd w:id="21"/>
      <w:r w:rsidRPr="003D65CC">
        <w:rPr>
          <w:rFonts w:ascii="Athiti" w:eastAsia="Athiti" w:hAnsi="Athiti" w:cs="Athiti"/>
          <w:sz w:val="32"/>
          <w:szCs w:val="32"/>
          <w:lang w:val="cs-CZ"/>
        </w:rPr>
        <w:t>4.5. Riziko vyřazení aktiva z nabídky (delistingu)</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Společnost si vyhrazuje právo vyřadit z nabídky určité kryptoaktivum v následujících případech:</w:t>
      </w:r>
    </w:p>
    <w:p w:rsidR="00732D4E" w:rsidRPr="003D65CC" w:rsidRDefault="00732D4E" w:rsidP="00732D4E">
      <w:pPr>
        <w:pStyle w:val="normal"/>
        <w:widowControl w:val="0"/>
        <w:numPr>
          <w:ilvl w:val="0"/>
          <w:numId w:val="26"/>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regulatorní a compliance důvody</w:t>
      </w:r>
      <w:r w:rsidRPr="003D65CC">
        <w:rPr>
          <w:rFonts w:ascii="Athiti" w:eastAsia="Athiti" w:hAnsi="Athiti" w:cs="Athiti"/>
          <w:sz w:val="22"/>
          <w:szCs w:val="22"/>
          <w:lang w:val="cs-CZ"/>
        </w:rPr>
        <w:t xml:space="preserve"> – pokud je token považován za nesouladný s právními předpisy;</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6"/>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nedostatečná likvidita</w:t>
      </w:r>
      <w:r w:rsidRPr="003D65CC">
        <w:rPr>
          <w:rFonts w:ascii="Athiti" w:eastAsia="Athiti" w:hAnsi="Athiti" w:cs="Athiti"/>
          <w:sz w:val="22"/>
          <w:szCs w:val="22"/>
          <w:lang w:val="cs-CZ"/>
        </w:rPr>
        <w:t xml:space="preserve"> – pokud dané kryptoaktivum přestane splňovat minimální požadavky na objem obchodování;</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6"/>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bezpečnostní hrozby</w:t>
      </w:r>
      <w:r w:rsidRPr="003D65CC">
        <w:rPr>
          <w:rFonts w:ascii="Athiti" w:eastAsia="Athiti" w:hAnsi="Athiti" w:cs="Athiti"/>
          <w:sz w:val="22"/>
          <w:szCs w:val="22"/>
          <w:lang w:val="cs-CZ"/>
        </w:rPr>
        <w:t xml:space="preserve"> – zjištěné zranitelnosti nebo napadení daného aktiva;</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26"/>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reputační rizika</w:t>
      </w:r>
      <w:r w:rsidRPr="003D65CC">
        <w:rPr>
          <w:rFonts w:ascii="Athiti" w:eastAsia="Athiti" w:hAnsi="Athiti" w:cs="Athiti"/>
          <w:sz w:val="22"/>
          <w:szCs w:val="22"/>
          <w:lang w:val="cs-CZ"/>
        </w:rPr>
        <w:t xml:space="preserve"> – negativní publicita, podezření z podvodu nebo neetického jednání.</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V případě delistingu může cena postiženého tokenu prudce klesnout nebo se stát nelikvidní, což může znemožnit klientům obchodování nebo výběr příslušných aktiv. Společnost nenese odpovědnost za případné ztráty způsobené delistingem nebo cenovými pohyby vyvolanými trhem.</w:t>
      </w:r>
    </w:p>
    <w:p w:rsidR="00732D4E" w:rsidRPr="003D65CC" w:rsidRDefault="00732D4E" w:rsidP="00732D4E">
      <w:pPr>
        <w:pStyle w:val="Nadpis2"/>
        <w:widowControl w:val="0"/>
        <w:tabs>
          <w:tab w:val="left" w:pos="425"/>
        </w:tabs>
        <w:spacing w:before="240" w:after="240" w:line="240" w:lineRule="auto"/>
        <w:rPr>
          <w:rFonts w:ascii="Athiti" w:eastAsia="Athiti" w:hAnsi="Athiti" w:cs="Athiti"/>
          <w:sz w:val="32"/>
          <w:szCs w:val="32"/>
          <w:lang w:val="cs-CZ"/>
        </w:rPr>
      </w:pPr>
      <w:bookmarkStart w:id="22" w:name="_heading=h.ug175tkdmjnn" w:colFirst="0" w:colLast="0"/>
      <w:bookmarkEnd w:id="22"/>
      <w:r w:rsidRPr="003D65CC">
        <w:rPr>
          <w:rFonts w:ascii="Athiti" w:eastAsia="Athiti" w:hAnsi="Athiti" w:cs="Athiti"/>
          <w:sz w:val="32"/>
          <w:szCs w:val="32"/>
          <w:lang w:val="cs-CZ"/>
        </w:rPr>
        <w:t>4.6. Zmírnění rizik a doporučení pro klienty</w:t>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Pro účinné zvládání výše uvedených rizik společnost výslovně doporučuje klientům:</w:t>
      </w:r>
    </w:p>
    <w:p w:rsidR="00732D4E" w:rsidRPr="003D65CC" w:rsidRDefault="00732D4E" w:rsidP="00732D4E">
      <w:pPr>
        <w:pStyle w:val="normal"/>
        <w:widowControl w:val="0"/>
        <w:numPr>
          <w:ilvl w:val="0"/>
          <w:numId w:val="5"/>
        </w:numPr>
        <w:tabs>
          <w:tab w:val="left" w:pos="425"/>
        </w:tabs>
        <w:spacing w:before="240"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sledovat vývoj trhu a regulatorní změny</w:t>
      </w:r>
      <w:r w:rsidRPr="003D65CC">
        <w:rPr>
          <w:rFonts w:ascii="Athiti" w:eastAsia="Athiti" w:hAnsi="Athiti" w:cs="Athiti"/>
          <w:sz w:val="22"/>
          <w:szCs w:val="22"/>
          <w:lang w:val="cs-CZ"/>
        </w:rPr>
        <w:t>;</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5"/>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diverzifikovat svá portfolia</w:t>
      </w:r>
      <w:r w:rsidRPr="003D65CC">
        <w:rPr>
          <w:rFonts w:ascii="Athiti" w:eastAsia="Athiti" w:hAnsi="Athiti" w:cs="Athiti"/>
          <w:sz w:val="22"/>
          <w:szCs w:val="22"/>
          <w:lang w:val="cs-CZ"/>
        </w:rPr>
        <w:t>, aby se snížilo riziko ztráty způsobené výpadkem jednoho konkrétního aktiva;</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5"/>
        </w:numPr>
        <w:tabs>
          <w:tab w:val="left" w:pos="425"/>
        </w:tabs>
        <w:spacing w:after="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využívat bezpečné způsoby uchovávání</w:t>
      </w:r>
      <w:r w:rsidRPr="003D65CC">
        <w:rPr>
          <w:rFonts w:ascii="Athiti" w:eastAsia="Athiti" w:hAnsi="Athiti" w:cs="Athiti"/>
          <w:sz w:val="22"/>
          <w:szCs w:val="22"/>
          <w:lang w:val="cs-CZ"/>
        </w:rPr>
        <w:t>, zejména hardwarové peněženky pro dlouhodobou ochranu;</w:t>
      </w:r>
      <w:r w:rsidRPr="003D65CC">
        <w:rPr>
          <w:rFonts w:ascii="Athiti" w:eastAsia="Athiti" w:hAnsi="Athiti" w:cs="Athiti"/>
          <w:sz w:val="22"/>
          <w:szCs w:val="22"/>
          <w:lang w:val="cs-CZ"/>
        </w:rPr>
        <w:br/>
      </w:r>
    </w:p>
    <w:p w:rsidR="00732D4E" w:rsidRPr="003D65CC" w:rsidRDefault="00732D4E" w:rsidP="00732D4E">
      <w:pPr>
        <w:pStyle w:val="normal"/>
        <w:widowControl w:val="0"/>
        <w:numPr>
          <w:ilvl w:val="0"/>
          <w:numId w:val="5"/>
        </w:numPr>
        <w:tabs>
          <w:tab w:val="left" w:pos="425"/>
        </w:tabs>
        <w:spacing w:after="240" w:line="240" w:lineRule="auto"/>
        <w:jc w:val="left"/>
        <w:rPr>
          <w:rFonts w:ascii="Athiti" w:eastAsia="Athiti" w:hAnsi="Athiti" w:cs="Athiti"/>
          <w:sz w:val="22"/>
          <w:szCs w:val="22"/>
          <w:lang w:val="cs-CZ"/>
        </w:rPr>
      </w:pPr>
      <w:r w:rsidRPr="003D65CC">
        <w:rPr>
          <w:rFonts w:ascii="Athiti" w:eastAsia="Athiti" w:hAnsi="Athiti" w:cs="Athiti"/>
          <w:b/>
          <w:sz w:val="22"/>
          <w:szCs w:val="22"/>
          <w:lang w:val="cs-CZ"/>
        </w:rPr>
        <w:t>pochopit rizikovost kryptoaktiv</w:t>
      </w:r>
      <w:r w:rsidRPr="003D65CC">
        <w:rPr>
          <w:rFonts w:ascii="Athiti" w:eastAsia="Athiti" w:hAnsi="Athiti" w:cs="Athiti"/>
          <w:sz w:val="22"/>
          <w:szCs w:val="22"/>
          <w:lang w:val="cs-CZ"/>
        </w:rPr>
        <w:t xml:space="preserve"> jakožto spekulativních nástrojů a přistupovat k jejich obchodování s plným vědomím těchto rizik.</w:t>
      </w:r>
      <w:r w:rsidRPr="003D65CC">
        <w:rPr>
          <w:rFonts w:ascii="Athiti" w:eastAsia="Athiti" w:hAnsi="Athiti" w:cs="Athiti"/>
          <w:sz w:val="22"/>
          <w:szCs w:val="22"/>
          <w:lang w:val="cs-CZ"/>
        </w:rPr>
        <w:br/>
      </w:r>
    </w:p>
    <w:p w:rsidR="00732D4E" w:rsidRPr="003D65CC" w:rsidRDefault="00732D4E" w:rsidP="00732D4E">
      <w:pPr>
        <w:pStyle w:val="normal"/>
        <w:widowControl w:val="0"/>
        <w:tabs>
          <w:tab w:val="left" w:pos="425"/>
        </w:tabs>
        <w:spacing w:before="240" w:after="240" w:line="240" w:lineRule="auto"/>
        <w:rPr>
          <w:rFonts w:ascii="Athiti" w:eastAsia="Athiti" w:hAnsi="Athiti" w:cs="Athiti"/>
          <w:sz w:val="22"/>
          <w:szCs w:val="22"/>
          <w:lang w:val="cs-CZ"/>
        </w:rPr>
      </w:pPr>
      <w:r w:rsidRPr="003D65CC">
        <w:rPr>
          <w:rFonts w:ascii="Athiti" w:eastAsia="Athiti" w:hAnsi="Athiti" w:cs="Athiti"/>
          <w:sz w:val="22"/>
          <w:szCs w:val="22"/>
          <w:lang w:val="cs-CZ"/>
        </w:rPr>
        <w:t>Zavedením důsledných bezpečnostních opatření, proaktivním monitoringem trhu a transparentními obchodními pravidly se společnost snaží vytvářet stabilní, předvídatelné a regulovanému prostředí odpovídající obchodní podmínky a současně zvyšovat informovanost klientů o možných rizicích spojených s obchodováním s kryptoaktivy.</w:t>
      </w:r>
    </w:p>
    <w:p w:rsidR="00732D4E" w:rsidRPr="003D65CC" w:rsidRDefault="00732D4E" w:rsidP="00732D4E">
      <w:pPr>
        <w:pStyle w:val="Nadpis1"/>
        <w:spacing w:before="240"/>
        <w:rPr>
          <w:rFonts w:ascii="Athiti" w:eastAsia="Athiti" w:hAnsi="Athiti" w:cs="Athiti"/>
          <w:b w:val="0"/>
          <w:sz w:val="40"/>
          <w:szCs w:val="40"/>
          <w:lang w:val="cs-CZ"/>
        </w:rPr>
      </w:pPr>
      <w:bookmarkStart w:id="23" w:name="_heading=h.3n7376iqrrp2" w:colFirst="0" w:colLast="0"/>
      <w:bookmarkEnd w:id="23"/>
      <w:r w:rsidRPr="003D65CC">
        <w:rPr>
          <w:rFonts w:ascii="Athiti" w:eastAsia="Athiti" w:hAnsi="Athiti" w:cs="Athiti"/>
          <w:b w:val="0"/>
          <w:sz w:val="40"/>
          <w:szCs w:val="40"/>
          <w:lang w:val="cs-CZ"/>
        </w:rPr>
        <w:t>5. Revize a změny</w:t>
      </w:r>
    </w:p>
    <w:p w:rsidR="00732D4E" w:rsidRPr="003D65CC" w:rsidRDefault="00732D4E" w:rsidP="00732D4E">
      <w:pPr>
        <w:pStyle w:val="Nadpis2"/>
        <w:spacing w:before="240" w:after="240"/>
        <w:rPr>
          <w:rFonts w:ascii="Athiti" w:eastAsia="Athiti" w:hAnsi="Athiti" w:cs="Athiti"/>
          <w:sz w:val="32"/>
          <w:szCs w:val="32"/>
          <w:lang w:val="cs-CZ"/>
        </w:rPr>
      </w:pPr>
      <w:bookmarkStart w:id="24" w:name="_heading=h.pke0d5gpmw9y" w:colFirst="0" w:colLast="0"/>
      <w:bookmarkEnd w:id="24"/>
      <w:r w:rsidRPr="003D65CC">
        <w:rPr>
          <w:rFonts w:ascii="Athiti" w:eastAsia="Athiti" w:hAnsi="Athiti" w:cs="Athiti"/>
          <w:sz w:val="32"/>
          <w:szCs w:val="32"/>
          <w:lang w:val="cs-CZ"/>
        </w:rPr>
        <w:t>5.1. Revize a aktualizace</w:t>
      </w:r>
    </w:p>
    <w:p w:rsidR="00732D4E" w:rsidRPr="003D65CC" w:rsidRDefault="00732D4E" w:rsidP="00732D4E">
      <w:pPr>
        <w:pStyle w:val="normal"/>
        <w:spacing w:before="240" w:after="240"/>
        <w:rPr>
          <w:rFonts w:ascii="Athiti" w:eastAsia="Athiti" w:hAnsi="Athiti" w:cs="Athiti"/>
          <w:sz w:val="22"/>
          <w:szCs w:val="22"/>
          <w:lang w:val="cs-CZ"/>
        </w:rPr>
      </w:pPr>
      <w:r w:rsidRPr="003D65CC">
        <w:rPr>
          <w:rFonts w:ascii="Athiti" w:eastAsia="Athiti" w:hAnsi="Athiti" w:cs="Athiti"/>
          <w:sz w:val="22"/>
          <w:szCs w:val="22"/>
          <w:lang w:val="cs-CZ"/>
        </w:rPr>
        <w:t>Společnost si vyhrazuje právo kdykoli upravit a aktualizovat tuto Politiku podle potřeby, a to za účelem zajištění trvalého souladu s nařízením MiCA a dalšími příslušnými regulatorními rámci, jakož i s ohledem na vývoj tržních podmínek.</w:t>
      </w:r>
    </w:p>
    <w:p w:rsidR="00732D4E" w:rsidRPr="003D65CC" w:rsidRDefault="00732D4E" w:rsidP="00732D4E">
      <w:pPr>
        <w:pStyle w:val="normal"/>
        <w:spacing w:before="240" w:after="240"/>
        <w:rPr>
          <w:rFonts w:ascii="Athiti" w:eastAsia="Athiti" w:hAnsi="Athiti" w:cs="Athiti"/>
          <w:sz w:val="22"/>
          <w:szCs w:val="22"/>
          <w:lang w:val="cs-CZ"/>
        </w:rPr>
      </w:pPr>
      <w:r w:rsidRPr="003D65CC">
        <w:rPr>
          <w:rFonts w:ascii="Athiti" w:eastAsia="Athiti" w:hAnsi="Athiti" w:cs="Athiti"/>
          <w:sz w:val="22"/>
          <w:szCs w:val="22"/>
          <w:lang w:val="cs-CZ"/>
        </w:rPr>
        <w:t>Vzhledem k dynamické povaze odvětví kryptoaktiv je společnost plně odhodlána pravidelně přehodnocovat své interní politiky a přizpůsobovat je aktuálním právním požadavkům a regulačním očekáváním. Cílem je zachovat vysokou míru transparentnosti, férovosti a tržní stability, a zároveň zajistit odpovědné chování vůči klientům a regulatorním orgánům.</w:t>
      </w:r>
    </w:p>
    <w:p w:rsidR="00732D4E" w:rsidRPr="003D65CC" w:rsidRDefault="00732D4E" w:rsidP="00732D4E">
      <w:pPr>
        <w:pStyle w:val="Nadpis2"/>
        <w:spacing w:before="240" w:after="240"/>
        <w:rPr>
          <w:rFonts w:ascii="Athiti" w:eastAsia="Athiti" w:hAnsi="Athiti" w:cs="Athiti"/>
          <w:sz w:val="32"/>
          <w:szCs w:val="32"/>
          <w:lang w:val="cs-CZ"/>
        </w:rPr>
      </w:pPr>
      <w:bookmarkStart w:id="25" w:name="_heading=h.9midj4ta0ga1" w:colFirst="0" w:colLast="0"/>
      <w:bookmarkEnd w:id="25"/>
      <w:r w:rsidRPr="003D65CC">
        <w:rPr>
          <w:rFonts w:ascii="Athiti" w:eastAsia="Athiti" w:hAnsi="Athiti" w:cs="Athiti"/>
          <w:sz w:val="32"/>
          <w:szCs w:val="32"/>
          <w:lang w:val="cs-CZ"/>
        </w:rPr>
        <w:t>5.2. Informování o změnách</w:t>
      </w:r>
    </w:p>
    <w:p w:rsidR="00732D4E" w:rsidRPr="003D65CC" w:rsidRDefault="00732D4E" w:rsidP="00732D4E">
      <w:pPr>
        <w:pStyle w:val="normal"/>
        <w:spacing w:before="240" w:after="240"/>
        <w:rPr>
          <w:rFonts w:ascii="Athiti" w:eastAsia="Athiti" w:hAnsi="Athiti" w:cs="Athiti"/>
          <w:sz w:val="22"/>
          <w:szCs w:val="22"/>
          <w:lang w:val="cs-CZ"/>
        </w:rPr>
      </w:pPr>
      <w:r w:rsidRPr="003D65CC">
        <w:rPr>
          <w:rFonts w:ascii="Athiti" w:eastAsia="Athiti" w:hAnsi="Athiti" w:cs="Athiti"/>
          <w:sz w:val="22"/>
          <w:szCs w:val="22"/>
          <w:lang w:val="cs-CZ"/>
        </w:rPr>
        <w:t>Jakékoliv změny této Politiky, které mohou mít dopad na klienty, budou oznámeny s dostatečným předstihem, aby bylo zajištěno plné informování a klienti mohli případně upravit své obchodní strategie nebo provozní nastavení.</w:t>
      </w:r>
    </w:p>
    <w:p w:rsidR="00732D4E" w:rsidRPr="003D65CC" w:rsidRDefault="00732D4E" w:rsidP="00732D4E">
      <w:pPr>
        <w:pStyle w:val="normal"/>
        <w:spacing w:before="240" w:after="240"/>
        <w:rPr>
          <w:rFonts w:ascii="Athiti" w:eastAsia="Athiti" w:hAnsi="Athiti" w:cs="Athiti"/>
          <w:sz w:val="22"/>
          <w:szCs w:val="22"/>
          <w:lang w:val="cs-CZ"/>
        </w:rPr>
      </w:pPr>
      <w:r w:rsidRPr="003D65CC">
        <w:rPr>
          <w:rFonts w:ascii="Athiti" w:eastAsia="Athiti" w:hAnsi="Athiti" w:cs="Athiti"/>
          <w:sz w:val="22"/>
          <w:szCs w:val="22"/>
          <w:lang w:val="cs-CZ"/>
        </w:rPr>
        <w:t>Společnost bude o změnách informovat prostřednictvím svých oficiálních komunikačních kanálů, zejména:</w:t>
      </w:r>
    </w:p>
    <w:p w:rsidR="00732D4E" w:rsidRPr="003D65CC" w:rsidRDefault="00732D4E" w:rsidP="00732D4E">
      <w:pPr>
        <w:pStyle w:val="normal"/>
        <w:numPr>
          <w:ilvl w:val="0"/>
          <w:numId w:val="6"/>
        </w:numPr>
        <w:spacing w:before="240" w:after="0"/>
        <w:jc w:val="left"/>
        <w:rPr>
          <w:rFonts w:ascii="Athiti" w:eastAsia="Athiti" w:hAnsi="Athiti" w:cs="Athiti"/>
          <w:sz w:val="22"/>
          <w:szCs w:val="22"/>
          <w:lang w:val="cs-CZ"/>
        </w:rPr>
      </w:pPr>
      <w:r w:rsidRPr="003D65CC">
        <w:rPr>
          <w:rFonts w:ascii="Athiti" w:eastAsia="Athiti" w:hAnsi="Athiti" w:cs="Athiti"/>
          <w:sz w:val="22"/>
          <w:szCs w:val="22"/>
          <w:lang w:val="cs-CZ"/>
        </w:rPr>
        <w:lastRenderedPageBreak/>
        <w:t>e-mailových oznámení zaslaných klientům,</w:t>
      </w:r>
      <w:r w:rsidRPr="003D65CC">
        <w:rPr>
          <w:rFonts w:ascii="Athiti" w:eastAsia="Athiti" w:hAnsi="Athiti" w:cs="Athiti"/>
          <w:sz w:val="22"/>
          <w:szCs w:val="22"/>
          <w:lang w:val="cs-CZ"/>
        </w:rPr>
        <w:br/>
      </w:r>
    </w:p>
    <w:p w:rsidR="00732D4E" w:rsidRPr="003D65CC" w:rsidRDefault="00732D4E" w:rsidP="00732D4E">
      <w:pPr>
        <w:pStyle w:val="normal"/>
        <w:numPr>
          <w:ilvl w:val="0"/>
          <w:numId w:val="6"/>
        </w:numPr>
        <w:spacing w:after="0"/>
        <w:jc w:val="left"/>
        <w:rPr>
          <w:rFonts w:ascii="Athiti" w:eastAsia="Athiti" w:hAnsi="Athiti" w:cs="Athiti"/>
          <w:sz w:val="22"/>
          <w:szCs w:val="22"/>
          <w:lang w:val="cs-CZ"/>
        </w:rPr>
      </w:pPr>
      <w:r w:rsidRPr="003D65CC">
        <w:rPr>
          <w:rFonts w:ascii="Athiti" w:eastAsia="Athiti" w:hAnsi="Athiti" w:cs="Athiti"/>
          <w:sz w:val="22"/>
          <w:szCs w:val="22"/>
          <w:lang w:val="cs-CZ"/>
        </w:rPr>
        <w:t>upozornění zveřejněných na platformě, včetně konkrétních informací o změnách cenových podmínek,</w:t>
      </w:r>
      <w:r w:rsidRPr="003D65CC">
        <w:rPr>
          <w:rFonts w:ascii="Athiti" w:eastAsia="Athiti" w:hAnsi="Athiti" w:cs="Athiti"/>
          <w:sz w:val="22"/>
          <w:szCs w:val="22"/>
          <w:lang w:val="cs-CZ"/>
        </w:rPr>
        <w:br/>
      </w:r>
    </w:p>
    <w:p w:rsidR="00732D4E" w:rsidRPr="003D65CC" w:rsidRDefault="00732D4E" w:rsidP="00732D4E">
      <w:pPr>
        <w:pStyle w:val="normal"/>
        <w:numPr>
          <w:ilvl w:val="0"/>
          <w:numId w:val="6"/>
        </w:numPr>
        <w:spacing w:after="240"/>
        <w:jc w:val="left"/>
        <w:rPr>
          <w:rFonts w:ascii="Athiti" w:eastAsia="Athiti" w:hAnsi="Athiti" w:cs="Athiti"/>
          <w:sz w:val="22"/>
          <w:szCs w:val="22"/>
          <w:lang w:val="cs-CZ"/>
        </w:rPr>
      </w:pPr>
      <w:r w:rsidRPr="003D65CC">
        <w:rPr>
          <w:rFonts w:ascii="Athiti" w:eastAsia="Athiti" w:hAnsi="Athiti" w:cs="Athiti"/>
          <w:sz w:val="22"/>
          <w:szCs w:val="22"/>
          <w:lang w:val="cs-CZ"/>
        </w:rPr>
        <w:t>aktualizované dokumentace Politiky, která bude dostupná na vyžádání nebo v uživatelském rozhraní.</w:t>
      </w:r>
      <w:r w:rsidRPr="003D65CC">
        <w:rPr>
          <w:rFonts w:ascii="Athiti" w:eastAsia="Athiti" w:hAnsi="Athiti" w:cs="Athiti"/>
          <w:sz w:val="22"/>
          <w:szCs w:val="22"/>
          <w:lang w:val="cs-CZ"/>
        </w:rPr>
        <w:br/>
      </w:r>
    </w:p>
    <w:p w:rsidR="00732D4E" w:rsidRPr="003D65CC" w:rsidRDefault="00732D4E" w:rsidP="00732D4E">
      <w:pPr>
        <w:pStyle w:val="normal"/>
        <w:spacing w:before="240" w:after="240"/>
        <w:rPr>
          <w:rFonts w:ascii="Athiti" w:eastAsia="Athiti" w:hAnsi="Athiti" w:cs="Athiti"/>
          <w:lang w:val="cs-CZ"/>
        </w:rPr>
      </w:pPr>
      <w:r w:rsidRPr="003D65CC">
        <w:rPr>
          <w:rFonts w:ascii="Athiti" w:eastAsia="Athiti" w:hAnsi="Athiti" w:cs="Athiti"/>
          <w:sz w:val="22"/>
          <w:szCs w:val="22"/>
          <w:lang w:val="cs-CZ"/>
        </w:rPr>
        <w:t>Tato opatření zajišťují, že všichni institucionální účastníci mají dostatek času k seznámení se s navrženými úpravami před jejich nabytím účinnosti, čímž je posílena předvídatelnost a důvěryhodnost obchodního prostředí společnosti.</w:t>
      </w:r>
    </w:p>
    <w:p w:rsidR="00B06DB5" w:rsidRPr="003D65CC" w:rsidRDefault="00B06DB5">
      <w:pPr>
        <w:rPr>
          <w:lang w:val="cs-CZ"/>
        </w:rPr>
      </w:pPr>
    </w:p>
    <w:sectPr w:rsidR="00B06DB5" w:rsidRPr="003D65CC" w:rsidSect="008C6A0B">
      <w:headerReference w:type="default" r:id="rId7"/>
      <w:footerReference w:type="default" r:id="rId8"/>
      <w:headerReference w:type="first" r:id="rId9"/>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420" w:rsidRDefault="00BE2420" w:rsidP="00F021DA">
      <w:pPr>
        <w:spacing w:after="0" w:line="240" w:lineRule="auto"/>
      </w:pPr>
      <w:r>
        <w:separator/>
      </w:r>
    </w:p>
  </w:endnote>
  <w:endnote w:type="continuationSeparator" w:id="1">
    <w:p w:rsidR="00BE2420" w:rsidRDefault="00BE2420" w:rsidP="00F02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0B" w:rsidRDefault="0035770A">
    <w:pPr>
      <w:pStyle w:val="normal"/>
      <w:tabs>
        <w:tab w:val="center" w:pos="4677"/>
        <w:tab w:val="right" w:pos="9355"/>
      </w:tabs>
      <w:spacing w:after="0" w:line="240" w:lineRule="auto"/>
      <w:jc w:val="center"/>
    </w:pPr>
    <w:r>
      <w:rPr>
        <w:noProof/>
      </w:rPr>
      <w:drawing>
        <wp:inline distT="0" distB="0" distL="0" distR="0">
          <wp:extent cx="5514975" cy="92710"/>
          <wp:effectExtent l="0" t="0" r="0" b="0"/>
          <wp:docPr id="13"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514975" cy="92710"/>
                  </a:xfrm>
                  <a:prstGeom prst="rect">
                    <a:avLst/>
                  </a:prstGeom>
                  <a:ln/>
                </pic:spPr>
              </pic:pic>
            </a:graphicData>
          </a:graphic>
        </wp:inline>
      </w:drawing>
    </w:r>
  </w:p>
  <w:p w:rsidR="008C6A0B" w:rsidRDefault="00F021DA">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35770A">
      <w:rPr>
        <w:rFonts w:ascii="Athiti" w:eastAsia="Athiti" w:hAnsi="Athiti" w:cs="Athiti"/>
      </w:rPr>
      <w:instrText>PAGE</w:instrText>
    </w:r>
    <w:r>
      <w:rPr>
        <w:rFonts w:ascii="Athiti" w:eastAsia="Athiti" w:hAnsi="Athiti" w:cs="Athiti"/>
      </w:rPr>
      <w:fldChar w:fldCharType="separate"/>
    </w:r>
    <w:r w:rsidR="00637B22">
      <w:rPr>
        <w:rFonts w:ascii="Athiti" w:eastAsia="Athiti" w:hAnsi="Athiti" w:cs="Athiti"/>
        <w:noProof/>
      </w:rPr>
      <w:t>12</w:t>
    </w:r>
    <w:r>
      <w:rPr>
        <w:rFonts w:ascii="Athiti" w:eastAsia="Athiti" w:hAnsi="Athiti" w:cs="Athiti"/>
      </w:rPr>
      <w:fldChar w:fldCharType="end"/>
    </w:r>
  </w:p>
  <w:p w:rsidR="008C6A0B" w:rsidRDefault="00BE2420">
    <w:pPr>
      <w:pStyle w:val="normal"/>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420" w:rsidRDefault="00BE2420" w:rsidP="00F021DA">
      <w:pPr>
        <w:spacing w:after="0" w:line="240" w:lineRule="auto"/>
      </w:pPr>
      <w:r>
        <w:separator/>
      </w:r>
    </w:p>
  </w:footnote>
  <w:footnote w:type="continuationSeparator" w:id="1">
    <w:p w:rsidR="00BE2420" w:rsidRDefault="00BE2420" w:rsidP="00F021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0B" w:rsidRDefault="0035770A">
    <w:pPr>
      <w:pStyle w:val="normal"/>
    </w:pPr>
    <w:r>
      <w:rPr>
        <w:noProof/>
      </w:rPr>
      <w:drawing>
        <wp:anchor distT="0" distB="0" distL="114300" distR="114300" simplePos="0" relativeHeight="251659264" behindDoc="0" locked="0" layoutInCell="1" allowOverlap="1">
          <wp:simplePos x="0" y="0"/>
          <wp:positionH relativeFrom="page">
            <wp:posOffset>-19043</wp:posOffset>
          </wp:positionH>
          <wp:positionV relativeFrom="page">
            <wp:posOffset>-19043</wp:posOffset>
          </wp:positionV>
          <wp:extent cx="128100" cy="10766100"/>
          <wp:effectExtent l="0" t="0" r="0" b="0"/>
          <wp:wrapSquare wrapText="bothSides" distT="0" distB="0" distL="114300" distR="11430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8100" cy="10766100"/>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0B" w:rsidRDefault="0035770A">
    <w:pPr>
      <w:pStyle w:val="normal"/>
    </w:pPr>
    <w:r>
      <w:rPr>
        <w:noProof/>
      </w:rPr>
      <w:drawing>
        <wp:anchor distT="0" distB="0" distL="114300" distR="114300" simplePos="0" relativeHeight="251660288" behindDoc="0" locked="0" layoutInCell="1" allowOverlap="1">
          <wp:simplePos x="0" y="0"/>
          <wp:positionH relativeFrom="page">
            <wp:posOffset>-19043</wp:posOffset>
          </wp:positionH>
          <wp:positionV relativeFrom="page">
            <wp:posOffset>-19043</wp:posOffset>
          </wp:positionV>
          <wp:extent cx="128100" cy="10766100"/>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100" cy="107661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2B57"/>
    <w:multiLevelType w:val="multilevel"/>
    <w:tmpl w:val="AD621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FC3229"/>
    <w:multiLevelType w:val="multilevel"/>
    <w:tmpl w:val="3ACE4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E34567B"/>
    <w:multiLevelType w:val="multilevel"/>
    <w:tmpl w:val="DC36C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48F3330"/>
    <w:multiLevelType w:val="multilevel"/>
    <w:tmpl w:val="0D76B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BF6073B"/>
    <w:multiLevelType w:val="multilevel"/>
    <w:tmpl w:val="3E7A5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D1B6F21"/>
    <w:multiLevelType w:val="multilevel"/>
    <w:tmpl w:val="B0DA1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42A4BA4"/>
    <w:multiLevelType w:val="multilevel"/>
    <w:tmpl w:val="3A44A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5F74EC9"/>
    <w:multiLevelType w:val="multilevel"/>
    <w:tmpl w:val="615EB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6BF4FBB"/>
    <w:multiLevelType w:val="multilevel"/>
    <w:tmpl w:val="E1948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8897AD2"/>
    <w:multiLevelType w:val="multilevel"/>
    <w:tmpl w:val="391C4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AD74E92"/>
    <w:multiLevelType w:val="multilevel"/>
    <w:tmpl w:val="058C1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DA0D61"/>
    <w:multiLevelType w:val="multilevel"/>
    <w:tmpl w:val="E7DA5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DC30832"/>
    <w:multiLevelType w:val="multilevel"/>
    <w:tmpl w:val="16CCF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3C15481"/>
    <w:multiLevelType w:val="multilevel"/>
    <w:tmpl w:val="1D86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4883D90"/>
    <w:multiLevelType w:val="multilevel"/>
    <w:tmpl w:val="E2BC0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9991736"/>
    <w:multiLevelType w:val="multilevel"/>
    <w:tmpl w:val="50E61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A861315"/>
    <w:multiLevelType w:val="multilevel"/>
    <w:tmpl w:val="931AC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F0A4A8F"/>
    <w:multiLevelType w:val="multilevel"/>
    <w:tmpl w:val="0BEA5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F1E59FE"/>
    <w:multiLevelType w:val="multilevel"/>
    <w:tmpl w:val="441A2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F422D71"/>
    <w:multiLevelType w:val="multilevel"/>
    <w:tmpl w:val="06648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14D1138"/>
    <w:multiLevelType w:val="multilevel"/>
    <w:tmpl w:val="80F01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2FC2958"/>
    <w:multiLevelType w:val="multilevel"/>
    <w:tmpl w:val="A44C9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2EA52D2"/>
    <w:multiLevelType w:val="multilevel"/>
    <w:tmpl w:val="34EA5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78862B6"/>
    <w:multiLevelType w:val="multilevel"/>
    <w:tmpl w:val="46A80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A3641DE"/>
    <w:multiLevelType w:val="multilevel"/>
    <w:tmpl w:val="3A122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D6A2BA4"/>
    <w:multiLevelType w:val="multilevel"/>
    <w:tmpl w:val="D7268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15"/>
  </w:num>
  <w:num w:numId="4">
    <w:abstractNumId w:val="9"/>
  </w:num>
  <w:num w:numId="5">
    <w:abstractNumId w:val="25"/>
  </w:num>
  <w:num w:numId="6">
    <w:abstractNumId w:val="24"/>
  </w:num>
  <w:num w:numId="7">
    <w:abstractNumId w:val="13"/>
  </w:num>
  <w:num w:numId="8">
    <w:abstractNumId w:val="4"/>
  </w:num>
  <w:num w:numId="9">
    <w:abstractNumId w:val="14"/>
  </w:num>
  <w:num w:numId="10">
    <w:abstractNumId w:val="21"/>
  </w:num>
  <w:num w:numId="11">
    <w:abstractNumId w:val="6"/>
  </w:num>
  <w:num w:numId="12">
    <w:abstractNumId w:val="0"/>
  </w:num>
  <w:num w:numId="13">
    <w:abstractNumId w:val="8"/>
  </w:num>
  <w:num w:numId="14">
    <w:abstractNumId w:val="3"/>
  </w:num>
  <w:num w:numId="15">
    <w:abstractNumId w:val="16"/>
  </w:num>
  <w:num w:numId="16">
    <w:abstractNumId w:val="7"/>
  </w:num>
  <w:num w:numId="17">
    <w:abstractNumId w:val="20"/>
  </w:num>
  <w:num w:numId="18">
    <w:abstractNumId w:val="12"/>
  </w:num>
  <w:num w:numId="19">
    <w:abstractNumId w:val="19"/>
  </w:num>
  <w:num w:numId="20">
    <w:abstractNumId w:val="10"/>
  </w:num>
  <w:num w:numId="21">
    <w:abstractNumId w:val="23"/>
  </w:num>
  <w:num w:numId="22">
    <w:abstractNumId w:val="11"/>
  </w:num>
  <w:num w:numId="23">
    <w:abstractNumId w:val="18"/>
  </w:num>
  <w:num w:numId="24">
    <w:abstractNumId w:val="2"/>
  </w:num>
  <w:num w:numId="25">
    <w:abstractNumId w:val="17"/>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2D4E"/>
    <w:rsid w:val="001F0902"/>
    <w:rsid w:val="00267770"/>
    <w:rsid w:val="0035770A"/>
    <w:rsid w:val="003D65CC"/>
    <w:rsid w:val="005811F2"/>
    <w:rsid w:val="00637B22"/>
    <w:rsid w:val="00695EE6"/>
    <w:rsid w:val="00732D4E"/>
    <w:rsid w:val="009D0A5F"/>
    <w:rsid w:val="00A91148"/>
    <w:rsid w:val="00B01FD2"/>
    <w:rsid w:val="00B06DB5"/>
    <w:rsid w:val="00BE2420"/>
    <w:rsid w:val="00C531D4"/>
    <w:rsid w:val="00F02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2D4E"/>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732D4E"/>
    <w:pPr>
      <w:keepNext/>
      <w:keepLines/>
      <w:spacing w:before="360" w:after="240"/>
      <w:outlineLvl w:val="0"/>
    </w:pPr>
    <w:rPr>
      <w:rFonts w:ascii="Calibri" w:eastAsia="Calibri" w:hAnsi="Calibri" w:cs="Calibri"/>
      <w:b/>
      <w:sz w:val="36"/>
      <w:szCs w:val="36"/>
    </w:rPr>
  </w:style>
  <w:style w:type="paragraph" w:styleId="Nadpis2">
    <w:name w:val="heading 2"/>
    <w:basedOn w:val="normal"/>
    <w:next w:val="normal"/>
    <w:link w:val="Nadpis2Char"/>
    <w:rsid w:val="00732D4E"/>
    <w:pPr>
      <w:keepNext/>
      <w:keepLines/>
      <w:outlineLvl w:val="1"/>
    </w:pPr>
    <w:rPr>
      <w:rFonts w:ascii="Calibri" w:eastAsia="Calibri" w:hAnsi="Calibri" w:cs="Calibri"/>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2D4E"/>
    <w:rPr>
      <w:rFonts w:ascii="Calibri" w:eastAsia="Calibri" w:hAnsi="Calibri" w:cs="Calibri"/>
      <w:b/>
      <w:sz w:val="36"/>
      <w:szCs w:val="36"/>
    </w:rPr>
  </w:style>
  <w:style w:type="character" w:customStyle="1" w:styleId="Nadpis2Char">
    <w:name w:val="Nadpis 2 Char"/>
    <w:basedOn w:val="Standardnpsmoodstavce"/>
    <w:link w:val="Nadpis2"/>
    <w:rsid w:val="00732D4E"/>
    <w:rPr>
      <w:rFonts w:ascii="Calibri" w:eastAsia="Calibri" w:hAnsi="Calibri" w:cs="Calibri"/>
      <w:sz w:val="30"/>
      <w:szCs w:val="30"/>
    </w:rPr>
  </w:style>
  <w:style w:type="paragraph" w:customStyle="1" w:styleId="normal">
    <w:name w:val="normal"/>
    <w:rsid w:val="00732D4E"/>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732D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2D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3203</Words>
  <Characters>18262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4</cp:revision>
  <dcterms:created xsi:type="dcterms:W3CDTF">2025-07-28T21:55:00Z</dcterms:created>
  <dcterms:modified xsi:type="dcterms:W3CDTF">2025-07-30T03:39:00Z</dcterms:modified>
</cp:coreProperties>
</file>