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5B" w:rsidRPr="003D7E38" w:rsidRDefault="0014345B" w:rsidP="0014345B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  <w:bookmarkStart w:id="0" w:name="_heading=h.wylg3ze3biv" w:colFirst="0" w:colLast="0"/>
      <w:bookmarkEnd w:id="0"/>
    </w:p>
    <w:p w:rsidR="0014345B" w:rsidRDefault="0014345B" w:rsidP="0014345B">
      <w:pPr>
        <w:pStyle w:val="normal"/>
        <w:rPr>
          <w:rFonts w:ascii="Athiti" w:eastAsia="Athiti" w:hAnsi="Athiti" w:cs="Athiti"/>
          <w:b/>
          <w:color w:val="44546A"/>
          <w:sz w:val="48"/>
          <w:szCs w:val="48"/>
        </w:rPr>
      </w:pPr>
    </w:p>
    <w:p w:rsidR="0014345B" w:rsidRDefault="0014345B" w:rsidP="0014345B">
      <w:pPr>
        <w:pStyle w:val="normal"/>
        <w:rPr>
          <w:rFonts w:ascii="Athiti" w:eastAsia="Athiti" w:hAnsi="Athiti" w:cs="Athiti"/>
          <w:b/>
          <w:color w:val="44546A"/>
          <w:sz w:val="48"/>
          <w:szCs w:val="48"/>
        </w:rPr>
      </w:pPr>
    </w:p>
    <w:p w:rsidR="0014345B" w:rsidRDefault="0014345B" w:rsidP="0014345B">
      <w:pPr>
        <w:pStyle w:val="normal"/>
        <w:rPr>
          <w:rFonts w:ascii="Athiti" w:eastAsia="Athiti" w:hAnsi="Athiti" w:cs="Athiti"/>
          <w:b/>
          <w:color w:val="44546A"/>
          <w:sz w:val="48"/>
          <w:szCs w:val="48"/>
        </w:rPr>
      </w:pPr>
    </w:p>
    <w:p w:rsidR="0014345B" w:rsidRPr="00CF09E4" w:rsidRDefault="0014345B" w:rsidP="0014345B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</w:p>
    <w:p w:rsidR="0014345B" w:rsidRPr="00CF09E4" w:rsidRDefault="0014345B" w:rsidP="0014345B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  <w:bookmarkStart w:id="1" w:name="_heading=h.ouid73zgovp1" w:colFirst="0" w:colLast="0"/>
      <w:bookmarkEnd w:id="1"/>
    </w:p>
    <w:p w:rsidR="0014345B" w:rsidRPr="00CF09E4" w:rsidRDefault="0014345B" w:rsidP="0014345B">
      <w:pPr>
        <w:pStyle w:val="normal"/>
        <w:jc w:val="center"/>
        <w:rPr>
          <w:rFonts w:ascii="Athiti" w:eastAsia="Athiti" w:hAnsi="Athiti" w:cs="Athiti"/>
          <w:b/>
          <w:sz w:val="48"/>
          <w:szCs w:val="48"/>
          <w:lang w:val="cs-CZ"/>
        </w:rPr>
      </w:pPr>
      <w:r w:rsidRPr="00CF09E4">
        <w:rPr>
          <w:rFonts w:ascii="Athiti" w:eastAsia="Athiti" w:hAnsi="Athiti" w:cs="Athiti"/>
          <w:b/>
          <w:sz w:val="48"/>
          <w:szCs w:val="48"/>
          <w:lang w:val="cs-CZ"/>
        </w:rPr>
        <w:t>Politika klasifikace aktiv a rozsahu poskytovaných služeb</w:t>
      </w:r>
    </w:p>
    <w:p w:rsidR="0014345B" w:rsidRDefault="0014345B" w:rsidP="0014345B">
      <w:pPr>
        <w:pStyle w:val="normal"/>
        <w:jc w:val="center"/>
        <w:rPr>
          <w:rFonts w:ascii="Athiti" w:eastAsia="Athiti" w:hAnsi="Athiti" w:cs="Athiti"/>
          <w:b/>
          <w:sz w:val="48"/>
          <w:szCs w:val="48"/>
        </w:rPr>
      </w:pPr>
    </w:p>
    <w:p w:rsidR="0014345B" w:rsidRDefault="0014345B" w:rsidP="0014345B">
      <w:pPr>
        <w:pStyle w:val="normal"/>
        <w:jc w:val="left"/>
        <w:rPr>
          <w:rFonts w:ascii="Athiti" w:eastAsia="Athiti" w:hAnsi="Athiti" w:cs="Athiti"/>
          <w:b/>
          <w:sz w:val="48"/>
          <w:szCs w:val="48"/>
        </w:rPr>
      </w:pPr>
    </w:p>
    <w:p w:rsidR="0014345B" w:rsidRDefault="0014345B" w:rsidP="0014345B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sz w:val="18"/>
          <w:szCs w:val="18"/>
        </w:rPr>
      </w:pPr>
    </w:p>
    <w:p w:rsidR="0014345B" w:rsidRDefault="0014345B" w:rsidP="0014345B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sz w:val="18"/>
          <w:szCs w:val="18"/>
        </w:rPr>
      </w:pPr>
    </w:p>
    <w:p w:rsidR="0014345B" w:rsidRDefault="0014345B" w:rsidP="0014345B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sz w:val="18"/>
          <w:szCs w:val="18"/>
        </w:rPr>
      </w:pPr>
    </w:p>
    <w:tbl>
      <w:tblPr>
        <w:tblW w:w="5895" w:type="dxa"/>
        <w:tblInd w:w="3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49"/>
        <w:gridCol w:w="2746"/>
      </w:tblGrid>
      <w:tr w:rsidR="0014345B" w:rsidTr="003768ED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14345B" w:rsidRPr="00D773A5" w:rsidRDefault="0014345B" w:rsidP="003768ED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D773A5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Verze:</w:t>
            </w:r>
          </w:p>
        </w:tc>
        <w:tc>
          <w:tcPr>
            <w:tcW w:w="2746" w:type="dxa"/>
          </w:tcPr>
          <w:p w:rsidR="0014345B" w:rsidRPr="00D773A5" w:rsidRDefault="0014345B" w:rsidP="003768ED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D773A5">
              <w:rPr>
                <w:rFonts w:ascii="Athiti" w:eastAsia="Athiti" w:hAnsi="Athiti" w:cs="Athiti"/>
                <w:sz w:val="20"/>
                <w:szCs w:val="20"/>
                <w:lang w:val="cs-CZ"/>
              </w:rPr>
              <w:t>1.0</w:t>
            </w:r>
          </w:p>
        </w:tc>
      </w:tr>
      <w:tr w:rsidR="0014345B" w:rsidTr="003768ED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14345B" w:rsidRPr="00D773A5" w:rsidRDefault="0014345B" w:rsidP="003768ED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D773A5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dne:</w:t>
            </w:r>
          </w:p>
        </w:tc>
        <w:tc>
          <w:tcPr>
            <w:tcW w:w="2746" w:type="dxa"/>
          </w:tcPr>
          <w:p w:rsidR="0014345B" w:rsidRPr="00D773A5" w:rsidRDefault="00D773A5" w:rsidP="003768ED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  <w:tr w:rsidR="0014345B" w:rsidTr="003768ED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14345B" w:rsidRPr="00D773A5" w:rsidRDefault="0014345B" w:rsidP="003768ED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D773A5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oddělením:</w:t>
            </w:r>
          </w:p>
        </w:tc>
        <w:tc>
          <w:tcPr>
            <w:tcW w:w="2746" w:type="dxa"/>
          </w:tcPr>
          <w:p w:rsidR="0014345B" w:rsidRPr="00D773A5" w:rsidRDefault="0014345B" w:rsidP="003768ED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D773A5">
              <w:rPr>
                <w:rFonts w:ascii="Athiti" w:eastAsia="Athiti" w:hAnsi="Athiti" w:cs="Athiti"/>
                <w:sz w:val="20"/>
                <w:szCs w:val="20"/>
                <w:lang w:val="cs-CZ"/>
              </w:rPr>
              <w:t>Compliance</w:t>
            </w:r>
          </w:p>
        </w:tc>
      </w:tr>
      <w:tr w:rsidR="0014345B" w:rsidTr="003768ED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14345B" w:rsidRPr="00D773A5" w:rsidRDefault="0014345B" w:rsidP="003768ED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D773A5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Naposledy aktualizováno:</w:t>
            </w:r>
          </w:p>
        </w:tc>
        <w:tc>
          <w:tcPr>
            <w:tcW w:w="2746" w:type="dxa"/>
          </w:tcPr>
          <w:p w:rsidR="0014345B" w:rsidRPr="00D773A5" w:rsidRDefault="00D773A5" w:rsidP="003768ED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</w:tbl>
    <w:p w:rsidR="0014345B" w:rsidRPr="003D7E38" w:rsidRDefault="0014345B" w:rsidP="0014345B">
      <w:pPr>
        <w:pStyle w:val="normal"/>
        <w:jc w:val="left"/>
        <w:rPr>
          <w:rFonts w:ascii="Athiti" w:eastAsia="Athiti" w:hAnsi="Athiti" w:cs="Athiti"/>
          <w:color w:val="725DD9"/>
          <w:lang w:val="cs-CZ"/>
        </w:rPr>
      </w:pPr>
      <w:r w:rsidRPr="003D7E38">
        <w:rPr>
          <w:lang w:val="cs-CZ"/>
        </w:rPr>
        <w:br w:type="page"/>
      </w:r>
    </w:p>
    <w:p w:rsidR="0014345B" w:rsidRPr="00CF09E4" w:rsidRDefault="0014345B" w:rsidP="0014345B">
      <w:pPr>
        <w:pStyle w:val="normal"/>
        <w:keepNext/>
        <w:keepLines/>
        <w:spacing w:before="360" w:after="240"/>
        <w:jc w:val="left"/>
        <w:rPr>
          <w:rFonts w:ascii="Athiti" w:eastAsia="Athiti" w:hAnsi="Athiti" w:cs="Athiti"/>
          <w:b/>
          <w:sz w:val="36"/>
          <w:szCs w:val="36"/>
          <w:lang w:val="cs-CZ"/>
        </w:rPr>
      </w:pPr>
      <w:r w:rsidRPr="00CF09E4">
        <w:rPr>
          <w:rFonts w:ascii="Athiti" w:eastAsia="Athiti" w:hAnsi="Athiti" w:cs="Athiti"/>
          <w:b/>
          <w:sz w:val="36"/>
          <w:szCs w:val="36"/>
          <w:lang w:val="cs-CZ"/>
        </w:rPr>
        <w:lastRenderedPageBreak/>
        <w:t>Obsah</w:t>
      </w:r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jc w:val="left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hyperlink w:anchor="_heading=h.9rjii7rpa9xa"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>Pojmy a definice</w:t>
        </w:r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ab/>
          <w:t>2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jc w:val="left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hyperlink w:anchor="_heading=h.ambprre5aln6"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>1. Účel</w:t>
        </w:r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ab/>
          <w:t>3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jc w:val="left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hyperlink w:anchor="_heading=h.nemwxmz7jhlc"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>2. Působnost</w:t>
        </w:r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ab/>
          <w:t>4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jc w:val="left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hyperlink w:anchor="_heading=h.2isn3w8odyy9"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>3. Právní základ</w:t>
        </w:r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ab/>
          <w:t>5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jc w:val="left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hyperlink w:anchor="_heading=h.fd33ll6qn14w"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>4. Klasifikace kryptoaktiv</w:t>
        </w:r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ab/>
          <w:t>6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jc w:val="left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hyperlink w:anchor="_heading=h.lid5z2qcqoz6"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>5. Poskytované služby podle typu aktiva</w:t>
        </w:r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ab/>
          <w:t>7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jc w:val="left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hyperlink w:anchor="_heading=h.9poycbu1jwzp"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>6. Interní kontrola a aktualizace</w:t>
        </w:r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ab/>
          <w:t>8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000000"/>
          <w:sz w:val="22"/>
          <w:szCs w:val="22"/>
          <w:lang w:val="cs-CZ"/>
        </w:rPr>
      </w:pPr>
      <w:hyperlink w:anchor="_heading=h.fak7co2m6eck"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>6.1. Schvalování nových kryptoaktiv</w:t>
        </w:r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ab/>
          <w:t>8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000000"/>
          <w:sz w:val="22"/>
          <w:szCs w:val="22"/>
          <w:lang w:val="cs-CZ"/>
        </w:rPr>
      </w:pPr>
      <w:hyperlink w:anchor="_heading=h.5nztvkg51p3o"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>6.2. Pravidelná revize klasifikací</w:t>
        </w:r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ab/>
          <w:t>9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000000"/>
          <w:sz w:val="22"/>
          <w:szCs w:val="22"/>
          <w:lang w:val="cs-CZ"/>
        </w:rPr>
      </w:pPr>
      <w:hyperlink w:anchor="_heading=h.774c13nxklr8"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>6.3. Mimořádná aktualizace</w:t>
        </w:r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ab/>
          <w:t>9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jc w:val="left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hyperlink w:anchor="_heading=h.1yxzi75852k1"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>7. Uchovávání záznamů</w:t>
        </w:r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ab/>
          <w:t>10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000000"/>
          <w:sz w:val="22"/>
          <w:szCs w:val="22"/>
          <w:lang w:val="cs-CZ"/>
        </w:rPr>
      </w:pPr>
      <w:hyperlink w:anchor="_heading=h.hyclzn4amhck"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>7.1. Obsah evidované dokumentace</w:t>
        </w:r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ab/>
          <w:t>10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000000"/>
          <w:sz w:val="22"/>
          <w:szCs w:val="22"/>
          <w:lang w:val="cs-CZ"/>
        </w:rPr>
      </w:pPr>
      <w:hyperlink w:anchor="_heading=h.cv7a7phzfu3c"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>7.2. Formát a přístupnost</w:t>
        </w:r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ab/>
          <w:t>11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000000"/>
          <w:sz w:val="22"/>
          <w:szCs w:val="22"/>
          <w:lang w:val="cs-CZ"/>
        </w:rPr>
      </w:pPr>
      <w:hyperlink w:anchor="_heading=h.89b9y9cgwfw8"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>7.3. Uchovávací lhůty a dohledatelnost</w:t>
        </w:r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ab/>
          <w:t>12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jc w:val="left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hyperlink w:anchor="_heading=h.zcp5ne3n074w"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>8. Školení a informovanost</w:t>
        </w:r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ab/>
          <w:t>12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000000"/>
          <w:sz w:val="22"/>
          <w:szCs w:val="22"/>
          <w:lang w:val="cs-CZ"/>
        </w:rPr>
      </w:pPr>
      <w:hyperlink w:anchor="_heading=h.zc1xwh5y81p2"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>8.1. Oblast školení</w:t>
        </w:r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ab/>
          <w:t>12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000000"/>
          <w:sz w:val="22"/>
          <w:szCs w:val="22"/>
          <w:lang w:val="cs-CZ"/>
        </w:rPr>
      </w:pPr>
      <w:hyperlink w:anchor="_heading=h.s7c4e15d736s"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>8.2. Periodicita a forma školení</w:t>
        </w:r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ab/>
          <w:t>14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000000"/>
          <w:sz w:val="22"/>
          <w:szCs w:val="22"/>
          <w:lang w:val="cs-CZ"/>
        </w:rPr>
      </w:pPr>
      <w:hyperlink w:anchor="_heading=h.r3q7lev9omym"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>8.3. Dokumentace a sledování účasti</w:t>
        </w:r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ab/>
          <w:t>14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jc w:val="left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hyperlink w:anchor="_heading=h.ljc23atr6oin"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>9. Odpovědnosti</w:t>
        </w:r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ab/>
          <w:t>15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jc w:val="left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hyperlink w:anchor="_heading=h.w3k7blfi4jp3"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>10. Revize a změny</w:t>
        </w:r>
        <w:r w:rsidR="00CF09E4" w:rsidRPr="00CF09E4">
          <w:rPr>
            <w:rFonts w:ascii="Athiti" w:eastAsia="Athiti" w:hAnsi="Athiti" w:cs="Athiti"/>
            <w:b/>
            <w:color w:val="000000"/>
            <w:sz w:val="22"/>
            <w:szCs w:val="22"/>
            <w:lang w:val="cs-CZ"/>
          </w:rPr>
          <w:tab/>
          <w:t>15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000000"/>
          <w:sz w:val="22"/>
          <w:szCs w:val="22"/>
          <w:lang w:val="cs-CZ"/>
        </w:rPr>
      </w:pPr>
      <w:hyperlink w:anchor="_heading=h.sl75ixyihhkc"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>10.1. Periodicita revizí</w:t>
        </w:r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ab/>
          <w:t>15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lang w:val="cs-CZ"/>
        </w:rPr>
      </w:pPr>
      <w:hyperlink w:anchor="_heading=h.aqqqi1la6x9r"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>10.2. Proces revize</w:t>
        </w:r>
      </w:hyperlink>
    </w:p>
    <w:p w:rsidR="00CF09E4" w:rsidRPr="00CF09E4" w:rsidRDefault="002B5B37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b/>
          <w:sz w:val="36"/>
          <w:szCs w:val="36"/>
          <w:lang w:val="cs-CZ"/>
        </w:rPr>
      </w:pPr>
      <w:hyperlink w:anchor="_heading=h.ipux2a7g460p"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>10.3. Dokumentace a oznámení změn</w:t>
        </w:r>
        <w:r w:rsidR="00CF09E4" w:rsidRPr="00CF09E4">
          <w:rPr>
            <w:rFonts w:ascii="Athiti" w:eastAsia="Athiti" w:hAnsi="Athiti" w:cs="Athiti"/>
            <w:color w:val="000000"/>
            <w:sz w:val="22"/>
            <w:szCs w:val="22"/>
            <w:lang w:val="cs-CZ"/>
          </w:rPr>
          <w:tab/>
        </w:r>
      </w:hyperlink>
    </w:p>
    <w:p w:rsidR="0014345B" w:rsidRDefault="0014345B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</w:pPr>
    </w:p>
    <w:p w:rsidR="00CF09E4" w:rsidRDefault="00CF09E4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</w:pPr>
    </w:p>
    <w:p w:rsidR="00CF09E4" w:rsidRDefault="00CF09E4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D773A5" w:rsidRDefault="00D773A5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D773A5" w:rsidRDefault="00D773A5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D773A5" w:rsidRDefault="00D773A5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D773A5" w:rsidRDefault="00D773A5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D773A5" w:rsidRDefault="00D773A5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D773A5" w:rsidRDefault="00D773A5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D773A5" w:rsidRDefault="00D773A5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D773A5" w:rsidRDefault="00D773A5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D773A5" w:rsidRDefault="00D773A5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D773A5" w:rsidRDefault="00D773A5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D773A5" w:rsidRDefault="00D773A5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D773A5" w:rsidRDefault="00D773A5" w:rsidP="00CF09E4">
      <w:pPr>
        <w:pStyle w:val="normal"/>
        <w:widowControl w:val="0"/>
        <w:tabs>
          <w:tab w:val="right" w:pos="12000"/>
        </w:tabs>
        <w:spacing w:before="60" w:after="0" w:line="240" w:lineRule="auto"/>
        <w:ind w:left="360"/>
        <w:jc w:val="left"/>
        <w:rPr>
          <w:rFonts w:ascii="Athiti" w:eastAsia="Athiti" w:hAnsi="Athiti" w:cs="Athiti"/>
          <w:color w:val="44546A"/>
          <w:sz w:val="32"/>
          <w:szCs w:val="32"/>
        </w:rPr>
      </w:pPr>
    </w:p>
    <w:p w:rsidR="0014345B" w:rsidRPr="00DE76F3" w:rsidRDefault="0014345B" w:rsidP="0014345B">
      <w:pPr>
        <w:pStyle w:val="Nadpis1"/>
        <w:keepNext w:val="0"/>
        <w:keepLines w:val="0"/>
        <w:widowControl w:val="0"/>
        <w:spacing w:before="0" w:after="0" w:line="240" w:lineRule="auto"/>
        <w:ind w:left="392" w:hanging="293"/>
        <w:rPr>
          <w:rFonts w:ascii="Athiti" w:eastAsia="Athiti" w:hAnsi="Athiti" w:cs="Athiti"/>
          <w:sz w:val="28"/>
          <w:szCs w:val="28"/>
          <w:lang w:val="cs-CZ"/>
        </w:rPr>
      </w:pPr>
      <w:r w:rsidRPr="00DE76F3">
        <w:rPr>
          <w:rFonts w:ascii="Athiti" w:eastAsia="Athiti" w:hAnsi="Athiti" w:cs="Athiti"/>
          <w:sz w:val="28"/>
          <w:szCs w:val="28"/>
          <w:lang w:val="cs-CZ"/>
        </w:rPr>
        <w:lastRenderedPageBreak/>
        <w:t>Pojmy a definice</w:t>
      </w:r>
    </w:p>
    <w:p w:rsidR="0014345B" w:rsidRPr="00DE76F3" w:rsidRDefault="0014345B" w:rsidP="0014345B">
      <w:pPr>
        <w:pStyle w:val="normal"/>
        <w:widowControl w:val="0"/>
        <w:spacing w:before="108" w:after="0" w:line="24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</w:p>
    <w:tbl>
      <w:tblPr>
        <w:tblW w:w="944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600"/>
      </w:tblPr>
      <w:tblGrid>
        <w:gridCol w:w="2285"/>
        <w:gridCol w:w="7160"/>
      </w:tblGrid>
      <w:tr w:rsidR="0014345B" w:rsidRPr="00DE76F3" w:rsidTr="003768ED">
        <w:trPr>
          <w:cantSplit/>
          <w:trHeight w:val="51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center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Pojem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center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Definice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Kryptoaktivum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Digitální záznam hodnoty nebo práva, který je možné elektronicky převádět a uchovávat pomocí technologie DLT nebo obdobné.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Typ kryptoaktiva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Kategorie dle MiCA, např. asset-referenced token, e-money token, nebo jiné kryptoaktivum.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Klasifikace aktiv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Proces přiřazení kryptoaktiva k definované kategorii podle regulatorních nebo interních kritérií.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Rozsah služeb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Typy služeb poskytovaných společností ve vztahu ke konkrétnímu typu kryptoaktiva (např. správa, obchodování, uchovávání).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Politika klasifikace aktiv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Interní dokument definující metodiku, odpovědnosti a pravidla pro klasifikaci kryptoaktiv a přiřazený rozsah služeb.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Regulace MiCA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Nařízení (EU) 2023/1114 o trzích s kryptoaktivy, které stanoví právní rámec pro poskytovatele služeb s kryptoaktivy v EU.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Onboarding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Proces posouzení, přijetí a zařazení nového aktiva nebo klienta do systému společnosti.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ESMA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Evropský orgán pro cenné papíry a trhy – odpovědný za vydávání pokynů a dohledu v rámci MiCA.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Interní kontrola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Systém kontrolních mechanismů a odpovědností za zajištění souladu klasifikací a poskytovaných služeb.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Útvar compliance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Interní oddělení odpovědné za kontrolu souladu činnosti společnosti s regulatorními požadavky.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Změna klasifikace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Situace, kdy dojde k přehodnocení přiřazení aktiva do nové kategorie z důvodu regulatorní změny nebo změny vlastností aktiva.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Záznam o klasifikaci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Dokumentovaný výstup interního rozhodnutí o zařazení konkrétního kryptoaktiva do určité kategorie.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lastRenderedPageBreak/>
              <w:t>Školení zaměstnanců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Pravidelně pořádané vzdělávací aktivity zajišťující informovanost pracovníků o klasifikaci a rozsahu služeb.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2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sz w:val="22"/>
                <w:szCs w:val="22"/>
                <w:lang w:val="cs-CZ"/>
              </w:rPr>
              <w:t>Rozhodovací orgán</w:t>
            </w:r>
          </w:p>
        </w:tc>
        <w:tc>
          <w:tcPr>
            <w:tcW w:w="7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widowControl w:val="0"/>
              <w:spacing w:before="108" w:after="0" w:line="240" w:lineRule="auto"/>
              <w:jc w:val="left"/>
              <w:rPr>
                <w:rFonts w:ascii="Athiti" w:eastAsia="Athiti" w:hAnsi="Athiti" w:cs="Athiti"/>
                <w:sz w:val="22"/>
                <w:szCs w:val="22"/>
                <w:lang w:val="cs-CZ"/>
              </w:rPr>
            </w:pPr>
            <w:r w:rsidRPr="00DE76F3">
              <w:rPr>
                <w:rFonts w:ascii="Athiti" w:eastAsia="Athiti" w:hAnsi="Athiti" w:cs="Athiti"/>
                <w:sz w:val="22"/>
                <w:szCs w:val="22"/>
                <w:lang w:val="cs-CZ"/>
              </w:rPr>
              <w:t>Subjekt oprávněný schvalovat změny politiky (např. představenstvo společnosti).</w:t>
            </w:r>
          </w:p>
        </w:tc>
      </w:tr>
    </w:tbl>
    <w:p w:rsidR="0014345B" w:rsidRPr="00DE76F3" w:rsidRDefault="0014345B" w:rsidP="0014345B">
      <w:pPr>
        <w:pStyle w:val="normal"/>
        <w:widowControl w:val="0"/>
        <w:spacing w:before="108" w:after="0" w:line="240" w:lineRule="auto"/>
        <w:jc w:val="left"/>
        <w:rPr>
          <w:rFonts w:ascii="Athiti" w:eastAsia="Athiti" w:hAnsi="Athiti" w:cs="Athiti"/>
          <w:sz w:val="22"/>
          <w:szCs w:val="22"/>
          <w:lang w:val="cs-CZ"/>
        </w:rPr>
      </w:pPr>
    </w:p>
    <w:p w:rsidR="0014345B" w:rsidRPr="00DE76F3" w:rsidRDefault="0014345B" w:rsidP="0014345B">
      <w:pPr>
        <w:pStyle w:val="Nadpis1"/>
        <w:keepNext w:val="0"/>
        <w:keepLines w:val="0"/>
        <w:spacing w:before="280" w:after="8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1. Účel</w:t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Účelem této politiky je vytvoření rámce pro systematickou klasifikaci jednotlivých typů kryptoaktiv a vymezení rozsahu služeb, které společnost poskytuje ve vztahu ke každé kategorii těchto aktiv. Politika je navržena s cílem zajistit regulatorní konzistenci, provozní transparentnost a právní jednoznačnost při zacházení s různými druhy kryptoaktiv v rámci podnikatelské činnosti společnosti.</w:t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Tato politika zároveň umožňuje:</w:t>
      </w:r>
    </w:p>
    <w:p w:rsidR="0014345B" w:rsidRPr="00DE76F3" w:rsidRDefault="0014345B" w:rsidP="0014345B">
      <w:pPr>
        <w:pStyle w:val="normal"/>
        <w:numPr>
          <w:ilvl w:val="0"/>
          <w:numId w:val="11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jasně odlišit, pro která kryptoaktiva je společnost oprávněna poskytovat služby podle nařízení MiCA a pro která nikoli;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stanovit vnitřní procesy pro schvalování a kategorizaci nově zaváděných kryptoaktiv;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sladit poskytování služeb s očekáváními dozorových orgánů (zejména ČNB, ESMA) v oblasti řízení rizik, informační povinnosti vůči klientům a předcházení nelegitimnímu nakládání s aktivy;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podporovat konzistentní výklad a aplikaci pravidel při spolupráci mezi jednotlivými útvary (compliance, risk, produkt, IT);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1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posílit důvěru klientů, investorů a partnerů v transparentnost a robustnost obchodního modelu společnosti.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Politika tvoří jeden ze základních pilířů vnitřního kontrolního systému společnosti ve vztahu k souladu s článkem 62 odst. 2 písm. s) nařízení Evropského parlamentu a Rady (EU) 2023/1114 o trzích s kryptoaktivy (MiCA) a bude nedílnou součástí dokumentace předkládané při žádosti o povolení k poskytování služeb s kryptoaktivy.</w:t>
      </w:r>
    </w:p>
    <w:p w:rsidR="0014345B" w:rsidRPr="00DE76F3" w:rsidRDefault="0014345B" w:rsidP="0014345B">
      <w:pPr>
        <w:pStyle w:val="Nadpis1"/>
        <w:keepNext w:val="0"/>
        <w:keepLines w:val="0"/>
        <w:spacing w:before="280" w:after="8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2. Působnost</w:t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Tato politika se vztahuje na veškeré činnosti společnosti související s poskytováním služeb s kryptoaktivy, a to bez ohledu na to, zda jsou tyto služby poskytovány koncovým klientům, institucionálním investorům nebo prostřednictvím integrovaných B2B platforem.</w:t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lastRenderedPageBreak/>
        <w:t>Politika se vztahuje zejména na následující procesy a oblasti:</w:t>
      </w:r>
    </w:p>
    <w:p w:rsidR="0014345B" w:rsidRPr="00DE76F3" w:rsidRDefault="0014345B" w:rsidP="0014345B">
      <w:pPr>
        <w:pStyle w:val="normal"/>
        <w:numPr>
          <w:ilvl w:val="0"/>
          <w:numId w:val="15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onboarding a kategorizace nových kryptoaktiv,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schvalování rozsahu poskytovaných služeb pro jednotlivá aktiva,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nastavení technických parametrů a omezení v obchodních systémech,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řízení rizik plynoucích z různých typů kryptoaktiv (např. stabilita, likvidita, compliance),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reporting vůči regulátorům a poskytování informací klientům,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5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školení zaměstnanců a kontrola dodržování vnitřních pravidel.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Adresáty této politiky jsou:</w:t>
      </w:r>
    </w:p>
    <w:p w:rsidR="0014345B" w:rsidRPr="00DE76F3" w:rsidRDefault="0014345B" w:rsidP="0014345B">
      <w:pPr>
        <w:pStyle w:val="normal"/>
        <w:numPr>
          <w:ilvl w:val="0"/>
          <w:numId w:val="7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členové vedení společnosti zodpovědní za strategii a produktové řízení,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zaměstnanci a spolupracovníci oddělení compliance, řízení rizik, provozu, obchodu a IT,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všichni pracovníci zapojení do procesu přijímání a provádění pokynů s kryptoaktivy,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7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externí dodavatelé a partneři, pokud se podílejí na vývoji, správě nebo realizaci služeb s kryptoaktivy jménem společnosti.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 xml:space="preserve">Dodržování této politiky je </w:t>
      </w:r>
      <w:r w:rsidRPr="00DE76F3">
        <w:rPr>
          <w:rFonts w:ascii="Athiti" w:eastAsia="Athiti" w:hAnsi="Athiti" w:cs="Athiti"/>
          <w:b/>
          <w:lang w:val="cs-CZ"/>
        </w:rPr>
        <w:t>závazné</w:t>
      </w:r>
      <w:r w:rsidRPr="00DE76F3">
        <w:rPr>
          <w:rFonts w:ascii="Athiti" w:eastAsia="Athiti" w:hAnsi="Athiti" w:cs="Athiti"/>
          <w:lang w:val="cs-CZ"/>
        </w:rPr>
        <w:t xml:space="preserve"> a bude pravidelně kontrolováno v rámci interních auditů a monitoringu souladu s regulatorními požadavky.</w:t>
      </w:r>
    </w:p>
    <w:p w:rsidR="0014345B" w:rsidRPr="00DE76F3" w:rsidRDefault="0014345B" w:rsidP="0014345B">
      <w:pPr>
        <w:pStyle w:val="Nadpis1"/>
        <w:keepNext w:val="0"/>
        <w:keepLines w:val="0"/>
        <w:spacing w:before="280" w:after="8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3. Právní základ</w:t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Tato politika je vypracována a přijata v souladu s článkem 62 odst. 2 písm. s) nařízení Evropského parlamentu a Rady (EU) 2023/1114 ze dne 31. května 2023 o trzích s kryptoaktivy (MiCA), který stanoví povinnost poskytovatelů služeb s kryptoaktivy zavést interní politiku obsahující:</w:t>
      </w:r>
    </w:p>
    <w:p w:rsidR="0014345B" w:rsidRPr="00DE76F3" w:rsidRDefault="0014345B" w:rsidP="0014345B">
      <w:pPr>
        <w:pStyle w:val="normal"/>
        <w:spacing w:before="240" w:after="240"/>
        <w:ind w:left="600" w:right="60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„popis typu nebo typů kryptoaktiv, na které se vztahuje poskytovaná služba.“</w:t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Tímto požadavkem MiCA zavádí nutnost:</w:t>
      </w:r>
    </w:p>
    <w:p w:rsidR="0014345B" w:rsidRPr="00DE76F3" w:rsidRDefault="0014345B" w:rsidP="0014345B">
      <w:pPr>
        <w:pStyle w:val="normal"/>
        <w:numPr>
          <w:ilvl w:val="0"/>
          <w:numId w:val="3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jednoznačně definovat, která aktiva podléhají službám společnosti,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zajistit konzistentní posuzování a kategorizaci aktiv při jejich zařazení do produktového portfolia,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3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lastRenderedPageBreak/>
        <w:t>chránit koncové uživatele před nejasnostmi ohledně rizik spojených s jednotlivými typy aktiv.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Společnost současně při tvorbě této politiky zohlednila:</w:t>
      </w:r>
    </w:p>
    <w:p w:rsidR="0014345B" w:rsidRPr="00DE76F3" w:rsidRDefault="0014345B" w:rsidP="0014345B">
      <w:pPr>
        <w:pStyle w:val="normal"/>
        <w:numPr>
          <w:ilvl w:val="0"/>
          <w:numId w:val="14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doporučení a technické standardy Evropského orgánu pro cenné papíry a trhy (ESMA),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4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pokyny Evropského orgánu pro bankovnictví (EBA) týkající se stablecoinů,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4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obecné zásady řízení produktů a služeb dle MiFID II, včetně zásad cílového trhu.</w:t>
      </w:r>
    </w:p>
    <w:p w:rsidR="0014345B" w:rsidRPr="00DE76F3" w:rsidRDefault="0014345B" w:rsidP="0014345B">
      <w:pPr>
        <w:pStyle w:val="Nadpis1"/>
        <w:keepNext w:val="0"/>
        <w:keepLines w:val="0"/>
        <w:spacing w:before="280" w:after="8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4. Klasifikace kryptoaktiv</w:t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Společnost klasifikuje kryptoaktiva podle následujících kategorií, v souladu s nařízením MiCA:</w:t>
      </w:r>
    </w:p>
    <w:tbl>
      <w:tblPr>
        <w:tblW w:w="961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600"/>
      </w:tblPr>
      <w:tblGrid>
        <w:gridCol w:w="2510"/>
        <w:gridCol w:w="5315"/>
        <w:gridCol w:w="1790"/>
      </w:tblGrid>
      <w:tr w:rsidR="0014345B" w:rsidRPr="00DE76F3" w:rsidTr="003768ED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Typ kryptoaktiva</w:t>
            </w:r>
          </w:p>
        </w:tc>
        <w:tc>
          <w:tcPr>
            <w:tcW w:w="531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Definice</w:t>
            </w:r>
          </w:p>
        </w:tc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Odkaz v MiCA</w:t>
            </w:r>
          </w:p>
        </w:tc>
      </w:tr>
      <w:tr w:rsidR="0014345B" w:rsidRPr="00DE76F3" w:rsidTr="003768ED">
        <w:trPr>
          <w:cantSplit/>
          <w:trHeight w:val="1070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Tokeny vázané na aktiva (ARTs)</w:t>
            </w:r>
          </w:p>
        </w:tc>
        <w:tc>
          <w:tcPr>
            <w:tcW w:w="531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Kryptoaktiva, která si kladou za cíl udržet stabilní hodnotu s odkazem na více měn, komodit nebo jiných kryptoaktiv.</w:t>
            </w:r>
          </w:p>
        </w:tc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Hlava III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Elektronické peněžní tokeny (EMTs)</w:t>
            </w:r>
          </w:p>
        </w:tc>
        <w:tc>
          <w:tcPr>
            <w:tcW w:w="531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Kryptoaktiva odkazující na hodnotu jediné oficiální měny, s cílem zachovat stabilitu.</w:t>
            </w:r>
          </w:p>
        </w:tc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Hlava IV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Užitkové tokeny (utility tokens)</w:t>
            </w:r>
          </w:p>
        </w:tc>
        <w:tc>
          <w:tcPr>
            <w:tcW w:w="531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Kryptoaktiva, která umožňují přístup ke zboží nebo službě poskytované emitentem.</w:t>
            </w:r>
          </w:p>
        </w:tc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Hlava II</w:t>
            </w:r>
          </w:p>
        </w:tc>
      </w:tr>
      <w:tr w:rsidR="0014345B" w:rsidRPr="00DE76F3" w:rsidTr="003768ED">
        <w:trPr>
          <w:cantSplit/>
          <w:trHeight w:val="1070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Ostatní kryptoaktiva</w:t>
            </w:r>
          </w:p>
        </w:tc>
        <w:tc>
          <w:tcPr>
            <w:tcW w:w="531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Kryptoaktiva, která nejsou ARTs, EMTs ani utility tokens, např. nekolateralizované tokeny, tokeny z DeFi atd.</w:t>
            </w:r>
          </w:p>
        </w:tc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Hlava II (obecně)</w:t>
            </w:r>
          </w:p>
        </w:tc>
      </w:tr>
      <w:tr w:rsidR="0014345B" w:rsidRPr="00DE76F3" w:rsidTr="003768ED">
        <w:trPr>
          <w:cantSplit/>
          <w:trHeight w:val="1070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Nezaměnitelné tokeny (NFTs)</w:t>
            </w:r>
          </w:p>
        </w:tc>
        <w:tc>
          <w:tcPr>
            <w:tcW w:w="531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Jedinečná, nezaměnitelná aktiva. (Zpravidla mimo rozsah MiCA, pokud nejsou dělená nebo zaměnitelná.)</w:t>
            </w:r>
          </w:p>
        </w:tc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Recitál 10, čl. 2 odst. 2(a)</w:t>
            </w:r>
          </w:p>
        </w:tc>
      </w:tr>
      <w:tr w:rsidR="0014345B" w:rsidRPr="00DE76F3" w:rsidTr="003768ED">
        <w:trPr>
          <w:cantSplit/>
          <w:trHeight w:val="1070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lastRenderedPageBreak/>
              <w:t>Bezpečnostní tokeny</w:t>
            </w:r>
          </w:p>
        </w:tc>
        <w:tc>
          <w:tcPr>
            <w:tcW w:w="531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Tokeny kvalifikované jako finanční nástroje dle MiFID II – nespadají pod MiCA a nejsou předmětem této politiky.</w:t>
            </w:r>
          </w:p>
        </w:tc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Vyloučeno dle čl. 2 odst. 4</w:t>
            </w:r>
          </w:p>
        </w:tc>
      </w:tr>
    </w:tbl>
    <w:p w:rsidR="0014345B" w:rsidRPr="00DE76F3" w:rsidRDefault="0014345B" w:rsidP="0014345B">
      <w:pPr>
        <w:pStyle w:val="Nadpis1"/>
        <w:keepNext w:val="0"/>
        <w:keepLines w:val="0"/>
        <w:spacing w:before="280" w:after="8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5. Poskytované služby podle typu aktiva</w:t>
      </w:r>
    </w:p>
    <w:tbl>
      <w:tblPr>
        <w:tblW w:w="9637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600"/>
      </w:tblPr>
      <w:tblGrid>
        <w:gridCol w:w="2147"/>
        <w:gridCol w:w="1047"/>
        <w:gridCol w:w="1932"/>
        <w:gridCol w:w="1375"/>
        <w:gridCol w:w="1775"/>
        <w:gridCol w:w="1361"/>
      </w:tblGrid>
      <w:tr w:rsidR="0014345B" w:rsidRPr="00DE76F3" w:rsidTr="003768ED">
        <w:trPr>
          <w:cantSplit/>
          <w:trHeight w:val="785"/>
          <w:tblHeader/>
        </w:trPr>
        <w:tc>
          <w:tcPr>
            <w:tcW w:w="2146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Typ kryptoaktiva</w:t>
            </w:r>
          </w:p>
        </w:tc>
        <w:tc>
          <w:tcPr>
            <w:tcW w:w="1047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Úschova</w:t>
            </w:r>
          </w:p>
        </w:tc>
        <w:tc>
          <w:tcPr>
            <w:tcW w:w="1932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Provádění / obchodování</w:t>
            </w:r>
          </w:p>
        </w:tc>
        <w:tc>
          <w:tcPr>
            <w:tcW w:w="137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Převodní služby</w:t>
            </w:r>
          </w:p>
        </w:tc>
        <w:tc>
          <w:tcPr>
            <w:tcW w:w="177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Onboarding / ověření</w:t>
            </w:r>
          </w:p>
        </w:tc>
        <w:tc>
          <w:tcPr>
            <w:tcW w:w="1361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Směna fiat / crypto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146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Tokeny vázané na aktiva</w:t>
            </w:r>
          </w:p>
        </w:tc>
        <w:tc>
          <w:tcPr>
            <w:tcW w:w="1047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932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37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77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361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</w:tr>
      <w:tr w:rsidR="0014345B" w:rsidRPr="00DE76F3" w:rsidTr="003768ED">
        <w:trPr>
          <w:cantSplit/>
          <w:trHeight w:val="515"/>
          <w:tblHeader/>
        </w:trPr>
        <w:tc>
          <w:tcPr>
            <w:tcW w:w="2146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E-peněžní tokeny</w:t>
            </w:r>
          </w:p>
        </w:tc>
        <w:tc>
          <w:tcPr>
            <w:tcW w:w="1047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932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37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77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361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</w:tr>
      <w:tr w:rsidR="0014345B" w:rsidRPr="00DE76F3" w:rsidTr="003768ED">
        <w:trPr>
          <w:cantSplit/>
          <w:trHeight w:val="515"/>
          <w:tblHeader/>
        </w:trPr>
        <w:tc>
          <w:tcPr>
            <w:tcW w:w="2146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Užitkové tokeny</w:t>
            </w:r>
          </w:p>
        </w:tc>
        <w:tc>
          <w:tcPr>
            <w:tcW w:w="1047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932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37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77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361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</w:tr>
      <w:tr w:rsidR="0014345B" w:rsidRPr="00DE76F3" w:rsidTr="003768ED">
        <w:trPr>
          <w:cantSplit/>
          <w:trHeight w:val="515"/>
          <w:tblHeader/>
        </w:trPr>
        <w:tc>
          <w:tcPr>
            <w:tcW w:w="2146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Ostatní kryptoaktiva</w:t>
            </w:r>
          </w:p>
        </w:tc>
        <w:tc>
          <w:tcPr>
            <w:tcW w:w="1047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932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37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77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  <w:tc>
          <w:tcPr>
            <w:tcW w:w="1361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Ano</w:t>
            </w:r>
          </w:p>
        </w:tc>
      </w:tr>
      <w:tr w:rsidR="0014345B" w:rsidRPr="00DE76F3" w:rsidTr="003768ED">
        <w:trPr>
          <w:cantSplit/>
          <w:trHeight w:val="785"/>
          <w:tblHeader/>
        </w:trPr>
        <w:tc>
          <w:tcPr>
            <w:tcW w:w="2146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Nezaměnitelné tokeny (NFTs)</w:t>
            </w:r>
          </w:p>
        </w:tc>
        <w:tc>
          <w:tcPr>
            <w:tcW w:w="1047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Ne</w:t>
            </w:r>
          </w:p>
        </w:tc>
        <w:tc>
          <w:tcPr>
            <w:tcW w:w="1932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Ne</w:t>
            </w:r>
          </w:p>
        </w:tc>
        <w:tc>
          <w:tcPr>
            <w:tcW w:w="137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Ne</w:t>
            </w:r>
          </w:p>
        </w:tc>
        <w:tc>
          <w:tcPr>
            <w:tcW w:w="177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Ne</w:t>
            </w:r>
          </w:p>
        </w:tc>
        <w:tc>
          <w:tcPr>
            <w:tcW w:w="1361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Ne</w:t>
            </w:r>
          </w:p>
        </w:tc>
      </w:tr>
    </w:tbl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i/>
          <w:lang w:val="cs-CZ"/>
        </w:rPr>
        <w:t>Poznámka: Společnost aktuálně neposkytuje služby ve vztahu k NFT nebo bezpečnostním tokenům.</w:t>
      </w:r>
    </w:p>
    <w:p w:rsidR="0014345B" w:rsidRPr="00DE76F3" w:rsidRDefault="0014345B" w:rsidP="0014345B">
      <w:pPr>
        <w:pStyle w:val="Nadpis1"/>
        <w:keepNext w:val="0"/>
        <w:keepLines w:val="0"/>
        <w:spacing w:before="280" w:after="8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6. Interní kontrola a aktualizace</w:t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Společnost zavádí jasně definovaný rámec pro schvalování, revizi a aktualizaci klasifikace kryptoaktiv a rozsahu služeb, které k těmto aktivům poskytuje. Cílem je zajistit trvalý soulad s právními předpisy, technologickým vývojem a změnami v tržním prostředí.</w:t>
      </w:r>
    </w:p>
    <w:p w:rsidR="0014345B" w:rsidRPr="00DE76F3" w:rsidRDefault="0014345B" w:rsidP="0014345B">
      <w:pPr>
        <w:pStyle w:val="Nadpis2"/>
        <w:keepNext w:val="0"/>
        <w:keepLines w:val="0"/>
        <w:ind w:left="720" w:hanging="36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6.1. Schvalování nových kryptoaktiv</w:t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Každé nové kryptoaktivum, které má být zařazeno do nabídky služeb společnosti, podléhá internímu posouzení a schvalovacímu procesu. Tento proces zahrnuje:</w:t>
      </w:r>
    </w:p>
    <w:p w:rsidR="0014345B" w:rsidRPr="00DE76F3" w:rsidRDefault="0014345B" w:rsidP="0014345B">
      <w:pPr>
        <w:pStyle w:val="normal"/>
        <w:numPr>
          <w:ilvl w:val="0"/>
          <w:numId w:val="1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lastRenderedPageBreak/>
        <w:t>předběžnou právní a regulatorní analýzu</w:t>
      </w:r>
      <w:r w:rsidRPr="00DE76F3">
        <w:rPr>
          <w:rFonts w:ascii="Athiti" w:eastAsia="Athiti" w:hAnsi="Athiti" w:cs="Athiti"/>
          <w:lang w:val="cs-CZ"/>
        </w:rPr>
        <w:t xml:space="preserve"> zaměřenou na určení typu aktiva podle definic v nařízení MiCA (např. asset-referenced token, e-money token, jiné kryptoaktivum),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posouzení rizik</w:t>
      </w:r>
      <w:r w:rsidRPr="00DE76F3">
        <w:rPr>
          <w:rFonts w:ascii="Athiti" w:eastAsia="Athiti" w:hAnsi="Athiti" w:cs="Athiti"/>
          <w:lang w:val="cs-CZ"/>
        </w:rPr>
        <w:t xml:space="preserve"> z hlediska AML/CFT, tržní likvidity, technologické stability, reputace emitenta a souladu s ESG faktory, pokud jsou relevantní,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technické hodnocení kompatibility</w:t>
      </w:r>
      <w:r w:rsidRPr="00DE76F3">
        <w:rPr>
          <w:rFonts w:ascii="Athiti" w:eastAsia="Athiti" w:hAnsi="Athiti" w:cs="Athiti"/>
          <w:lang w:val="cs-CZ"/>
        </w:rPr>
        <w:t xml:space="preserve"> s obchodní a custody infrastrukturou společnosti,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ověření transparentnosti a důvěryhodnosti zdrojů tržních dat</w:t>
      </w:r>
      <w:r w:rsidRPr="00DE76F3">
        <w:rPr>
          <w:rFonts w:ascii="Athiti" w:eastAsia="Athiti" w:hAnsi="Athiti" w:cs="Athiti"/>
          <w:lang w:val="cs-CZ"/>
        </w:rPr>
        <w:t xml:space="preserve"> pro dané aktivum,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finální schválení</w:t>
      </w:r>
      <w:r w:rsidRPr="00DE76F3">
        <w:rPr>
          <w:rFonts w:ascii="Athiti" w:eastAsia="Athiti" w:hAnsi="Athiti" w:cs="Athiti"/>
          <w:lang w:val="cs-CZ"/>
        </w:rPr>
        <w:t xml:space="preserve"> útvarem compliance a řízení rizik.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Zařazení nového aktiva je možné až po splnění všech výše uvedených kritérií a dokumentovaném souhlasu obou útvarů.</w:t>
      </w:r>
    </w:p>
    <w:p w:rsidR="0014345B" w:rsidRPr="00DE76F3" w:rsidRDefault="0014345B" w:rsidP="0014345B">
      <w:pPr>
        <w:pStyle w:val="Nadpis2"/>
        <w:keepNext w:val="0"/>
        <w:keepLines w:val="0"/>
        <w:ind w:left="720" w:hanging="36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6.2. Pravidelná revize klasifikací</w:t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 xml:space="preserve">Společnost provádí </w:t>
      </w:r>
      <w:r w:rsidRPr="00DE76F3">
        <w:rPr>
          <w:rFonts w:ascii="Athiti" w:eastAsia="Athiti" w:hAnsi="Athiti" w:cs="Athiti"/>
          <w:b/>
          <w:lang w:val="cs-CZ"/>
        </w:rPr>
        <w:t>pravidelnou čtvrtletní revizi</w:t>
      </w:r>
      <w:r w:rsidRPr="00DE76F3">
        <w:rPr>
          <w:rFonts w:ascii="Athiti" w:eastAsia="Athiti" w:hAnsi="Athiti" w:cs="Athiti"/>
          <w:lang w:val="cs-CZ"/>
        </w:rPr>
        <w:t xml:space="preserve"> všech kryptoaktiv, která jsou součástí její nabídky, a rozsahu poskytovaných služeb k těmto aktivům. Revize se zaměřuje na:</w:t>
      </w:r>
    </w:p>
    <w:p w:rsidR="0014345B" w:rsidRPr="00DE76F3" w:rsidRDefault="0014345B" w:rsidP="0014345B">
      <w:pPr>
        <w:pStyle w:val="normal"/>
        <w:numPr>
          <w:ilvl w:val="0"/>
          <w:numId w:val="18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změny v právním postavení aktiva (např. re-klasifikace podle regulatorních novinek),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vývoj likvidity a objemu obchodování,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nové poznatky o bezpečnostních nebo reputačních rizicích,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změny v přístupu třetích stran (např. delisting na burze, ztráta podpory peněženek),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8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aktualizaci produktového záměru společnosti.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Na základě výsledků revize může společnost rozhodnout o:</w:t>
      </w:r>
    </w:p>
    <w:p w:rsidR="0014345B" w:rsidRPr="00DE76F3" w:rsidRDefault="0014345B" w:rsidP="0014345B">
      <w:pPr>
        <w:pStyle w:val="normal"/>
        <w:numPr>
          <w:ilvl w:val="0"/>
          <w:numId w:val="17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úpravě poskytovaných služeb</w:t>
      </w:r>
      <w:r w:rsidRPr="00DE76F3">
        <w:rPr>
          <w:rFonts w:ascii="Athiti" w:eastAsia="Athiti" w:hAnsi="Athiti" w:cs="Athiti"/>
          <w:lang w:val="cs-CZ"/>
        </w:rPr>
        <w:t xml:space="preserve"> (např. omezení provádění pokynů, změna poplatkové struktury),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překlasifikaci aktiva</w:t>
      </w:r>
      <w:r w:rsidRPr="00DE76F3">
        <w:rPr>
          <w:rFonts w:ascii="Athiti" w:eastAsia="Athiti" w:hAnsi="Athiti" w:cs="Athiti"/>
          <w:lang w:val="cs-CZ"/>
        </w:rPr>
        <w:t xml:space="preserve"> v interním systému,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7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pozastavení nebo úplném vyřazení</w:t>
      </w:r>
      <w:r w:rsidRPr="00DE76F3">
        <w:rPr>
          <w:rFonts w:ascii="Athiti" w:eastAsia="Athiti" w:hAnsi="Athiti" w:cs="Athiti"/>
          <w:lang w:val="cs-CZ"/>
        </w:rPr>
        <w:t xml:space="preserve"> aktiva z nabídky služeb (delisting).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adpis2"/>
        <w:keepNext w:val="0"/>
        <w:keepLines w:val="0"/>
        <w:ind w:left="720" w:hanging="36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6.3. Mimořádná aktualizace</w:t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 xml:space="preserve">Revize a případné aktualizace klasifikace kryptoaktiv a služeb mimo standardní cyklus probíhají </w:t>
      </w:r>
      <w:r w:rsidRPr="00DE76F3">
        <w:rPr>
          <w:rFonts w:ascii="Athiti" w:eastAsia="Athiti" w:hAnsi="Athiti" w:cs="Athiti"/>
          <w:b/>
          <w:lang w:val="cs-CZ"/>
        </w:rPr>
        <w:t>bezodkladně</w:t>
      </w:r>
      <w:r w:rsidRPr="00DE76F3">
        <w:rPr>
          <w:rFonts w:ascii="Athiti" w:eastAsia="Athiti" w:hAnsi="Athiti" w:cs="Athiti"/>
          <w:lang w:val="cs-CZ"/>
        </w:rPr>
        <w:t>, pokud nastanou:</w:t>
      </w:r>
    </w:p>
    <w:p w:rsidR="0014345B" w:rsidRPr="00DE76F3" w:rsidRDefault="0014345B" w:rsidP="0014345B">
      <w:pPr>
        <w:pStyle w:val="normal"/>
        <w:numPr>
          <w:ilvl w:val="0"/>
          <w:numId w:val="12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lastRenderedPageBreak/>
        <w:t>zásadní změny v právní úpravě</w:t>
      </w:r>
      <w:r w:rsidRPr="00DE76F3">
        <w:rPr>
          <w:rFonts w:ascii="Athiti" w:eastAsia="Athiti" w:hAnsi="Athiti" w:cs="Athiti"/>
          <w:lang w:val="cs-CZ"/>
        </w:rPr>
        <w:t xml:space="preserve"> nebo vydání nových regulatorních výkladů relevantních pro daný typ aktiva,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významné tržní události</w:t>
      </w:r>
      <w:r w:rsidRPr="00DE76F3">
        <w:rPr>
          <w:rFonts w:ascii="Athiti" w:eastAsia="Athiti" w:hAnsi="Athiti" w:cs="Athiti"/>
          <w:lang w:val="cs-CZ"/>
        </w:rPr>
        <w:t>, jako jsou prudké výkyvy ceny, oznámení o hacknutí, insolvence emitenta nebo jiná systémová rizika,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2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zavedení nových produktových řad</w:t>
      </w:r>
      <w:r w:rsidRPr="00DE76F3">
        <w:rPr>
          <w:rFonts w:ascii="Athiti" w:eastAsia="Athiti" w:hAnsi="Athiti" w:cs="Athiti"/>
          <w:lang w:val="cs-CZ"/>
        </w:rPr>
        <w:t>, které mění rozsah poskytovaných služeb nebo přístup k určité kategorii kryptoaktiv.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V takových případech compliance a risk útvary provedou urychlenou analýzu a navrhnou úpravy klasifikace a poskytovaných služeb, které podléhají následnému formálnímu schválení vedením společnosti.</w:t>
      </w:r>
    </w:p>
    <w:p w:rsidR="0014345B" w:rsidRPr="00DE76F3" w:rsidRDefault="0014345B" w:rsidP="0014345B">
      <w:pPr>
        <w:pStyle w:val="Nadpis1"/>
        <w:keepNext w:val="0"/>
        <w:keepLines w:val="0"/>
        <w:spacing w:before="280" w:after="8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7. Uchovávání záznamů</w:t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Společnost udržuje strukturovaný, úplný a pravidelně aktualizovaný evidenční systém, který dokumentuje všechny skutečnosti související s klasifikací kryptoaktiv a s rozsahem služeb poskytovaných k jednotlivým aktivům.</w:t>
      </w:r>
    </w:p>
    <w:p w:rsidR="0014345B" w:rsidRPr="00DE76F3" w:rsidRDefault="0014345B" w:rsidP="0014345B">
      <w:pPr>
        <w:pStyle w:val="Nadpis2"/>
        <w:keepNext w:val="0"/>
        <w:keepLines w:val="0"/>
        <w:ind w:left="720" w:hanging="36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7.1. Obsah evidované dokumentace</w:t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V rámci vnitřní evidence společnost systematicky uchovává následující informace:</w:t>
      </w:r>
    </w:p>
    <w:p w:rsidR="0014345B" w:rsidRPr="00DE76F3" w:rsidRDefault="0014345B" w:rsidP="0014345B">
      <w:pPr>
        <w:pStyle w:val="normal"/>
        <w:numPr>
          <w:ilvl w:val="0"/>
          <w:numId w:val="5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seznam všech kryptoaktiv</w:t>
      </w:r>
      <w:r w:rsidRPr="00DE76F3">
        <w:rPr>
          <w:rFonts w:ascii="Athiti" w:eastAsia="Athiti" w:hAnsi="Athiti" w:cs="Athiti"/>
          <w:lang w:val="cs-CZ"/>
        </w:rPr>
        <w:t>, ke kterým jsou aktuálně poskytovány služby dle nařízení MiCA (včetně ISIN nebo jiného jednoznačného identifikátoru, pokud existuje),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klasifikaci každého aktiva</w:t>
      </w:r>
      <w:r w:rsidRPr="00DE76F3">
        <w:rPr>
          <w:rFonts w:ascii="Athiti" w:eastAsia="Athiti" w:hAnsi="Athiti" w:cs="Athiti"/>
          <w:lang w:val="cs-CZ"/>
        </w:rPr>
        <w:t xml:space="preserve"> podle této interní politiky (např. e-money token, ART, jiná kryptoaktiva),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přiřazení typu služby</w:t>
      </w:r>
      <w:r w:rsidRPr="00DE76F3">
        <w:rPr>
          <w:rFonts w:ascii="Athiti" w:eastAsia="Athiti" w:hAnsi="Athiti" w:cs="Athiti"/>
          <w:lang w:val="cs-CZ"/>
        </w:rPr>
        <w:t xml:space="preserve"> podle článku 4 MiCA (např. příjem a předávání pokynů, držení na účet klienta, provozování obchodní platformy),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datum schválení klasifikace</w:t>
      </w:r>
      <w:r w:rsidRPr="00DE76F3">
        <w:rPr>
          <w:rFonts w:ascii="Athiti" w:eastAsia="Athiti" w:hAnsi="Athiti" w:cs="Athiti"/>
          <w:lang w:val="cs-CZ"/>
        </w:rPr>
        <w:t xml:space="preserve"> a její poslední revize,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záznamy o změnách</w:t>
      </w:r>
      <w:r w:rsidRPr="00DE76F3">
        <w:rPr>
          <w:rFonts w:ascii="Athiti" w:eastAsia="Athiti" w:hAnsi="Athiti" w:cs="Athiti"/>
          <w:lang w:val="cs-CZ"/>
        </w:rPr>
        <w:t>, včetně: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důvodu změny (např. regulatorní změna, vývoj trhu, nová verze whitepaperu),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útvaru, který změnu navrhl a schválil,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5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data účinnosti změny.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lastRenderedPageBreak/>
        <w:t xml:space="preserve">Tato dokumentace slouží jako </w:t>
      </w:r>
      <w:r w:rsidRPr="00DE76F3">
        <w:rPr>
          <w:rFonts w:ascii="Athiti" w:eastAsia="Athiti" w:hAnsi="Athiti" w:cs="Athiti"/>
          <w:b/>
          <w:lang w:val="cs-CZ"/>
        </w:rPr>
        <w:t>referenční bod</w:t>
      </w:r>
      <w:r w:rsidRPr="00DE76F3">
        <w:rPr>
          <w:rFonts w:ascii="Athiti" w:eastAsia="Athiti" w:hAnsi="Athiti" w:cs="Athiti"/>
          <w:lang w:val="cs-CZ"/>
        </w:rPr>
        <w:t xml:space="preserve"> pro všechny činnosti spojené s produktem, obchodováním, reportingem a komunikací vůči dohledu a klientům.</w:t>
      </w:r>
    </w:p>
    <w:p w:rsidR="0014345B" w:rsidRPr="00DE76F3" w:rsidRDefault="0014345B" w:rsidP="0014345B">
      <w:pPr>
        <w:pStyle w:val="Nadpis2"/>
        <w:keepNext w:val="0"/>
        <w:keepLines w:val="0"/>
        <w:ind w:left="720" w:hanging="36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7.2. Formát a přístupnost</w:t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Záznamy jsou vedeny v elektronické podobě v rámci interního systému pro správu produktových dat (např. interní knowledge base, SharePoint, nebo regulovaná databáze). Tyto záznamy:</w:t>
      </w:r>
    </w:p>
    <w:p w:rsidR="0014345B" w:rsidRPr="00DE76F3" w:rsidRDefault="0014345B" w:rsidP="0014345B">
      <w:pPr>
        <w:pStyle w:val="normal"/>
        <w:numPr>
          <w:ilvl w:val="0"/>
          <w:numId w:val="13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jsou chráněny přístupovými právy podle principu „need-to-know“,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podléhají pravidelnému zálohování a kontrole integrity,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3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jsou uloženy v souladu s požadavky MiCA, AML/CFT a GDPR.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Přístup k dokumentaci mají zejména:</w:t>
      </w:r>
    </w:p>
    <w:p w:rsidR="0014345B" w:rsidRPr="00DE76F3" w:rsidRDefault="0014345B" w:rsidP="0014345B">
      <w:pPr>
        <w:pStyle w:val="normal"/>
        <w:numPr>
          <w:ilvl w:val="0"/>
          <w:numId w:val="8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útvary compliance, řízení rizik, produktový a právní tým,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vedení společnosti a osoby odpovědné za kontakt s regulátory,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8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útvary odpovědné za reporting, onboarding a AML.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adpis2"/>
        <w:keepNext w:val="0"/>
        <w:keepLines w:val="0"/>
        <w:ind w:left="720" w:hanging="36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7.3. Uchovávací lhůty a dohledatelnost</w:t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V souladu s článkem 61 MiCA a souvisejícími regulatorními předpisy společnost uchovává:</w:t>
      </w:r>
    </w:p>
    <w:p w:rsidR="0014345B" w:rsidRPr="00DE76F3" w:rsidRDefault="0014345B" w:rsidP="0014345B">
      <w:pPr>
        <w:pStyle w:val="normal"/>
        <w:numPr>
          <w:ilvl w:val="0"/>
          <w:numId w:val="4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záznamy o aktuálním stavu</w:t>
      </w:r>
      <w:r w:rsidRPr="00DE76F3">
        <w:rPr>
          <w:rFonts w:ascii="Athiti" w:eastAsia="Athiti" w:hAnsi="Athiti" w:cs="Athiti"/>
          <w:lang w:val="cs-CZ"/>
        </w:rPr>
        <w:t xml:space="preserve"> (aktivní klasifikace a rozsah služeb) po celou dobu platnosti obchodního vztahu s klientem a nejméně po dobu 10 let od jeho ukončení,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4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historické verze klasifikace a rozsahu služeb</w:t>
      </w:r>
      <w:r w:rsidRPr="00DE76F3">
        <w:rPr>
          <w:rFonts w:ascii="Athiti" w:eastAsia="Athiti" w:hAnsi="Athiti" w:cs="Athiti"/>
          <w:lang w:val="cs-CZ"/>
        </w:rPr>
        <w:t>, včetně revizních komentářů, po dobu nejméně 10 let od provedení změny.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Záznamy jsou vedeny tak, aby umožnily:</w:t>
      </w:r>
    </w:p>
    <w:p w:rsidR="0014345B" w:rsidRPr="00DE76F3" w:rsidRDefault="0014345B" w:rsidP="0014345B">
      <w:pPr>
        <w:pStyle w:val="normal"/>
        <w:numPr>
          <w:ilvl w:val="0"/>
          <w:numId w:val="6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snadnou zpětnou dohledatelnost vývoje postavení konkrétního aktiva v čase,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poskytnutí úplného auditu regulačním orgánům,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6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interní analýzu dopadů změn klasifikace na služby, systémy a klienty.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adpis1"/>
        <w:keepNext w:val="0"/>
        <w:keepLines w:val="0"/>
        <w:spacing w:before="280" w:after="8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8. Školení a informovanost</w:t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lastRenderedPageBreak/>
        <w:t>Společnost zavádí systematický program školení a průběžné informovanosti pro všechny zaměstnance a externí spolupracovníky, kteří se podílejí na poskytování služeb s kryptoaktivy. Cílem je zajistit jednotné porozumění pravidlům klasifikace kryptoaktiv, souladu s legislativou a odpovědnému poskytování služeb dle rozsahu stanoveného touto politikou.</w:t>
      </w:r>
    </w:p>
    <w:p w:rsidR="0014345B" w:rsidRPr="00DE76F3" w:rsidRDefault="0014345B" w:rsidP="0014345B">
      <w:pPr>
        <w:pStyle w:val="Nadpis2"/>
        <w:keepNext w:val="0"/>
        <w:keepLines w:val="0"/>
        <w:ind w:left="720" w:hanging="36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8.1. Oblast školení</w:t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Školení zahrnuje následující tematické okruhy:</w:t>
      </w:r>
    </w:p>
    <w:p w:rsidR="0014345B" w:rsidRPr="00DE76F3" w:rsidRDefault="0014345B" w:rsidP="0014345B">
      <w:pPr>
        <w:pStyle w:val="normal"/>
        <w:numPr>
          <w:ilvl w:val="0"/>
          <w:numId w:val="9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Klasifikace kryptoaktiv</w:t>
      </w:r>
      <w:r w:rsidRPr="00DE76F3">
        <w:rPr>
          <w:rFonts w:ascii="Athiti" w:eastAsia="Athiti" w:hAnsi="Athiti" w:cs="Athiti"/>
          <w:lang w:val="cs-CZ"/>
        </w:rPr>
        <w:t xml:space="preserve"> podle MiCA: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rozdíly mezi e-money tokeny, asset-referenced tokeny a jinými kryptoaktivy,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kritéria zařazení dle této interní politiky,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dopady klasifikace na rizikový profil a regulatorní zacházení s aktivem.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Rozsah poskytovaných služeb</w:t>
      </w:r>
      <w:r w:rsidRPr="00DE76F3">
        <w:rPr>
          <w:rFonts w:ascii="Athiti" w:eastAsia="Athiti" w:hAnsi="Athiti" w:cs="Athiti"/>
          <w:lang w:val="cs-CZ"/>
        </w:rPr>
        <w:t>: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povolené typy služeb dle článku 4 MiCA, které společnost nabízí k danému typu aktiva (např. obchodování, úschova, poradenství),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omezení a vyloučení poskytování služeb k určité kategorii aktiv,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požadavky na validaci služeb dle právního statusu aktiva.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Regulatorní rámec</w:t>
      </w:r>
      <w:r w:rsidRPr="00DE76F3">
        <w:rPr>
          <w:rFonts w:ascii="Athiti" w:eastAsia="Athiti" w:hAnsi="Athiti" w:cs="Athiti"/>
          <w:lang w:val="cs-CZ"/>
        </w:rPr>
        <w:t>: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aktuální znění nařízení MiCA,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výklady a pokyny vydané Evropským orgánem pro cenné papíry a trhy (ESMA),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implementační předpisy vydané na úrovni členského státu.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Interní procesy</w:t>
      </w:r>
      <w:r w:rsidRPr="00DE76F3">
        <w:rPr>
          <w:rFonts w:ascii="Athiti" w:eastAsia="Athiti" w:hAnsi="Athiti" w:cs="Athiti"/>
          <w:lang w:val="cs-CZ"/>
        </w:rPr>
        <w:t>: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postupy schvalování nových aktiv,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dokumentace klasifikace a služeb,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9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komunikace se zákazníkem v případech změny klasifikace nebo přístupu ke službě.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adpis2"/>
        <w:keepNext w:val="0"/>
        <w:keepLines w:val="0"/>
        <w:ind w:left="720" w:hanging="36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8.2. Periodicita a forma školení</w:t>
      </w:r>
    </w:p>
    <w:p w:rsidR="0014345B" w:rsidRPr="00DE76F3" w:rsidRDefault="0014345B" w:rsidP="0014345B">
      <w:pPr>
        <w:pStyle w:val="normal"/>
        <w:numPr>
          <w:ilvl w:val="0"/>
          <w:numId w:val="16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sz w:val="22"/>
          <w:szCs w:val="22"/>
          <w:lang w:val="cs-CZ"/>
        </w:rPr>
        <w:lastRenderedPageBreak/>
        <w:t>Úvodní školení</w:t>
      </w:r>
      <w:r w:rsidRPr="00DE76F3">
        <w:rPr>
          <w:rFonts w:ascii="Athiti" w:eastAsia="Athiti" w:hAnsi="Athiti" w:cs="Athiti"/>
          <w:lang w:val="cs-CZ"/>
        </w:rPr>
        <w:t xml:space="preserve"> je povinné pro všechny nové zaměstnance nastupující do relevantních útvarů.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Opakovací školení</w:t>
      </w:r>
      <w:r w:rsidRPr="00DE76F3">
        <w:rPr>
          <w:rFonts w:ascii="Athiti" w:eastAsia="Athiti" w:hAnsi="Athiti" w:cs="Athiti"/>
          <w:lang w:val="cs-CZ"/>
        </w:rPr>
        <w:t xml:space="preserve"> probíhá minimálně </w:t>
      </w:r>
      <w:r w:rsidRPr="00DE76F3">
        <w:rPr>
          <w:rFonts w:ascii="Athiti" w:eastAsia="Athiti" w:hAnsi="Athiti" w:cs="Athiti"/>
          <w:b/>
          <w:lang w:val="cs-CZ"/>
        </w:rPr>
        <w:t>jednou ročně</w:t>
      </w:r>
      <w:r w:rsidRPr="00DE76F3">
        <w:rPr>
          <w:rFonts w:ascii="Athiti" w:eastAsia="Athiti" w:hAnsi="Athiti" w:cs="Athiti"/>
          <w:lang w:val="cs-CZ"/>
        </w:rPr>
        <w:t>, nebo ad hoc v případě významných legislativních změn.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Školení může být realizováno: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1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prezenčně formou workshopu,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1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online prostřednictvím e-learningového modulu,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16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v kombinované formě s testem porozumění.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adpis2"/>
        <w:keepNext w:val="0"/>
        <w:keepLines w:val="0"/>
        <w:ind w:left="720" w:hanging="36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8.3. Dokumentace a sledování účasti</w:t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Společnost vede elektronickou evidenci všech absolvovaných školení, která zahrnuje:</w:t>
      </w:r>
    </w:p>
    <w:p w:rsidR="0014345B" w:rsidRPr="00DE76F3" w:rsidRDefault="0014345B" w:rsidP="0014345B">
      <w:pPr>
        <w:pStyle w:val="normal"/>
        <w:numPr>
          <w:ilvl w:val="0"/>
          <w:numId w:val="20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jméno školeného pracovníka,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20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datum absolvování a název školení,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20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záznam o úspěšném dokončení (např. výsledek testu),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20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podpis školeného zaměstnance (fyzicky nebo elektronicky).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spacing w:before="240"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Tato dokumentace slouží jako důkaz o odborné způsobilosti při komunikaci s regulačními orgány nebo v případě kontroly ze strany dohledu.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adpis1"/>
        <w:keepNext w:val="0"/>
        <w:keepLines w:val="0"/>
        <w:spacing w:before="280" w:after="8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9. Odpovědnosti</w:t>
      </w:r>
    </w:p>
    <w:tbl>
      <w:tblPr>
        <w:tblW w:w="9220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600"/>
      </w:tblPr>
      <w:tblGrid>
        <w:gridCol w:w="2135"/>
        <w:gridCol w:w="7085"/>
      </w:tblGrid>
      <w:tr w:rsidR="0014345B" w:rsidRPr="00DE76F3" w:rsidTr="003768ED">
        <w:trPr>
          <w:cantSplit/>
          <w:trHeight w:val="515"/>
          <w:tblHeader/>
        </w:trPr>
        <w:tc>
          <w:tcPr>
            <w:tcW w:w="21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Funkce</w:t>
            </w:r>
          </w:p>
        </w:tc>
        <w:tc>
          <w:tcPr>
            <w:tcW w:w="70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b/>
                <w:lang w:val="cs-CZ"/>
              </w:rPr>
              <w:t>Odpovědnosti</w:t>
            </w:r>
          </w:p>
        </w:tc>
      </w:tr>
      <w:tr w:rsidR="0014345B" w:rsidRPr="00DE76F3" w:rsidTr="003768ED">
        <w:trPr>
          <w:cantSplit/>
          <w:trHeight w:val="515"/>
          <w:tblHeader/>
        </w:trPr>
        <w:tc>
          <w:tcPr>
            <w:tcW w:w="21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Compliance Officer</w:t>
            </w:r>
          </w:p>
        </w:tc>
        <w:tc>
          <w:tcPr>
            <w:tcW w:w="70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Správa politiky, sledování právních změn, hlášení nesouladu.</w:t>
            </w:r>
          </w:p>
        </w:tc>
      </w:tr>
      <w:tr w:rsidR="0014345B" w:rsidRPr="00DE76F3" w:rsidTr="003768ED">
        <w:trPr>
          <w:cantSplit/>
          <w:trHeight w:val="515"/>
          <w:tblHeader/>
        </w:trPr>
        <w:tc>
          <w:tcPr>
            <w:tcW w:w="21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Risk Officer</w:t>
            </w:r>
          </w:p>
        </w:tc>
        <w:tc>
          <w:tcPr>
            <w:tcW w:w="70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Posouzení rizik spojených s jednotlivými typy aktiv.</w:t>
            </w:r>
          </w:p>
        </w:tc>
      </w:tr>
      <w:tr w:rsidR="0014345B" w:rsidRPr="00DE76F3" w:rsidTr="003768ED">
        <w:trPr>
          <w:cantSplit/>
          <w:trHeight w:val="515"/>
          <w:tblHeader/>
        </w:trPr>
        <w:tc>
          <w:tcPr>
            <w:tcW w:w="21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lastRenderedPageBreak/>
              <w:t>Provoz / produkt</w:t>
            </w:r>
          </w:p>
        </w:tc>
        <w:tc>
          <w:tcPr>
            <w:tcW w:w="70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Dodržování rozsahu služeb dle typu aktiva.</w:t>
            </w:r>
          </w:p>
        </w:tc>
      </w:tr>
      <w:tr w:rsidR="0014345B" w:rsidRPr="00DE76F3" w:rsidTr="003768ED">
        <w:trPr>
          <w:cantSplit/>
          <w:trHeight w:val="515"/>
          <w:tblHeader/>
        </w:trPr>
        <w:tc>
          <w:tcPr>
            <w:tcW w:w="21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IT / Bezpečnost</w:t>
            </w:r>
          </w:p>
        </w:tc>
        <w:tc>
          <w:tcPr>
            <w:tcW w:w="708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45B" w:rsidRPr="00DE76F3" w:rsidRDefault="0014345B" w:rsidP="003768ED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DE76F3">
              <w:rPr>
                <w:rFonts w:ascii="Athiti" w:eastAsia="Athiti" w:hAnsi="Athiti" w:cs="Athiti"/>
                <w:lang w:val="cs-CZ"/>
              </w:rPr>
              <w:t>Zavedení technických omezení na zpracování nepovolených typů aktiv.</w:t>
            </w:r>
          </w:p>
        </w:tc>
      </w:tr>
    </w:tbl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</w:p>
    <w:p w:rsidR="0014345B" w:rsidRPr="00DE76F3" w:rsidRDefault="0014345B" w:rsidP="0014345B">
      <w:pPr>
        <w:pStyle w:val="Nadpis1"/>
        <w:keepNext w:val="0"/>
        <w:keepLines w:val="0"/>
        <w:spacing w:before="280" w:after="8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10. Revize a změny</w:t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Tato politika je dynamickým dokumentem, který podléhá pravidelné revizi s cílem zajistit trvalý soulad s regulatorními požadavky, aktuálními obchodními aktivitami společnosti a vývojem trhu s kryptoaktivy.</w:t>
      </w:r>
    </w:p>
    <w:p w:rsidR="0014345B" w:rsidRPr="00DE76F3" w:rsidRDefault="0014345B" w:rsidP="0014345B">
      <w:pPr>
        <w:pStyle w:val="Nadpis2"/>
        <w:keepNext w:val="0"/>
        <w:keepLines w:val="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10.1. Periodicita revizí</w:t>
      </w:r>
    </w:p>
    <w:p w:rsidR="0014345B" w:rsidRPr="00DE76F3" w:rsidRDefault="0014345B" w:rsidP="0014345B">
      <w:pPr>
        <w:pStyle w:val="normal"/>
        <w:numPr>
          <w:ilvl w:val="0"/>
          <w:numId w:val="2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sz w:val="22"/>
          <w:szCs w:val="22"/>
          <w:lang w:val="cs-CZ"/>
        </w:rPr>
        <w:t>Řádná revize</w:t>
      </w:r>
      <w:r w:rsidRPr="00DE76F3">
        <w:rPr>
          <w:rFonts w:ascii="Athiti" w:eastAsia="Athiti" w:hAnsi="Athiti" w:cs="Athiti"/>
          <w:lang w:val="cs-CZ"/>
        </w:rPr>
        <w:t xml:space="preserve"> probíhá nejméně </w:t>
      </w:r>
      <w:r w:rsidRPr="00DE76F3">
        <w:rPr>
          <w:rFonts w:ascii="Athiti" w:eastAsia="Athiti" w:hAnsi="Athiti" w:cs="Athiti"/>
          <w:b/>
          <w:lang w:val="cs-CZ"/>
        </w:rPr>
        <w:t>jednou ročně</w:t>
      </w:r>
      <w:r w:rsidRPr="00DE76F3">
        <w:rPr>
          <w:rFonts w:ascii="Athiti" w:eastAsia="Athiti" w:hAnsi="Athiti" w:cs="Athiti"/>
          <w:lang w:val="cs-CZ"/>
        </w:rPr>
        <w:t>, a to bez ohledu na to, zda došlo k externím nebo interním změnám.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Mimořádná revize</w:t>
      </w:r>
      <w:r w:rsidRPr="00DE76F3">
        <w:rPr>
          <w:rFonts w:ascii="Athiti" w:eastAsia="Athiti" w:hAnsi="Athiti" w:cs="Athiti"/>
          <w:lang w:val="cs-CZ"/>
        </w:rPr>
        <w:t xml:space="preserve"> se provádí vždy, když nastane některá z následujících situací: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vstup v platnost nové legislativy nebo regulatorního pokynu, který ovlivňuje klasifikaci kryptoaktiv nebo rozsah služeb (zejména změny MiCA nebo pokynů ESMA),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změna obchodního modelu</w:t>
      </w:r>
      <w:r w:rsidRPr="00DE76F3">
        <w:rPr>
          <w:rFonts w:ascii="Athiti" w:eastAsia="Athiti" w:hAnsi="Athiti" w:cs="Athiti"/>
          <w:lang w:val="cs-CZ"/>
        </w:rPr>
        <w:t xml:space="preserve"> společnosti, např. rozšíření geografického působení, vstup do nového segmentu trhu nebo zásadní restrukturalizace nabízených služeb,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1"/>
          <w:numId w:val="2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zavedení nového produktu nebo služby</w:t>
      </w:r>
      <w:r w:rsidRPr="00DE76F3">
        <w:rPr>
          <w:rFonts w:ascii="Athiti" w:eastAsia="Athiti" w:hAnsi="Athiti" w:cs="Athiti"/>
          <w:lang w:val="cs-CZ"/>
        </w:rPr>
        <w:t>, který se vztahuje k jinému typu kryptoaktiva nebo přináší nové způsoby jejich využití.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adpis2"/>
        <w:keepNext w:val="0"/>
        <w:keepLines w:val="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10.2. Proces revize</w:t>
      </w:r>
    </w:p>
    <w:p w:rsidR="0014345B" w:rsidRPr="00DE76F3" w:rsidRDefault="0014345B" w:rsidP="0014345B">
      <w:pPr>
        <w:pStyle w:val="normal"/>
        <w:numPr>
          <w:ilvl w:val="0"/>
          <w:numId w:val="10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 xml:space="preserve">Proces revize je iniciován útvarem </w:t>
      </w:r>
      <w:r w:rsidRPr="00DE76F3">
        <w:rPr>
          <w:rFonts w:ascii="Athiti" w:eastAsia="Athiti" w:hAnsi="Athiti" w:cs="Athiti"/>
          <w:b/>
          <w:lang w:val="cs-CZ"/>
        </w:rPr>
        <w:t>compliance</w:t>
      </w:r>
      <w:r w:rsidRPr="00DE76F3">
        <w:rPr>
          <w:rFonts w:ascii="Athiti" w:eastAsia="Athiti" w:hAnsi="Athiti" w:cs="Athiti"/>
          <w:lang w:val="cs-CZ"/>
        </w:rPr>
        <w:t>, který je odpovědný za průběžné sledování legislativních změn a aktualizaci vnitřních pravidel.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0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 xml:space="preserve">Odborný návrh změn je připraven ve spolupráci s útvary </w:t>
      </w:r>
      <w:r w:rsidRPr="00DE76F3">
        <w:rPr>
          <w:rFonts w:ascii="Athiti" w:eastAsia="Athiti" w:hAnsi="Athiti" w:cs="Athiti"/>
          <w:b/>
          <w:lang w:val="cs-CZ"/>
        </w:rPr>
        <w:t>řízení rizik</w:t>
      </w:r>
      <w:r w:rsidRPr="00DE76F3">
        <w:rPr>
          <w:rFonts w:ascii="Athiti" w:eastAsia="Athiti" w:hAnsi="Athiti" w:cs="Athiti"/>
          <w:lang w:val="cs-CZ"/>
        </w:rPr>
        <w:t xml:space="preserve">, </w:t>
      </w:r>
      <w:r w:rsidRPr="00DE76F3">
        <w:rPr>
          <w:rFonts w:ascii="Athiti" w:eastAsia="Athiti" w:hAnsi="Athiti" w:cs="Athiti"/>
          <w:b/>
          <w:lang w:val="cs-CZ"/>
        </w:rPr>
        <w:t>právním oddělením</w:t>
      </w:r>
      <w:r w:rsidRPr="00DE76F3">
        <w:rPr>
          <w:rFonts w:ascii="Athiti" w:eastAsia="Athiti" w:hAnsi="Athiti" w:cs="Athiti"/>
          <w:lang w:val="cs-CZ"/>
        </w:rPr>
        <w:t xml:space="preserve">, </w:t>
      </w:r>
      <w:r w:rsidRPr="00DE76F3">
        <w:rPr>
          <w:rFonts w:ascii="Athiti" w:eastAsia="Athiti" w:hAnsi="Athiti" w:cs="Athiti"/>
          <w:b/>
          <w:lang w:val="cs-CZ"/>
        </w:rPr>
        <w:t>produktovým managementem</w:t>
      </w:r>
      <w:r w:rsidRPr="00DE76F3">
        <w:rPr>
          <w:rFonts w:ascii="Athiti" w:eastAsia="Athiti" w:hAnsi="Athiti" w:cs="Athiti"/>
          <w:lang w:val="cs-CZ"/>
        </w:rPr>
        <w:t xml:space="preserve"> a případně dalšími dotčenými útvary.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0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 xml:space="preserve">Změny jsou předloženy ke schválení příslušnému </w:t>
      </w:r>
      <w:r w:rsidRPr="00DE76F3">
        <w:rPr>
          <w:rFonts w:ascii="Athiti" w:eastAsia="Athiti" w:hAnsi="Athiti" w:cs="Athiti"/>
          <w:b/>
          <w:lang w:val="cs-CZ"/>
        </w:rPr>
        <w:t>rozhodovacímu orgánu</w:t>
      </w:r>
      <w:r w:rsidRPr="00DE76F3">
        <w:rPr>
          <w:rFonts w:ascii="Athiti" w:eastAsia="Athiti" w:hAnsi="Athiti" w:cs="Athiti"/>
          <w:lang w:val="cs-CZ"/>
        </w:rPr>
        <w:t xml:space="preserve">, zpravidla </w:t>
      </w:r>
      <w:r w:rsidRPr="00DE76F3">
        <w:rPr>
          <w:rFonts w:ascii="Athiti" w:eastAsia="Athiti" w:hAnsi="Athiti" w:cs="Athiti"/>
          <w:b/>
          <w:lang w:val="cs-CZ"/>
        </w:rPr>
        <w:t>představenstvu</w:t>
      </w:r>
      <w:r w:rsidRPr="00DE76F3">
        <w:rPr>
          <w:rFonts w:ascii="Athiti" w:eastAsia="Athiti" w:hAnsi="Athiti" w:cs="Athiti"/>
          <w:lang w:val="cs-CZ"/>
        </w:rPr>
        <w:t xml:space="preserve"> nebo jednatelům společnosti, v souladu s interním schvalovacím řádem.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adpis2"/>
        <w:keepNext w:val="0"/>
        <w:keepLines w:val="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lastRenderedPageBreak/>
        <w:t>10.3. Dokumentace a oznámení změn</w:t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Každá schválená změna politiky je:</w:t>
      </w:r>
    </w:p>
    <w:p w:rsidR="0014345B" w:rsidRPr="00DE76F3" w:rsidRDefault="0014345B" w:rsidP="0014345B">
      <w:pPr>
        <w:pStyle w:val="normal"/>
        <w:numPr>
          <w:ilvl w:val="0"/>
          <w:numId w:val="19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zdokumentována</w:t>
      </w:r>
      <w:r w:rsidRPr="00DE76F3">
        <w:rPr>
          <w:rFonts w:ascii="Athiti" w:eastAsia="Athiti" w:hAnsi="Athiti" w:cs="Athiti"/>
          <w:lang w:val="cs-CZ"/>
        </w:rPr>
        <w:t xml:space="preserve"> ve formě nové revize s jednoznačným označením verze, data účinnosti a důvodu změny,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zanesena do interního úložiště</w:t>
      </w:r>
      <w:r w:rsidRPr="00DE76F3">
        <w:rPr>
          <w:rFonts w:ascii="Athiti" w:eastAsia="Athiti" w:hAnsi="Athiti" w:cs="Athiti"/>
          <w:lang w:val="cs-CZ"/>
        </w:rPr>
        <w:t xml:space="preserve"> politik a přístupná všem dotčeným útvarům,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numPr>
          <w:ilvl w:val="0"/>
          <w:numId w:val="19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b/>
          <w:lang w:val="cs-CZ"/>
        </w:rPr>
        <w:t>oznámena zaměstnancům</w:t>
      </w:r>
      <w:r w:rsidRPr="00DE76F3">
        <w:rPr>
          <w:rFonts w:ascii="Athiti" w:eastAsia="Athiti" w:hAnsi="Athiti" w:cs="Athiti"/>
          <w:lang w:val="cs-CZ"/>
        </w:rPr>
        <w:t xml:space="preserve"> a relevantním externím subjektům, pokud je to nutné k zajištění jejich informovanosti a schopnosti jednat v souladu s novým zněním politiky.</w:t>
      </w:r>
      <w:r w:rsidRPr="00DE76F3">
        <w:rPr>
          <w:rFonts w:ascii="Athiti" w:eastAsia="Athiti" w:hAnsi="Athiti" w:cs="Athiti"/>
          <w:lang w:val="cs-CZ"/>
        </w:rPr>
        <w:br/>
      </w:r>
    </w:p>
    <w:p w:rsidR="0014345B" w:rsidRPr="00DE76F3" w:rsidRDefault="0014345B" w:rsidP="0014345B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DE76F3">
        <w:rPr>
          <w:rFonts w:ascii="Athiti" w:eastAsia="Athiti" w:hAnsi="Athiti" w:cs="Athiti"/>
          <w:lang w:val="cs-CZ"/>
        </w:rPr>
        <w:t>V případě zásadních změn, které mají dopad na klasifikaci aktiv nebo dostupnost služeb, společnost přijme dodatečná opatření pro informování klientů nebo přizpůsobení smluvní dokumentace.</w:t>
      </w:r>
    </w:p>
    <w:p w:rsidR="00B06DB5" w:rsidRPr="00DE76F3" w:rsidRDefault="00B06DB5"/>
    <w:sectPr w:rsidR="00B06DB5" w:rsidRPr="00DE76F3" w:rsidSect="009B25FD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C6D" w:rsidRDefault="00E50C6D" w:rsidP="000C4D1A">
      <w:pPr>
        <w:spacing w:after="0" w:line="240" w:lineRule="auto"/>
      </w:pPr>
      <w:r>
        <w:separator/>
      </w:r>
    </w:p>
  </w:endnote>
  <w:endnote w:type="continuationSeparator" w:id="1">
    <w:p w:rsidR="00E50C6D" w:rsidRDefault="00E50C6D" w:rsidP="000C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hi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FD" w:rsidRDefault="003D7E38">
    <w:pPr>
      <w:pStyle w:val="normal"/>
      <w:tabs>
        <w:tab w:val="center" w:pos="4677"/>
        <w:tab w:val="right" w:pos="9355"/>
      </w:tabs>
      <w:spacing w:after="0" w:line="240" w:lineRule="auto"/>
      <w:jc w:val="center"/>
    </w:pPr>
    <w:r>
      <w:rPr>
        <w:noProof/>
      </w:rPr>
      <w:drawing>
        <wp:inline distT="0" distB="0" distL="0" distR="0">
          <wp:extent cx="5524500" cy="102235"/>
          <wp:effectExtent l="0" t="0" r="0" b="0"/>
          <wp:docPr id="16" name="image1.png" descr="Light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ght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0" cy="102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B25FD" w:rsidRDefault="002B5B37">
    <w:pPr>
      <w:pStyle w:val="normal"/>
      <w:tabs>
        <w:tab w:val="center" w:pos="4677"/>
        <w:tab w:val="right" w:pos="9355"/>
      </w:tabs>
      <w:spacing w:after="0" w:line="240" w:lineRule="auto"/>
      <w:jc w:val="center"/>
      <w:rPr>
        <w:rFonts w:ascii="Athiti" w:eastAsia="Athiti" w:hAnsi="Athiti" w:cs="Athiti"/>
      </w:rPr>
    </w:pPr>
    <w:r>
      <w:rPr>
        <w:rFonts w:ascii="Athiti" w:eastAsia="Athiti" w:hAnsi="Athiti" w:cs="Athiti"/>
      </w:rPr>
      <w:fldChar w:fldCharType="begin"/>
    </w:r>
    <w:r w:rsidR="003D7E38">
      <w:rPr>
        <w:rFonts w:ascii="Athiti" w:eastAsia="Athiti" w:hAnsi="Athiti" w:cs="Athiti"/>
      </w:rPr>
      <w:instrText>PAGE</w:instrText>
    </w:r>
    <w:r>
      <w:rPr>
        <w:rFonts w:ascii="Athiti" w:eastAsia="Athiti" w:hAnsi="Athiti" w:cs="Athiti"/>
      </w:rPr>
      <w:fldChar w:fldCharType="separate"/>
    </w:r>
    <w:r w:rsidR="00D773A5">
      <w:rPr>
        <w:rFonts w:ascii="Athiti" w:eastAsia="Athiti" w:hAnsi="Athiti" w:cs="Athiti"/>
        <w:noProof/>
      </w:rPr>
      <w:t>12</w:t>
    </w:r>
    <w:r>
      <w:rPr>
        <w:rFonts w:ascii="Athiti" w:eastAsia="Athiti" w:hAnsi="Athiti" w:cs="Athiti"/>
      </w:rPr>
      <w:fldChar w:fldCharType="end"/>
    </w:r>
  </w:p>
  <w:p w:rsidR="009B25FD" w:rsidRDefault="00E50C6D">
    <w:pPr>
      <w:pStyle w:val="normal"/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C6D" w:rsidRDefault="00E50C6D" w:rsidP="000C4D1A">
      <w:pPr>
        <w:spacing w:after="0" w:line="240" w:lineRule="auto"/>
      </w:pPr>
      <w:r>
        <w:separator/>
      </w:r>
    </w:p>
  </w:footnote>
  <w:footnote w:type="continuationSeparator" w:id="1">
    <w:p w:rsidR="00E50C6D" w:rsidRDefault="00E50C6D" w:rsidP="000C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FD" w:rsidRDefault="003D7E38">
    <w:pPr>
      <w:pStyle w:val="normal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-23803</wp:posOffset>
          </wp:positionH>
          <wp:positionV relativeFrom="page">
            <wp:posOffset>-23803</wp:posOffset>
          </wp:positionV>
          <wp:extent cx="137625" cy="10775625"/>
          <wp:effectExtent l="0" t="0" r="0" b="0"/>
          <wp:wrapSquare wrapText="bothSides" distT="0" distB="0" distL="114300" distR="114300"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25" cy="10775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FD" w:rsidRDefault="003D7E38">
    <w:pPr>
      <w:pStyle w:val="normal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-23803</wp:posOffset>
          </wp:positionH>
          <wp:positionV relativeFrom="page">
            <wp:posOffset>-23803</wp:posOffset>
          </wp:positionV>
          <wp:extent cx="137625" cy="10775625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25" cy="10775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466"/>
    <w:multiLevelType w:val="multilevel"/>
    <w:tmpl w:val="48F07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9E128AB"/>
    <w:multiLevelType w:val="multilevel"/>
    <w:tmpl w:val="B5EA42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D3E231F"/>
    <w:multiLevelType w:val="multilevel"/>
    <w:tmpl w:val="0838A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09C548C"/>
    <w:multiLevelType w:val="multilevel"/>
    <w:tmpl w:val="A2A05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C6E66A4"/>
    <w:multiLevelType w:val="multilevel"/>
    <w:tmpl w:val="D8C6E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88461F"/>
    <w:multiLevelType w:val="multilevel"/>
    <w:tmpl w:val="A47CC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6E4230A"/>
    <w:multiLevelType w:val="multilevel"/>
    <w:tmpl w:val="DBE69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49F5CE5"/>
    <w:multiLevelType w:val="multilevel"/>
    <w:tmpl w:val="16481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E5A24EA"/>
    <w:multiLevelType w:val="multilevel"/>
    <w:tmpl w:val="A26C9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0354828"/>
    <w:multiLevelType w:val="multilevel"/>
    <w:tmpl w:val="F1201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31937A3"/>
    <w:multiLevelType w:val="multilevel"/>
    <w:tmpl w:val="65840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08C3495"/>
    <w:multiLevelType w:val="multilevel"/>
    <w:tmpl w:val="031EF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61D2275"/>
    <w:multiLevelType w:val="multilevel"/>
    <w:tmpl w:val="17C2AA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A3C5405"/>
    <w:multiLevelType w:val="multilevel"/>
    <w:tmpl w:val="F85C7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D011ADE"/>
    <w:multiLevelType w:val="multilevel"/>
    <w:tmpl w:val="C5FE4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D872591"/>
    <w:multiLevelType w:val="multilevel"/>
    <w:tmpl w:val="B16AD2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E4D4537"/>
    <w:multiLevelType w:val="multilevel"/>
    <w:tmpl w:val="35F44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8AC3357"/>
    <w:multiLevelType w:val="multilevel"/>
    <w:tmpl w:val="63B69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B7B0362"/>
    <w:multiLevelType w:val="multilevel"/>
    <w:tmpl w:val="ECBA4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B94202E"/>
    <w:multiLevelType w:val="multilevel"/>
    <w:tmpl w:val="89D055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8"/>
  </w:num>
  <w:num w:numId="5">
    <w:abstractNumId w:val="11"/>
  </w:num>
  <w:num w:numId="6">
    <w:abstractNumId w:val="1"/>
  </w:num>
  <w:num w:numId="7">
    <w:abstractNumId w:val="9"/>
  </w:num>
  <w:num w:numId="8">
    <w:abstractNumId w:val="13"/>
  </w:num>
  <w:num w:numId="9">
    <w:abstractNumId w:val="4"/>
  </w:num>
  <w:num w:numId="10">
    <w:abstractNumId w:val="2"/>
  </w:num>
  <w:num w:numId="11">
    <w:abstractNumId w:val="0"/>
  </w:num>
  <w:num w:numId="12">
    <w:abstractNumId w:val="14"/>
  </w:num>
  <w:num w:numId="13">
    <w:abstractNumId w:val="19"/>
  </w:num>
  <w:num w:numId="14">
    <w:abstractNumId w:val="5"/>
  </w:num>
  <w:num w:numId="15">
    <w:abstractNumId w:val="6"/>
  </w:num>
  <w:num w:numId="16">
    <w:abstractNumId w:val="18"/>
  </w:num>
  <w:num w:numId="17">
    <w:abstractNumId w:val="15"/>
  </w:num>
  <w:num w:numId="18">
    <w:abstractNumId w:val="7"/>
  </w:num>
  <w:num w:numId="19">
    <w:abstractNumId w:val="12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45B"/>
    <w:rsid w:val="000C4D1A"/>
    <w:rsid w:val="0014345B"/>
    <w:rsid w:val="001F0902"/>
    <w:rsid w:val="002B5B37"/>
    <w:rsid w:val="002D7907"/>
    <w:rsid w:val="003D7E38"/>
    <w:rsid w:val="007C4C9E"/>
    <w:rsid w:val="00902C25"/>
    <w:rsid w:val="00B06DB5"/>
    <w:rsid w:val="00CF09E4"/>
    <w:rsid w:val="00D773A5"/>
    <w:rsid w:val="00DE76F3"/>
    <w:rsid w:val="00E50C6D"/>
    <w:rsid w:val="00E9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45B"/>
    <w:pPr>
      <w:spacing w:after="160"/>
      <w:jc w:val="both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Nadpis1">
    <w:name w:val="heading 1"/>
    <w:basedOn w:val="normal"/>
    <w:next w:val="normal"/>
    <w:link w:val="Nadpis1Char"/>
    <w:rsid w:val="0014345B"/>
    <w:pPr>
      <w:keepNext/>
      <w:keepLines/>
      <w:spacing w:before="360" w:after="240"/>
      <w:outlineLvl w:val="0"/>
    </w:pPr>
    <w:rPr>
      <w:rFonts w:ascii="Calibri" w:eastAsia="Calibri" w:hAnsi="Calibri" w:cs="Calibri"/>
      <w:b/>
      <w:sz w:val="36"/>
      <w:szCs w:val="36"/>
    </w:rPr>
  </w:style>
  <w:style w:type="paragraph" w:styleId="Nadpis2">
    <w:name w:val="heading 2"/>
    <w:basedOn w:val="normal"/>
    <w:next w:val="normal"/>
    <w:link w:val="Nadpis2Char"/>
    <w:rsid w:val="0014345B"/>
    <w:pPr>
      <w:keepNext/>
      <w:keepLines/>
      <w:outlineLvl w:val="1"/>
    </w:pPr>
    <w:rPr>
      <w:rFonts w:ascii="Calibri" w:eastAsia="Calibri" w:hAnsi="Calibri" w:cs="Calibri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345B"/>
    <w:rPr>
      <w:rFonts w:ascii="Calibri" w:eastAsia="Calibri" w:hAnsi="Calibri" w:cs="Calibri"/>
      <w:b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14345B"/>
    <w:rPr>
      <w:rFonts w:ascii="Calibri" w:eastAsia="Calibri" w:hAnsi="Calibri" w:cs="Calibri"/>
      <w:sz w:val="30"/>
      <w:szCs w:val="30"/>
    </w:rPr>
  </w:style>
  <w:style w:type="paragraph" w:customStyle="1" w:styleId="normal">
    <w:name w:val="normal"/>
    <w:rsid w:val="0014345B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4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2708</Words>
  <Characters>15439</Characters>
  <Application>Microsoft Office Word</Application>
  <DocSecurity>0</DocSecurity>
  <Lines>128</Lines>
  <Paragraphs>36</Paragraphs>
  <ScaleCrop>false</ScaleCrop>
  <Company/>
  <LinksUpToDate>false</LinksUpToDate>
  <CharactersWithSpaces>18111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7</cp:revision>
  <dcterms:created xsi:type="dcterms:W3CDTF">2025-07-25T00:23:00Z</dcterms:created>
  <dcterms:modified xsi:type="dcterms:W3CDTF">2025-07-30T03:43:00Z</dcterms:modified>
</cp:coreProperties>
</file>