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DB" w:rsidRPr="00CA4641" w:rsidRDefault="009369DB" w:rsidP="009369DB">
      <w:pPr>
        <w:pStyle w:val="Nadpis1"/>
        <w:keepNext w:val="0"/>
        <w:keepLines w:val="0"/>
        <w:spacing w:before="480"/>
        <w:jc w:val="both"/>
        <w:rPr>
          <w:rFonts w:ascii="Athiti" w:eastAsia="Athiti" w:hAnsi="Athiti" w:cs="Athiti"/>
          <w:b/>
          <w:sz w:val="46"/>
          <w:szCs w:val="46"/>
          <w:lang w:val="cs-CZ"/>
        </w:rPr>
      </w:pPr>
      <w:bookmarkStart w:id="0" w:name="_pxkieoozpgh" w:colFirst="0" w:colLast="0"/>
      <w:bookmarkEnd w:id="0"/>
      <w:r w:rsidRPr="00CA4641">
        <w:rPr>
          <w:rFonts w:ascii="Athiti" w:eastAsia="Athiti" w:hAnsi="Athiti" w:cs="Athiti"/>
          <w:b/>
          <w:sz w:val="46"/>
          <w:szCs w:val="46"/>
          <w:lang w:val="cs-CZ"/>
        </w:rPr>
        <w:t>Politika pro předcházení a odhalování tržních manipulací</w:t>
      </w:r>
    </w:p>
    <w:p w:rsidR="009369DB" w:rsidRPr="00CA4641" w:rsidRDefault="009369DB" w:rsidP="009369DB">
      <w:pPr>
        <w:pStyle w:val="normal"/>
        <w:spacing w:before="240" w:after="240"/>
        <w:jc w:val="both"/>
        <w:rPr>
          <w:rFonts w:ascii="Athiti" w:eastAsia="Athiti" w:hAnsi="Athiti" w:cs="Athiti"/>
          <w:i/>
          <w:lang w:val="cs-CZ"/>
        </w:rPr>
      </w:pPr>
      <w:r w:rsidRPr="00CA4641">
        <w:rPr>
          <w:rFonts w:ascii="Athiti" w:eastAsia="Athiti" w:hAnsi="Athiti" w:cs="Athiti"/>
          <w:i/>
          <w:lang w:val="cs-CZ"/>
        </w:rPr>
        <w:t>Podle článku 92 nařízení (EU) 2023/1114 (MiCA)</w:t>
      </w: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CA4641" w:rsidRPr="00CA4641" w:rsidRDefault="00CA4641"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lastRenderedPageBreak/>
        <w:t>1. Účel a rozsah působnosti</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Tato politika stanovuje komplexní rámec přijatý společností za účelem předcházení, odhalování a rychlého řešení jakékoli formy tržních manipulací souvisejících s obchodováním, úschovou nebo převody kryptoaktiv. Jejím hlavním cílem je chránit integritu trhu, posílit důvěru investorů a zajistit, aby veškeré činnosti s kryptoaktivy, které společnost umožňuje nebo provádí, probíhaly spravedlivě, uspořádaně a transparentně.</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Tato politika naplňuje povinnosti stanovené v článku 92 nařízení (EU) 2023/1114 o trzích s kryptoaktivy (MiCA) a zohledňuje zároveň obecné zásady nařízení (EU) č. 596/2014 o zneužívání trhu (MAR) i nové očekávání dohledu vyjádřená v návrzích regulačních technických standardů (RTS) a ve směrnicích ESMA. Politika je proto základním stavebním prvkem širšího rámce společnosti pro tržní chování a dodržování předpisů a slaďuje provozní praxi s aktuálními požadavky EU i očekávanými nejlepšími dohledovými standardy.</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Rozsah působnosti</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Tato politika se vztahuje na každou fyzickou nebo právnickou osobu, která je přímo či nepřímo zapojena společností do zajištění, provádění, zaznamenávání nebo podpory transakcí s kryptoaktivy, včetně kmenových a dočasných zaměstnanců, dodavatelů, externích poradců, vyslaných pracovníků a členů vrcholového vedení. Platí pro všechny organizační jednotky – obchodní oddělení, prodejní a brokerské funkce, úschovní operace, IT a vývoj platformy, řízení rizik a compliance, finance i zákaznickou podporu – bez ohledu na jejich geografické umístění. Pokud společnost operuje prostřednictvím poboček nebo využívá outsourcingové či vnitroskupinové poskytovatele služeb, jsou tyto subjekty smluvně vázány dodržovat standardy uvedené v této politice.</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Regulační rámec</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Tato politika se vztahuje na jakékoli transakce s kryptoaktivy, ať už probíhají „on-chain“ nebo „off-chain“, které spadají do definice „služeb souvisejících s kryptoaktivy“ podle nařízení MiCA, ať již jsou prováděny prostřednictvím veřejné obchodní platformy, bilaterálních mimoburzovních dohod nebo pomocí automatizovaných tržních mechanismů. Politika se rovněž vztahuje na související činnosti, které mohou ovlivnit tvorbu ceny nebo vnímání trhu, například šíření tržních informací, validaci konsenzu, zalistování tokenů nebo využívání algoritmických obchodních strategií.</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Cíle politiky</w:t>
      </w:r>
    </w:p>
    <w:p w:rsidR="009369DB" w:rsidRPr="00CA4641" w:rsidRDefault="009369DB" w:rsidP="009369DB">
      <w:pPr>
        <w:pStyle w:val="normal"/>
        <w:numPr>
          <w:ilvl w:val="0"/>
          <w:numId w:val="4"/>
        </w:numPr>
        <w:spacing w:before="240"/>
        <w:jc w:val="both"/>
        <w:rPr>
          <w:rFonts w:ascii="Athiti" w:eastAsia="Athiti" w:hAnsi="Athiti" w:cs="Athiti"/>
          <w:lang w:val="cs-CZ"/>
        </w:rPr>
      </w:pPr>
      <w:r w:rsidRPr="00CA4641">
        <w:rPr>
          <w:rFonts w:ascii="Athiti" w:eastAsia="Athiti" w:hAnsi="Athiti" w:cs="Athiti"/>
          <w:lang w:val="cs-CZ"/>
        </w:rPr>
        <w:t>Zavést účinné preventivní kontroly minimalizující možnost zneužití důvěrných informací, tržní manipulace, neoprávněného zveřejnění důvěrných informací nebo jiného srovnatelného zneužití trhu.</w:t>
      </w:r>
      <w:r w:rsidRPr="00CA4641">
        <w:rPr>
          <w:rFonts w:ascii="Athiti" w:eastAsia="Athiti" w:hAnsi="Athiti" w:cs="Athiti"/>
          <w:lang w:val="cs-CZ"/>
        </w:rPr>
        <w:br/>
      </w:r>
    </w:p>
    <w:p w:rsidR="009369DB" w:rsidRPr="00CA4641" w:rsidRDefault="009369DB" w:rsidP="009369DB">
      <w:pPr>
        <w:pStyle w:val="normal"/>
        <w:numPr>
          <w:ilvl w:val="0"/>
          <w:numId w:val="4"/>
        </w:numPr>
        <w:jc w:val="both"/>
        <w:rPr>
          <w:rFonts w:ascii="Athiti" w:eastAsia="Athiti" w:hAnsi="Athiti" w:cs="Athiti"/>
          <w:lang w:val="cs-CZ"/>
        </w:rPr>
      </w:pPr>
      <w:r w:rsidRPr="00CA4641">
        <w:rPr>
          <w:rFonts w:ascii="Athiti" w:eastAsia="Athiti" w:hAnsi="Athiti" w:cs="Athiti"/>
          <w:lang w:val="cs-CZ"/>
        </w:rPr>
        <w:t>Nasadit efektivní mechanismy dohledu a šetření schopné rychle identifikovat podezřelé vzorce v pokynech, obchodech nebo událostech v distribuované účetní knize.</w:t>
      </w:r>
      <w:r w:rsidRPr="00CA4641">
        <w:rPr>
          <w:rFonts w:ascii="Athiti" w:eastAsia="Athiti" w:hAnsi="Athiti" w:cs="Athiti"/>
          <w:lang w:val="cs-CZ"/>
        </w:rPr>
        <w:br/>
      </w:r>
    </w:p>
    <w:p w:rsidR="009369DB" w:rsidRPr="00CA4641" w:rsidRDefault="009369DB" w:rsidP="009369DB">
      <w:pPr>
        <w:pStyle w:val="normal"/>
        <w:numPr>
          <w:ilvl w:val="0"/>
          <w:numId w:val="4"/>
        </w:numPr>
        <w:jc w:val="both"/>
        <w:rPr>
          <w:rFonts w:ascii="Athiti" w:eastAsia="Athiti" w:hAnsi="Athiti" w:cs="Athiti"/>
          <w:lang w:val="cs-CZ"/>
        </w:rPr>
      </w:pPr>
      <w:r w:rsidRPr="00CA4641">
        <w:rPr>
          <w:rFonts w:ascii="Athiti" w:eastAsia="Athiti" w:hAnsi="Athiti" w:cs="Athiti"/>
          <w:lang w:val="cs-CZ"/>
        </w:rPr>
        <w:lastRenderedPageBreak/>
        <w:t>Vymezit jasné odpovědnosti, postupy eskalace a externího hlášení příslušným orgánům každého dotčeného členského státu v souladu s oznamovacími povinnostmi dle článku 92 MiCA.</w:t>
      </w:r>
      <w:r w:rsidRPr="00CA4641">
        <w:rPr>
          <w:rFonts w:ascii="Athiti" w:eastAsia="Athiti" w:hAnsi="Athiti" w:cs="Athiti"/>
          <w:lang w:val="cs-CZ"/>
        </w:rPr>
        <w:br/>
      </w:r>
    </w:p>
    <w:p w:rsidR="009369DB" w:rsidRPr="00CA4641" w:rsidRDefault="009369DB" w:rsidP="009369DB">
      <w:pPr>
        <w:pStyle w:val="normal"/>
        <w:numPr>
          <w:ilvl w:val="0"/>
          <w:numId w:val="4"/>
        </w:numPr>
        <w:spacing w:after="240"/>
        <w:jc w:val="both"/>
        <w:rPr>
          <w:rFonts w:ascii="Athiti" w:eastAsia="Athiti" w:hAnsi="Athiti" w:cs="Athiti"/>
          <w:lang w:val="cs-CZ"/>
        </w:rPr>
      </w:pPr>
      <w:r w:rsidRPr="00CA4641">
        <w:rPr>
          <w:rFonts w:ascii="Athiti" w:eastAsia="Athiti" w:hAnsi="Athiti" w:cs="Athiti"/>
          <w:lang w:val="cs-CZ"/>
        </w:rPr>
        <w:t>Vštípit napříč organizací kulturu etického chování, odpovědnosti a neustálého zlepšování, podpořenou pravidelným školením a periodickým přezkumem politiky.</w:t>
      </w:r>
      <w:r w:rsidRPr="00CA4641">
        <w:rPr>
          <w:rFonts w:ascii="Athiti" w:eastAsia="Athiti" w:hAnsi="Athiti" w:cs="Athiti"/>
          <w:lang w:val="cs-CZ"/>
        </w:rPr>
        <w:br/>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Formulováním těchto cílů a jasným vymezením rozsahu působnosti poskytuje tato politika základ pro konzistentní, s právem EU souladné chování společnosti v oblasti kryptoaktiv a vytváří předpoklad pro bezproblémovou integraci budoucích technických standardů a směrnic vydaných ESMA.</w:t>
      </w:r>
    </w:p>
    <w:p w:rsidR="009369DB" w:rsidRPr="00CA4641" w:rsidRDefault="009369DB" w:rsidP="009369DB">
      <w:pPr>
        <w:pStyle w:val="Nadpis3"/>
        <w:keepNext w:val="0"/>
        <w:keepLines w:val="0"/>
        <w:spacing w:before="280"/>
        <w:jc w:val="both"/>
        <w:rPr>
          <w:rFonts w:ascii="Athiti" w:eastAsia="Athiti" w:hAnsi="Athiti" w:cs="Athiti"/>
          <w:lang w:val="cs-CZ"/>
        </w:rPr>
      </w:pPr>
      <w:bookmarkStart w:id="1" w:name="_ag7gbuu14bkx" w:colFirst="0" w:colLast="0"/>
      <w:bookmarkEnd w:id="1"/>
      <w:r w:rsidRPr="00CA4641">
        <w:rPr>
          <w:rFonts w:ascii="Athiti" w:eastAsia="Athiti" w:hAnsi="Athiti" w:cs="Athiti"/>
          <w:b/>
          <w:color w:val="000000"/>
          <w:sz w:val="26"/>
          <w:szCs w:val="26"/>
          <w:lang w:val="cs-CZ"/>
        </w:rPr>
        <w:t>2. Definice</w:t>
      </w:r>
    </w:p>
    <w:tbl>
      <w:tblPr>
        <w:tblW w:w="9360" w:type="dxa"/>
        <w:tblBorders>
          <w:top w:val="single" w:sz="4" w:space="0" w:color="0B5394"/>
          <w:left w:val="single" w:sz="4" w:space="0" w:color="0B5394"/>
          <w:bottom w:val="single" w:sz="4" w:space="0" w:color="0B5394"/>
          <w:right w:val="single" w:sz="4" w:space="0" w:color="0B5394"/>
          <w:insideH w:val="single" w:sz="4" w:space="0" w:color="0B5394"/>
          <w:insideV w:val="single" w:sz="4" w:space="0" w:color="0B5394"/>
        </w:tblBorders>
        <w:tblLayout w:type="fixed"/>
        <w:tblLook w:val="0600"/>
      </w:tblPr>
      <w:tblGrid>
        <w:gridCol w:w="2086"/>
        <w:gridCol w:w="7274"/>
      </w:tblGrid>
      <w:tr w:rsidR="009369DB" w:rsidRPr="00CA4641" w:rsidTr="0028784C">
        <w:trPr>
          <w:cantSplit/>
          <w:trHeight w:val="51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Termín</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Definice</w:t>
            </w:r>
          </w:p>
        </w:tc>
      </w:tr>
      <w:tr w:rsidR="009369DB" w:rsidRPr="00CA4641" w:rsidTr="0028784C">
        <w:trPr>
          <w:cantSplit/>
          <w:trHeight w:val="189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Tržní manipulace</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Soubor nezákonných praktik, které narušují spravedlivé a transparentní fungování trhu. Zahrnuje: – obchodování na základě důvěrných informací; – neoprávněné sdělení důvěrných informací třetím stranám; – manipulaci s trhem (např. spoofing, wash trading) s cílem zkreslit cenotvorbu nebo vnímání trhu investory.</w:t>
            </w:r>
          </w:p>
        </w:tc>
      </w:tr>
      <w:tr w:rsidR="009369DB" w:rsidRPr="00CA4641" w:rsidTr="0028784C">
        <w:trPr>
          <w:cantSplit/>
          <w:trHeight w:val="162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Podezřelá aktivita</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Jakákoli transakce, pokyn, zrušení, interakce s DLT nebo obchodní vzorec, který může naznačovat, že k tržní manipulaci dochází nebo se chystá. Typicky zahrnuje neobvyklé objemy, načasování, chování klientů nebo odchylky od běžných tržních norem. Může probíhat on-chain i off-chain.</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Důvěrná informace</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Nepřístupná, konkrétní informace, která by v případě zveřejnění pravděpodobně významně ovlivnila cenu kryptoaktiva. Může se jednat o interní události jako plánované uvedení tokenu, významné zalistování, zranitelnosti protokolu či oznámení o partnerství.</w:t>
            </w:r>
          </w:p>
        </w:tc>
      </w:tr>
      <w:tr w:rsidR="009369DB" w:rsidRPr="00CA4641" w:rsidTr="0028784C">
        <w:trPr>
          <w:cantSplit/>
          <w:trHeight w:val="162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Příslušný orgán</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Finanční dozorový orgán odpovědný za dohled nad dodržováním MiCA v příslušném členském státě. Jde o orgán podle sídla společnosti nebo, v případě pobočky, o orgán státu, kde se pobočka nachází. Je adresátem hlášení podezřelých transakcí dle článku 92.</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lastRenderedPageBreak/>
              <w:t>Tržní dohled</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Nepřetržité sledování obchodních a transakčních dat (včetně knihy pokynů a záznamů v DLT) za účelem odhalení abnormálního, manipulativního nebo zneužívajícího chování. Může být prováděn automatizovanými nástroji, algoritmy nebo ručně pracovníky compliance.</w:t>
            </w:r>
          </w:p>
        </w:tc>
      </w:tr>
      <w:tr w:rsidR="009369DB" w:rsidRPr="00CA4641" w:rsidTr="0028784C">
        <w:trPr>
          <w:cantSplit/>
          <w:trHeight w:val="162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Hlášení o podezřelé transakci nebo pokynu (STOR)</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Formální oznámení příslušnému orgánu v případě důvodného podezření, že transakce, pokus o transakci nebo pokyn (včetně úprav či zrušení) mohou představovat tržní manipulaci. Obsahuje podrobná metadata, identifikaci klienta a podpůrné důkazy.</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Technologie distribuované účetní knihy (DLT)</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Decentralizovaná databáze (např. blockchain), která zaznamenává transakce mezi více uzly. V kontextu tržních manipulací se rizika týkají např. manipulace s konsenzem, pozměňování časových značek či využívání neveřejných kanálů pro exekuci.</w:t>
            </w:r>
          </w:p>
        </w:tc>
      </w:tr>
      <w:tr w:rsidR="009369DB" w:rsidRPr="00CA4641" w:rsidTr="0028784C">
        <w:trPr>
          <w:cantSplit/>
          <w:trHeight w:val="1625"/>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Konsenzuální mechanismus</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Proces, kterým účastníci distribuované účetní knihy dosahují shody o platnosti transakcí. Jeho zneužití (např. koluze validátorů, útok 51 %) může představovat formu tržní manipulace, zejména pokud ovlivní pořadí transakcí, časy potvrzení nebo ceny aktiv.</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Insider (zasvěcená osoba)</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Osoba s přístupem k důvěrným informacím z důvodu své role ve společnosti, vztahu k emitentovi nebo účasti na poskytování služeb s kryptoaktivy. Může jít o zaměstnance, členy představenstva, dodavatele nebo poskytovatele služeb.</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Wash trading</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Manipulativní praktika, kdy obchodník současně kupuje a prodává stejné aktivum, aby vytvořil falešný dojem o aktivitě či likviditě trhu. Tento způsob obchodování je výslovně zakázán a může vyvolat povinnost hlášení podle této politiky.</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Pump and Dump</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Forma manipulace, při které je cena aktiva uměle navýšena (pump) pomocí zavádějících informací nebo koordinovaných nákupů a následně rychle prodána (dump), čímž vznikají zisky na úkor retailových investorů.</w:t>
            </w:r>
          </w:p>
        </w:tc>
      </w:tr>
      <w:tr w:rsidR="009369DB" w:rsidRPr="00CA4641" w:rsidTr="0028784C">
        <w:trPr>
          <w:cantSplit/>
          <w:trHeight w:val="134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lastRenderedPageBreak/>
              <w:t>Spoofing / Layering</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Zadávání pokynů bez úmyslu jejich realizace s cílem vytvořit falešný dojem poptávky či nabídky. Spoofing často zahrnuje umístění velkých objednávek na jedné straně knihy a jejich zrušení po provedení obchodu na opačné straně.</w:t>
            </w:r>
          </w:p>
        </w:tc>
      </w:tr>
      <w:tr w:rsidR="009369DB" w:rsidRPr="00CA4641" w:rsidTr="0028784C">
        <w:trPr>
          <w:cantSplit/>
          <w:trHeight w:val="1070"/>
          <w:tblHeader/>
        </w:trPr>
        <w:tc>
          <w:tcPr>
            <w:tcW w:w="20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b/>
                <w:lang w:val="cs-CZ"/>
              </w:rPr>
              <w:t>Front-running</w:t>
            </w:r>
          </w:p>
        </w:tc>
        <w:tc>
          <w:tcPr>
            <w:tcW w:w="7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369DB" w:rsidRPr="00CA4641" w:rsidRDefault="009369DB" w:rsidP="0028784C">
            <w:pPr>
              <w:pStyle w:val="normal"/>
              <w:spacing w:before="240" w:after="240"/>
              <w:jc w:val="both"/>
              <w:rPr>
                <w:rFonts w:ascii="Athiti" w:eastAsia="Athiti" w:hAnsi="Athiti" w:cs="Athiti"/>
                <w:lang w:val="cs-CZ"/>
              </w:rPr>
            </w:pPr>
            <w:r w:rsidRPr="00CA4641">
              <w:rPr>
                <w:rFonts w:ascii="Athiti" w:eastAsia="Athiti" w:hAnsi="Athiti" w:cs="Athiti"/>
                <w:lang w:val="cs-CZ"/>
              </w:rPr>
              <w:t>Neetické nebo nezákonné obchodování na základě předběžné znalosti o očekávaném pokynu klienta. Např. obchodování těsně před velkou objednávkou s cílem profitovat na předpokládaném pohybu ceny.</w:t>
            </w:r>
          </w:p>
        </w:tc>
      </w:tr>
    </w:tbl>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3. Řízení a odpovědnosti</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Společnost jmenovala pracovníka  odpovědného za dodržování předpisů (Compliance Officer) do funkce </w:t>
      </w:r>
      <w:r w:rsidRPr="00CA4641">
        <w:rPr>
          <w:rFonts w:ascii="Athiti" w:eastAsia="Athiti" w:hAnsi="Athiti" w:cs="Athiti"/>
          <w:b/>
          <w:lang w:val="cs-CZ"/>
        </w:rPr>
        <w:t>dohledového pracovníka pro trh (Market Surveillance Officer, MSO)</w:t>
      </w:r>
      <w:r w:rsidRPr="00CA4641">
        <w:rPr>
          <w:rFonts w:ascii="Athiti" w:eastAsia="Athiti" w:hAnsi="Athiti" w:cs="Athiti"/>
          <w:lang w:val="cs-CZ"/>
        </w:rPr>
        <w:t>, který je odpovědný za dohled nad dodržováním této politiky. MSO monitoruje transakce, prověřuje systémová upozornění a funguje jako kontaktní osoba vůči národním regulátorům.</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Zaměstnanci zapojení do zpracování transakcí procházejí pravidelným a povinným školením, které pokrývá identifikaci a oznamování možného zneužití trhu.</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MSO zároveň zajišťuje, aby tato politika byla průběžně aktualizována v souladu s regulatorním vývojem, včetně pokynů a technických standardů vydávaných Evropským orgánem pro cenné papíry a trhy (ESMA).</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4. Kontrolní mechanismy a monitorování</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Za účelem předcházení tržní manipulaci provozuje společnost kombinaci procedurálních a technických kontrol. Automatizované dohledové systémy analyzují tok pokynů a provedené obchody s cílem odhalit vzorce typické pro zneužívající praktiky, jako jsou wash trading, spoofing, pump-and-dump schémata nebo front-running.</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Tyto systémy jsou integrovány s interními záznamy a umožňují zpětnou dohledatelnost transakčních dat až ke konkrétním klientům nebo interním uživatelům. Upozornění generovaná systémem jsou neprodleně přezkoumávána MSO, který rozhoduje o případné eskalaci. V případě potřeby se provádí ruční analýza a srovnání s tržními benchmarky nebo historickými daty klienta k ověření anomálií.</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Přístup k obchodním systémům a citlivým údajům je omezen na základě pracovní role a oprávněných potřeb. Kde je to vhodné, jsou zavedena organizační opatření, jako je oddělení útvarů nebo omezený přístup k důvěrným informacím, aby se snížilo riziko neoprávněného sdělování informací a střetu zájmů.</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5. Identifikace a hlášení podezřelé aktivity</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lastRenderedPageBreak/>
        <w:t>Pokud zaměstnanec zjistí pokyn nebo transakci, která se jeví jako neobvyklá, nebo se dozví o chování, které by mohlo představovat tržní manipulaci, je povinen tuto skutečnost neprodleně oznámit MSO prostřednictvím interních komunikačních kanálů.</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MSO následně posoudí podání a v případě existence důvodného podezření předloží příslušnému orgánu formální hlášení o podezřelé transakci nebo pokynu (STOR) bez zbytečného odkladu.</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Hlášení musí obsahovat klíčové informace o transakci – datum a čas, identifikaci klienta, relevantní metadata – a v případě potřeby i technické prvky, například ukazatele specifické pro DLT (např. anomálie v konsenzu), pokud souvisí s podezřením.</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MSO zajistí, že veškerá hlášení budou odpovídat formátu stanovenému ESMA (jakmile bude k dispozici) a budou řádně evidována pro účely auditu a compliance.</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6. Koordinace v přeshraničních případech</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V případech, kdy podezřelá aktivita – jako je potenciální praní peněz, financování terorismu nebo zneužití trhu – zasahuje více jurisdikcí, společnost se aktivně zapojí do koordinované spolupráce se všemi příslušnými </w:t>
      </w:r>
      <w:r w:rsidRPr="00CA4641">
        <w:rPr>
          <w:rFonts w:ascii="Athiti" w:eastAsia="Athiti" w:hAnsi="Athiti" w:cs="Athiti"/>
          <w:b/>
          <w:lang w:val="cs-CZ"/>
        </w:rPr>
        <w:t>národními orgány dohledu (NCA)</w:t>
      </w:r>
      <w:r w:rsidRPr="00CA4641">
        <w:rPr>
          <w:rFonts w:ascii="Athiti" w:eastAsia="Athiti" w:hAnsi="Athiti" w:cs="Athiti"/>
          <w:lang w:val="cs-CZ"/>
        </w:rPr>
        <w:t xml:space="preserve">, </w:t>
      </w:r>
      <w:r w:rsidRPr="00CA4641">
        <w:rPr>
          <w:rFonts w:ascii="Athiti" w:eastAsia="Athiti" w:hAnsi="Athiti" w:cs="Athiti"/>
          <w:b/>
          <w:lang w:val="cs-CZ"/>
        </w:rPr>
        <w:t>finančně zpravodajskými jednotkami (FIU)</w:t>
      </w:r>
      <w:r w:rsidRPr="00CA4641">
        <w:rPr>
          <w:rFonts w:ascii="Athiti" w:eastAsia="Athiti" w:hAnsi="Athiti" w:cs="Athiti"/>
          <w:lang w:val="cs-CZ"/>
        </w:rPr>
        <w:t xml:space="preserve"> a případně také nadnárodními institucemi, jako jsou </w:t>
      </w:r>
      <w:r w:rsidRPr="00CA4641">
        <w:rPr>
          <w:rFonts w:ascii="Athiti" w:eastAsia="Athiti" w:hAnsi="Athiti" w:cs="Athiti"/>
          <w:b/>
          <w:lang w:val="cs-CZ"/>
        </w:rPr>
        <w:t>Europol</w:t>
      </w:r>
      <w:r w:rsidRPr="00CA4641">
        <w:rPr>
          <w:rFonts w:ascii="Athiti" w:eastAsia="Athiti" w:hAnsi="Athiti" w:cs="Athiti"/>
          <w:lang w:val="cs-CZ"/>
        </w:rPr>
        <w:t xml:space="preserve"> nebo </w:t>
      </w:r>
      <w:r w:rsidRPr="00CA4641">
        <w:rPr>
          <w:rFonts w:ascii="Athiti" w:eastAsia="Athiti" w:hAnsi="Athiti" w:cs="Athiti"/>
          <w:b/>
          <w:lang w:val="cs-CZ"/>
        </w:rPr>
        <w:t>Eurojust</w:t>
      </w:r>
      <w:r w:rsidRPr="00CA4641">
        <w:rPr>
          <w:rFonts w:ascii="Athiti" w:eastAsia="Athiti" w:hAnsi="Athiti" w:cs="Athiti"/>
          <w:lang w:val="cs-CZ"/>
        </w:rPr>
        <w:t>.</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Za hlavní kontaktní osobu bude určen </w:t>
      </w:r>
      <w:r w:rsidRPr="00CA4641">
        <w:rPr>
          <w:rFonts w:ascii="Athiti" w:eastAsia="Athiti" w:hAnsi="Athiti" w:cs="Athiti"/>
          <w:b/>
          <w:lang w:val="cs-CZ"/>
        </w:rPr>
        <w:t>pověřenec pro oznamování podezřelých obchodů (MLRO)</w:t>
      </w:r>
      <w:r w:rsidRPr="00CA4641">
        <w:rPr>
          <w:rFonts w:ascii="Athiti" w:eastAsia="Athiti" w:hAnsi="Athiti" w:cs="Athiti"/>
          <w:lang w:val="cs-CZ"/>
        </w:rPr>
        <w:t xml:space="preserve"> nebo </w:t>
      </w:r>
      <w:r w:rsidRPr="00CA4641">
        <w:rPr>
          <w:rFonts w:ascii="Athiti" w:eastAsia="Athiti" w:hAnsi="Athiti" w:cs="Athiti"/>
          <w:b/>
          <w:lang w:val="cs-CZ"/>
        </w:rPr>
        <w:t>dohledový pracovník pro trh (MSO)</w:t>
      </w:r>
      <w:r w:rsidRPr="00CA4641">
        <w:rPr>
          <w:rFonts w:ascii="Athiti" w:eastAsia="Athiti" w:hAnsi="Athiti" w:cs="Athiti"/>
          <w:lang w:val="cs-CZ"/>
        </w:rPr>
        <w:t>, kteří zajistí včasnou, transparentní a bezpečnou komunikaci s příslušnými orgány. Spolupráce může zahrnovat například:</w:t>
      </w:r>
    </w:p>
    <w:p w:rsidR="009369DB" w:rsidRPr="00CA4641" w:rsidRDefault="009369DB" w:rsidP="009369DB">
      <w:pPr>
        <w:pStyle w:val="normal"/>
        <w:numPr>
          <w:ilvl w:val="0"/>
          <w:numId w:val="2"/>
        </w:numPr>
        <w:spacing w:before="240"/>
        <w:jc w:val="both"/>
        <w:rPr>
          <w:rFonts w:ascii="Athiti" w:eastAsia="Athiti" w:hAnsi="Athiti" w:cs="Athiti"/>
          <w:lang w:val="cs-CZ"/>
        </w:rPr>
      </w:pPr>
      <w:r w:rsidRPr="00CA4641">
        <w:rPr>
          <w:rFonts w:ascii="Athiti" w:eastAsia="Athiti" w:hAnsi="Athiti" w:cs="Athiti"/>
          <w:lang w:val="cs-CZ"/>
        </w:rPr>
        <w:t>Rychlé reakce na formální žádosti o informace (např. žádosti o právní pomoc),</w:t>
      </w:r>
      <w:r w:rsidRPr="00CA4641">
        <w:rPr>
          <w:rFonts w:ascii="Athiti" w:eastAsia="Athiti" w:hAnsi="Athiti" w:cs="Athiti"/>
          <w:lang w:val="cs-CZ"/>
        </w:rPr>
        <w:br/>
      </w:r>
    </w:p>
    <w:p w:rsidR="009369DB" w:rsidRPr="00CA4641" w:rsidRDefault="009369DB" w:rsidP="009369DB">
      <w:pPr>
        <w:pStyle w:val="normal"/>
        <w:numPr>
          <w:ilvl w:val="0"/>
          <w:numId w:val="2"/>
        </w:numPr>
        <w:jc w:val="both"/>
        <w:rPr>
          <w:rFonts w:ascii="Athiti" w:eastAsia="Athiti" w:hAnsi="Athiti" w:cs="Athiti"/>
          <w:lang w:val="cs-CZ"/>
        </w:rPr>
      </w:pPr>
      <w:r w:rsidRPr="00CA4641">
        <w:rPr>
          <w:rFonts w:ascii="Athiti" w:eastAsia="Athiti" w:hAnsi="Athiti" w:cs="Athiti"/>
          <w:lang w:val="cs-CZ"/>
        </w:rPr>
        <w:t>Účast na společných vyšetřovacích týmech (JIT) nebo pracovních skupinách,</w:t>
      </w:r>
      <w:r w:rsidRPr="00CA4641">
        <w:rPr>
          <w:rFonts w:ascii="Athiti" w:eastAsia="Athiti" w:hAnsi="Athiti" w:cs="Athiti"/>
          <w:lang w:val="cs-CZ"/>
        </w:rPr>
        <w:br/>
      </w:r>
    </w:p>
    <w:p w:rsidR="009369DB" w:rsidRPr="00CA4641" w:rsidRDefault="009369DB" w:rsidP="009369DB">
      <w:pPr>
        <w:pStyle w:val="normal"/>
        <w:numPr>
          <w:ilvl w:val="0"/>
          <w:numId w:val="2"/>
        </w:numPr>
        <w:jc w:val="both"/>
        <w:rPr>
          <w:rFonts w:ascii="Athiti" w:eastAsia="Athiti" w:hAnsi="Athiti" w:cs="Athiti"/>
          <w:lang w:val="cs-CZ"/>
        </w:rPr>
      </w:pPr>
      <w:r w:rsidRPr="00CA4641">
        <w:rPr>
          <w:rFonts w:ascii="Athiti" w:eastAsia="Athiti" w:hAnsi="Athiti" w:cs="Athiti"/>
          <w:lang w:val="cs-CZ"/>
        </w:rPr>
        <w:t>Bezpečný přenos důkazních materiálů, jako jsou transakční zprávy, interní analýzy a dokumentace k prověření klienta (CDD),</w:t>
      </w:r>
      <w:r w:rsidRPr="00CA4641">
        <w:rPr>
          <w:rFonts w:ascii="Athiti" w:eastAsia="Athiti" w:hAnsi="Athiti" w:cs="Athiti"/>
          <w:lang w:val="cs-CZ"/>
        </w:rPr>
        <w:br/>
      </w:r>
    </w:p>
    <w:p w:rsidR="009369DB" w:rsidRPr="00CA4641" w:rsidRDefault="009369DB" w:rsidP="009369DB">
      <w:pPr>
        <w:pStyle w:val="normal"/>
        <w:numPr>
          <w:ilvl w:val="0"/>
          <w:numId w:val="2"/>
        </w:numPr>
        <w:spacing w:after="240"/>
        <w:jc w:val="both"/>
        <w:rPr>
          <w:rFonts w:ascii="Athiti" w:eastAsia="Athiti" w:hAnsi="Athiti" w:cs="Athiti"/>
          <w:lang w:val="cs-CZ"/>
        </w:rPr>
      </w:pPr>
      <w:r w:rsidRPr="00CA4641">
        <w:rPr>
          <w:rFonts w:ascii="Athiti" w:eastAsia="Athiti" w:hAnsi="Athiti" w:cs="Athiti"/>
          <w:lang w:val="cs-CZ"/>
        </w:rPr>
        <w:t>Koordinaci v reálném čase v případech blokace majetku nebo zmrazení účtů.</w:t>
      </w:r>
      <w:r w:rsidRPr="00CA4641">
        <w:rPr>
          <w:rFonts w:ascii="Athiti" w:eastAsia="Athiti" w:hAnsi="Athiti" w:cs="Athiti"/>
          <w:lang w:val="cs-CZ"/>
        </w:rPr>
        <w:br/>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MSO vede </w:t>
      </w:r>
      <w:r w:rsidRPr="00CA4641">
        <w:rPr>
          <w:rFonts w:ascii="Athiti" w:eastAsia="Athiti" w:hAnsi="Athiti" w:cs="Athiti"/>
          <w:b/>
          <w:lang w:val="cs-CZ"/>
        </w:rPr>
        <w:t>centralizovaný záznam přeshraničních incidentů</w:t>
      </w:r>
      <w:r w:rsidRPr="00CA4641">
        <w:rPr>
          <w:rFonts w:ascii="Athiti" w:eastAsia="Athiti" w:hAnsi="Athiti" w:cs="Athiti"/>
          <w:lang w:val="cs-CZ"/>
        </w:rPr>
        <w:t>, který obsahuje charakter podezření, kontaktované orgány, předaná dokumentace, přijatá opatření a konečné výsledky. Tento záznam slouží pro účely auditu a následné vyhodnocení případů („lessons learned“). Společnost se zavazuje respektovat požadavky na důvěrnost a právní pravidla všech zúčastněných jurisdikcí, přičemž upřednostňuje regulační spolupráci a ochranu klientského majetku.</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7. Uchovávání záznamů</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Společnost provozuje </w:t>
      </w:r>
      <w:r w:rsidRPr="00CA4641">
        <w:rPr>
          <w:rFonts w:ascii="Athiti" w:eastAsia="Athiti" w:hAnsi="Athiti" w:cs="Athiti"/>
          <w:b/>
          <w:lang w:val="cs-CZ"/>
        </w:rPr>
        <w:t>komplexní, bezpečný a neměnný systém uchovávání záznamů</w:t>
      </w:r>
      <w:r w:rsidRPr="00CA4641">
        <w:rPr>
          <w:rFonts w:ascii="Athiti" w:eastAsia="Athiti" w:hAnsi="Athiti" w:cs="Athiti"/>
          <w:lang w:val="cs-CZ"/>
        </w:rPr>
        <w:t>, který zajišťuje plnou dohledatelnost všech činností souvisejících s transakčním monitoringem, interním šetřením a komunikací s regulátory.</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lastRenderedPageBreak/>
        <w:t xml:space="preserve">V souladu s platnou legislativou – včetně </w:t>
      </w:r>
      <w:r w:rsidRPr="00CA4641">
        <w:rPr>
          <w:rFonts w:ascii="Athiti" w:eastAsia="Athiti" w:hAnsi="Athiti" w:cs="Athiti"/>
          <w:b/>
          <w:lang w:val="cs-CZ"/>
        </w:rPr>
        <w:t>nařízení (EU) 2015/847</w:t>
      </w:r>
      <w:r w:rsidRPr="00CA4641">
        <w:rPr>
          <w:rFonts w:ascii="Athiti" w:eastAsia="Athiti" w:hAnsi="Athiti" w:cs="Athiti"/>
          <w:lang w:val="cs-CZ"/>
        </w:rPr>
        <w:t xml:space="preserve">, </w:t>
      </w:r>
      <w:r w:rsidRPr="00CA4641">
        <w:rPr>
          <w:rFonts w:ascii="Athiti" w:eastAsia="Athiti" w:hAnsi="Athiti" w:cs="Athiti"/>
          <w:b/>
          <w:lang w:val="cs-CZ"/>
        </w:rPr>
        <w:t>nařízení MiCA</w:t>
      </w:r>
      <w:r w:rsidRPr="00CA4641">
        <w:rPr>
          <w:rFonts w:ascii="Athiti" w:eastAsia="Athiti" w:hAnsi="Athiti" w:cs="Athiti"/>
          <w:lang w:val="cs-CZ"/>
        </w:rPr>
        <w:t xml:space="preserve"> a příslušných národních právních předpisů – jsou veškeré relevantní záznamy uchovávány po dobu </w:t>
      </w:r>
      <w:r w:rsidRPr="00CA4641">
        <w:rPr>
          <w:rFonts w:ascii="Athiti" w:eastAsia="Athiti" w:hAnsi="Athiti" w:cs="Athiti"/>
          <w:b/>
          <w:lang w:val="cs-CZ"/>
        </w:rPr>
        <w:t>minimálně pěti let</w:t>
      </w:r>
      <w:r w:rsidRPr="00CA4641">
        <w:rPr>
          <w:rFonts w:ascii="Athiti" w:eastAsia="Athiti" w:hAnsi="Athiti" w:cs="Athiti"/>
          <w:lang w:val="cs-CZ"/>
        </w:rPr>
        <w:t xml:space="preserve"> od jejich vytvoření nebo od ukončení vztahu se zákazníkem, podle toho, co nastane později.</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Rozsah uchovávané dokumentace zahrnuje zejména:</w:t>
      </w:r>
    </w:p>
    <w:p w:rsidR="009369DB" w:rsidRPr="00CA4641" w:rsidRDefault="009369DB" w:rsidP="009369DB">
      <w:pPr>
        <w:pStyle w:val="normal"/>
        <w:numPr>
          <w:ilvl w:val="0"/>
          <w:numId w:val="3"/>
        </w:numPr>
        <w:spacing w:before="240"/>
        <w:jc w:val="both"/>
        <w:rPr>
          <w:rFonts w:ascii="Athiti" w:eastAsia="Athiti" w:hAnsi="Athiti" w:cs="Athiti"/>
          <w:lang w:val="cs-CZ"/>
        </w:rPr>
      </w:pPr>
      <w:r w:rsidRPr="00CA4641">
        <w:rPr>
          <w:rFonts w:ascii="Athiti" w:eastAsia="Athiti" w:hAnsi="Athiti" w:cs="Athiti"/>
          <w:lang w:val="cs-CZ"/>
        </w:rPr>
        <w:t>Upozornění a rozhodnutí v rámci transakčního dohledu (např. změny rizikového skóre, vyhodnocení alertů),</w:t>
      </w:r>
      <w:r w:rsidRPr="00CA4641">
        <w:rPr>
          <w:rFonts w:ascii="Athiti" w:eastAsia="Athiti" w:hAnsi="Athiti" w:cs="Athiti"/>
          <w:lang w:val="cs-CZ"/>
        </w:rPr>
        <w:br/>
      </w:r>
    </w:p>
    <w:p w:rsidR="009369DB" w:rsidRPr="00CA4641" w:rsidRDefault="009369DB" w:rsidP="009369DB">
      <w:pPr>
        <w:pStyle w:val="normal"/>
        <w:numPr>
          <w:ilvl w:val="0"/>
          <w:numId w:val="3"/>
        </w:numPr>
        <w:jc w:val="both"/>
        <w:rPr>
          <w:rFonts w:ascii="Athiti" w:eastAsia="Athiti" w:hAnsi="Athiti" w:cs="Athiti"/>
          <w:lang w:val="cs-CZ"/>
        </w:rPr>
      </w:pPr>
      <w:r w:rsidRPr="00CA4641">
        <w:rPr>
          <w:rFonts w:ascii="Athiti" w:eastAsia="Athiti" w:hAnsi="Athiti" w:cs="Athiti"/>
          <w:lang w:val="cs-CZ"/>
        </w:rPr>
        <w:t>Zprávy z interních šetření a zápisy z výborů pro eskalaci případů,</w:t>
      </w:r>
      <w:r w:rsidRPr="00CA4641">
        <w:rPr>
          <w:rFonts w:ascii="Athiti" w:eastAsia="Athiti" w:hAnsi="Athiti" w:cs="Athiti"/>
          <w:lang w:val="cs-CZ"/>
        </w:rPr>
        <w:br/>
      </w:r>
    </w:p>
    <w:p w:rsidR="009369DB" w:rsidRPr="00CA4641" w:rsidRDefault="009369DB" w:rsidP="009369DB">
      <w:pPr>
        <w:pStyle w:val="normal"/>
        <w:numPr>
          <w:ilvl w:val="0"/>
          <w:numId w:val="3"/>
        </w:numPr>
        <w:jc w:val="both"/>
        <w:rPr>
          <w:rFonts w:ascii="Athiti" w:eastAsia="Athiti" w:hAnsi="Athiti" w:cs="Athiti"/>
          <w:lang w:val="cs-CZ"/>
        </w:rPr>
      </w:pPr>
      <w:r w:rsidRPr="00CA4641">
        <w:rPr>
          <w:rFonts w:ascii="Athiti" w:eastAsia="Athiti" w:hAnsi="Athiti" w:cs="Athiti"/>
          <w:lang w:val="cs-CZ"/>
        </w:rPr>
        <w:t>Komunikaci s regulačními nebo orgány činnými v trestním řízení (např. přes zabezpečené e-mailové brány nebo oficiální portály),</w:t>
      </w:r>
      <w:r w:rsidRPr="00CA4641">
        <w:rPr>
          <w:rFonts w:ascii="Athiti" w:eastAsia="Athiti" w:hAnsi="Athiti" w:cs="Athiti"/>
          <w:lang w:val="cs-CZ"/>
        </w:rPr>
        <w:br/>
      </w:r>
    </w:p>
    <w:p w:rsidR="009369DB" w:rsidRPr="00CA4641" w:rsidRDefault="009369DB" w:rsidP="009369DB">
      <w:pPr>
        <w:pStyle w:val="normal"/>
        <w:numPr>
          <w:ilvl w:val="0"/>
          <w:numId w:val="3"/>
        </w:numPr>
        <w:jc w:val="both"/>
        <w:rPr>
          <w:rFonts w:ascii="Athiti" w:eastAsia="Athiti" w:hAnsi="Athiti" w:cs="Athiti"/>
          <w:lang w:val="cs-CZ"/>
        </w:rPr>
      </w:pPr>
      <w:r w:rsidRPr="00CA4641">
        <w:rPr>
          <w:rFonts w:ascii="Athiti" w:eastAsia="Athiti" w:hAnsi="Athiti" w:cs="Athiti"/>
          <w:lang w:val="cs-CZ"/>
        </w:rPr>
        <w:t>Záznamy o školeních a certifikaci zaměstnanců v oblasti compliance,</w:t>
      </w:r>
      <w:r w:rsidRPr="00CA4641">
        <w:rPr>
          <w:rFonts w:ascii="Athiti" w:eastAsia="Athiti" w:hAnsi="Athiti" w:cs="Athiti"/>
          <w:lang w:val="cs-CZ"/>
        </w:rPr>
        <w:br/>
      </w:r>
    </w:p>
    <w:p w:rsidR="009369DB" w:rsidRPr="00CA4641" w:rsidRDefault="009369DB" w:rsidP="009369DB">
      <w:pPr>
        <w:pStyle w:val="normal"/>
        <w:numPr>
          <w:ilvl w:val="0"/>
          <w:numId w:val="3"/>
        </w:numPr>
        <w:jc w:val="both"/>
        <w:rPr>
          <w:rFonts w:ascii="Athiti" w:eastAsia="Athiti" w:hAnsi="Athiti" w:cs="Athiti"/>
          <w:lang w:val="cs-CZ"/>
        </w:rPr>
      </w:pPr>
      <w:r w:rsidRPr="00CA4641">
        <w:rPr>
          <w:rFonts w:ascii="Athiti" w:eastAsia="Athiti" w:hAnsi="Athiti" w:cs="Athiti"/>
          <w:lang w:val="cs-CZ"/>
        </w:rPr>
        <w:t>Systémové logy, auditní stopy a přístupové záznamy k dohledovým systémům,</w:t>
      </w:r>
      <w:r w:rsidRPr="00CA4641">
        <w:rPr>
          <w:rFonts w:ascii="Athiti" w:eastAsia="Athiti" w:hAnsi="Athiti" w:cs="Athiti"/>
          <w:lang w:val="cs-CZ"/>
        </w:rPr>
        <w:br/>
      </w:r>
    </w:p>
    <w:p w:rsidR="009369DB" w:rsidRPr="00CA4641" w:rsidRDefault="009369DB" w:rsidP="009369DB">
      <w:pPr>
        <w:pStyle w:val="normal"/>
        <w:numPr>
          <w:ilvl w:val="0"/>
          <w:numId w:val="3"/>
        </w:numPr>
        <w:spacing w:after="240"/>
        <w:jc w:val="both"/>
        <w:rPr>
          <w:rFonts w:ascii="Athiti" w:eastAsia="Athiti" w:hAnsi="Athiti" w:cs="Athiti"/>
          <w:lang w:val="cs-CZ"/>
        </w:rPr>
      </w:pPr>
      <w:r w:rsidRPr="00CA4641">
        <w:rPr>
          <w:rFonts w:ascii="Athiti" w:eastAsia="Athiti" w:hAnsi="Athiti" w:cs="Athiti"/>
          <w:lang w:val="cs-CZ"/>
        </w:rPr>
        <w:t>Kopie podaných hlášení o podezřelých transakcích a pokynech (STOR), včetně interních návrhů a podkladových důkazů.</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Záznamy jsou uchovávány v systémech s řízeným přístupem, šifrováním dat (v klidu i během přenosu), pravidelnými kontrolami integrity a zálohami mimo pracoviště. Jsou zavedeny postupy pro rychlé zpřístupnění dat oprávněným osobám, auditorům nebo regulačním orgánům.</w:t>
      </w:r>
    </w:p>
    <w:p w:rsidR="009369DB" w:rsidRPr="00CA4641" w:rsidRDefault="009369DB" w:rsidP="009369DB">
      <w:pPr>
        <w:pStyle w:val="normal"/>
        <w:spacing w:before="240" w:after="240"/>
        <w:jc w:val="both"/>
        <w:rPr>
          <w:rFonts w:ascii="Athiti" w:eastAsia="Athiti" w:hAnsi="Athiti" w:cs="Athiti"/>
          <w:b/>
          <w:lang w:val="cs-CZ"/>
        </w:rPr>
      </w:pPr>
      <w:r w:rsidRPr="00CA4641">
        <w:rPr>
          <w:rFonts w:ascii="Athiti" w:eastAsia="Athiti" w:hAnsi="Athiti" w:cs="Athiti"/>
          <w:b/>
          <w:lang w:val="cs-CZ"/>
        </w:rPr>
        <w:t>8. Přezkum a aktualizace</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Tato politika podléhá formálnímu přezkumu a procesu kontinuálního zlepšování, aby zůstala účinná, aktuální a odpovídala regulatornímu vývoji, technologickému pokroku a změnám v podnikatelském modelu.</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MSO provádí nejméně jednou ročně oficiální přezkum politiky, a to ve spolupráci s odděleními Compliance, Právním a Řízení rizik.</w:t>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Důvody pro mimořádnou aktualizaci politiky zahrnují například:</w:t>
      </w:r>
    </w:p>
    <w:p w:rsidR="009369DB" w:rsidRPr="00CA4641" w:rsidRDefault="009369DB" w:rsidP="009369DB">
      <w:pPr>
        <w:pStyle w:val="normal"/>
        <w:numPr>
          <w:ilvl w:val="0"/>
          <w:numId w:val="1"/>
        </w:numPr>
        <w:spacing w:before="240"/>
        <w:jc w:val="both"/>
        <w:rPr>
          <w:rFonts w:ascii="Athiti" w:eastAsia="Athiti" w:hAnsi="Athiti" w:cs="Athiti"/>
          <w:lang w:val="cs-CZ"/>
        </w:rPr>
      </w:pPr>
      <w:r w:rsidRPr="00CA4641">
        <w:rPr>
          <w:rFonts w:ascii="Athiti" w:eastAsia="Athiti" w:hAnsi="Athiti" w:cs="Athiti"/>
          <w:lang w:val="cs-CZ"/>
        </w:rPr>
        <w:t>Změny v regulatorních rámcích EU nebo národní legislativě (např. aktualizace pokynů ESMA, změny v AMLD/MiCA),</w:t>
      </w:r>
      <w:r w:rsidRPr="00CA4641">
        <w:rPr>
          <w:rFonts w:ascii="Athiti" w:eastAsia="Athiti" w:hAnsi="Athiti" w:cs="Athiti"/>
          <w:lang w:val="cs-CZ"/>
        </w:rPr>
        <w:br/>
      </w:r>
    </w:p>
    <w:p w:rsidR="009369DB" w:rsidRPr="00CA4641" w:rsidRDefault="009369DB" w:rsidP="009369DB">
      <w:pPr>
        <w:pStyle w:val="normal"/>
        <w:numPr>
          <w:ilvl w:val="0"/>
          <w:numId w:val="1"/>
        </w:numPr>
        <w:jc w:val="both"/>
        <w:rPr>
          <w:rFonts w:ascii="Athiti" w:eastAsia="Athiti" w:hAnsi="Athiti" w:cs="Athiti"/>
          <w:lang w:val="cs-CZ"/>
        </w:rPr>
      </w:pPr>
      <w:r w:rsidRPr="00CA4641">
        <w:rPr>
          <w:rFonts w:ascii="Athiti" w:eastAsia="Athiti" w:hAnsi="Athiti" w:cs="Athiti"/>
          <w:lang w:val="cs-CZ"/>
        </w:rPr>
        <w:t>Zjištění z interních auditů nebo inspekcí ze strany regulátorů,</w:t>
      </w:r>
      <w:r w:rsidRPr="00CA4641">
        <w:rPr>
          <w:rFonts w:ascii="Athiti" w:eastAsia="Athiti" w:hAnsi="Athiti" w:cs="Athiti"/>
          <w:lang w:val="cs-CZ"/>
        </w:rPr>
        <w:br/>
      </w:r>
    </w:p>
    <w:p w:rsidR="009369DB" w:rsidRPr="00CA4641" w:rsidRDefault="009369DB" w:rsidP="009369DB">
      <w:pPr>
        <w:pStyle w:val="normal"/>
        <w:numPr>
          <w:ilvl w:val="0"/>
          <w:numId w:val="1"/>
        </w:numPr>
        <w:jc w:val="both"/>
        <w:rPr>
          <w:rFonts w:ascii="Athiti" w:eastAsia="Athiti" w:hAnsi="Athiti" w:cs="Athiti"/>
          <w:lang w:val="cs-CZ"/>
        </w:rPr>
      </w:pPr>
      <w:r w:rsidRPr="00CA4641">
        <w:rPr>
          <w:rFonts w:ascii="Athiti" w:eastAsia="Athiti" w:hAnsi="Athiti" w:cs="Athiti"/>
          <w:lang w:val="cs-CZ"/>
        </w:rPr>
        <w:t>Zavádění nových technologií (např. nasazení nových dohledových nástrojů, algoritmických obchodních systémů),</w:t>
      </w:r>
      <w:r w:rsidRPr="00CA4641">
        <w:rPr>
          <w:rFonts w:ascii="Athiti" w:eastAsia="Athiti" w:hAnsi="Athiti" w:cs="Athiti"/>
          <w:lang w:val="cs-CZ"/>
        </w:rPr>
        <w:br/>
      </w:r>
    </w:p>
    <w:p w:rsidR="009369DB" w:rsidRPr="00CA4641" w:rsidRDefault="009369DB" w:rsidP="009369DB">
      <w:pPr>
        <w:pStyle w:val="normal"/>
        <w:numPr>
          <w:ilvl w:val="0"/>
          <w:numId w:val="1"/>
        </w:numPr>
        <w:jc w:val="both"/>
        <w:rPr>
          <w:rFonts w:ascii="Athiti" w:eastAsia="Athiti" w:hAnsi="Athiti" w:cs="Athiti"/>
          <w:lang w:val="cs-CZ"/>
        </w:rPr>
      </w:pPr>
      <w:r w:rsidRPr="00CA4641">
        <w:rPr>
          <w:rFonts w:ascii="Athiti" w:eastAsia="Athiti" w:hAnsi="Athiti" w:cs="Athiti"/>
          <w:lang w:val="cs-CZ"/>
        </w:rPr>
        <w:t>Analýzy incidentů odhalující slabiny v procesech nebo selhání kontrol,</w:t>
      </w:r>
      <w:r w:rsidRPr="00CA4641">
        <w:rPr>
          <w:rFonts w:ascii="Athiti" w:eastAsia="Athiti" w:hAnsi="Athiti" w:cs="Athiti"/>
          <w:lang w:val="cs-CZ"/>
        </w:rPr>
        <w:br/>
      </w:r>
    </w:p>
    <w:p w:rsidR="009369DB" w:rsidRPr="00CA4641" w:rsidRDefault="009369DB" w:rsidP="009369DB">
      <w:pPr>
        <w:pStyle w:val="normal"/>
        <w:numPr>
          <w:ilvl w:val="0"/>
          <w:numId w:val="1"/>
        </w:numPr>
        <w:spacing w:after="240"/>
        <w:jc w:val="both"/>
        <w:rPr>
          <w:rFonts w:ascii="Athiti" w:eastAsia="Athiti" w:hAnsi="Athiti" w:cs="Athiti"/>
          <w:lang w:val="cs-CZ"/>
        </w:rPr>
      </w:pPr>
      <w:r w:rsidRPr="00CA4641">
        <w:rPr>
          <w:rFonts w:ascii="Athiti" w:eastAsia="Athiti" w:hAnsi="Athiti" w:cs="Athiti"/>
          <w:lang w:val="cs-CZ"/>
        </w:rPr>
        <w:lastRenderedPageBreak/>
        <w:t>Změny v podnikatelském záměru, rozsahu činnosti nebo složení klientely (např. expanze do nové jurisdikce).</w:t>
      </w:r>
      <w:r w:rsidRPr="00CA4641">
        <w:rPr>
          <w:rFonts w:ascii="Athiti" w:eastAsia="Athiti" w:hAnsi="Athiti" w:cs="Athiti"/>
          <w:lang w:val="cs-CZ"/>
        </w:rPr>
        <w:br/>
      </w:r>
    </w:p>
    <w:p w:rsidR="009369DB" w:rsidRPr="00CA4641" w:rsidRDefault="009369DB" w:rsidP="009369DB">
      <w:pPr>
        <w:pStyle w:val="normal"/>
        <w:spacing w:before="240" w:after="240"/>
        <w:jc w:val="both"/>
        <w:rPr>
          <w:rFonts w:ascii="Athiti" w:eastAsia="Athiti" w:hAnsi="Athiti" w:cs="Athiti"/>
          <w:lang w:val="cs-CZ"/>
        </w:rPr>
      </w:pPr>
      <w:r w:rsidRPr="00CA4641">
        <w:rPr>
          <w:rFonts w:ascii="Athiti" w:eastAsia="Athiti" w:hAnsi="Athiti" w:cs="Athiti"/>
          <w:lang w:val="cs-CZ"/>
        </w:rPr>
        <w:t xml:space="preserve">Každý přezkum zahrnuje konzultace s příslušnými zainteresovanými stranami, </w:t>
      </w:r>
      <w:r w:rsidRPr="00CA4641">
        <w:rPr>
          <w:rFonts w:ascii="Athiti" w:eastAsia="Athiti" w:hAnsi="Athiti" w:cs="Athiti"/>
          <w:b/>
          <w:lang w:val="cs-CZ"/>
        </w:rPr>
        <w:t>analýzu mezer</w:t>
      </w:r>
      <w:r w:rsidRPr="00CA4641">
        <w:rPr>
          <w:rFonts w:ascii="Athiti" w:eastAsia="Athiti" w:hAnsi="Athiti" w:cs="Athiti"/>
          <w:lang w:val="cs-CZ"/>
        </w:rPr>
        <w:t xml:space="preserve"> oproti aktuálním požadavkům a dokumentaci provedených změn do formálního </w:t>
      </w:r>
      <w:r w:rsidRPr="00CA4641">
        <w:rPr>
          <w:rFonts w:ascii="Athiti" w:eastAsia="Athiti" w:hAnsi="Athiti" w:cs="Athiti"/>
          <w:b/>
          <w:lang w:val="cs-CZ"/>
        </w:rPr>
        <w:t>revizního protokolu</w:t>
      </w:r>
      <w:r w:rsidRPr="00CA4641">
        <w:rPr>
          <w:rFonts w:ascii="Athiti" w:eastAsia="Athiti" w:hAnsi="Athiti" w:cs="Athiti"/>
          <w:lang w:val="cs-CZ"/>
        </w:rPr>
        <w:t>. Aktualizované znění je komunikováno napříč společností a v případě potřeby je zaměstnancům poskytnuto cílené školení. Dodržování revidované politiky je průběžně testováno prostřednictvím interního systému kvality a nezávislých auditů.</w:t>
      </w:r>
    </w:p>
    <w:p w:rsidR="00B06DB5" w:rsidRPr="00CA4641" w:rsidRDefault="00B06DB5">
      <w:pPr>
        <w:rPr>
          <w:lang w:val="cs-CZ"/>
        </w:rPr>
      </w:pPr>
    </w:p>
    <w:sectPr w:rsidR="00B06DB5" w:rsidRPr="00CA4641" w:rsidSect="00BB66EC">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B21" w:rsidRDefault="00400B21" w:rsidP="00743F4B">
      <w:pPr>
        <w:spacing w:line="240" w:lineRule="auto"/>
      </w:pPr>
      <w:r>
        <w:separator/>
      </w:r>
    </w:p>
  </w:endnote>
  <w:endnote w:type="continuationSeparator" w:id="1">
    <w:p w:rsidR="00400B21" w:rsidRDefault="00400B21" w:rsidP="00743F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EC" w:rsidRDefault="00743F4B">
    <w:pPr>
      <w:pStyle w:val="normal"/>
      <w:jc w:val="right"/>
    </w:pPr>
    <w:r>
      <w:fldChar w:fldCharType="begin"/>
    </w:r>
    <w:r w:rsidR="009369DB">
      <w:instrText>PAGE</w:instrText>
    </w:r>
    <w:r>
      <w:fldChar w:fldCharType="separate"/>
    </w:r>
    <w:r w:rsidR="00CA4641">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B21" w:rsidRDefault="00400B21" w:rsidP="00743F4B">
      <w:pPr>
        <w:spacing w:line="240" w:lineRule="auto"/>
      </w:pPr>
      <w:r>
        <w:separator/>
      </w:r>
    </w:p>
  </w:footnote>
  <w:footnote w:type="continuationSeparator" w:id="1">
    <w:p w:rsidR="00400B21" w:rsidRDefault="00400B21" w:rsidP="00743F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11DA9"/>
    <w:multiLevelType w:val="multilevel"/>
    <w:tmpl w:val="1B5E5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F9D5782"/>
    <w:multiLevelType w:val="multilevel"/>
    <w:tmpl w:val="E2F6A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6E17C9"/>
    <w:multiLevelType w:val="multilevel"/>
    <w:tmpl w:val="4C607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17B276B"/>
    <w:multiLevelType w:val="multilevel"/>
    <w:tmpl w:val="D5E0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69DB"/>
    <w:rsid w:val="001F0902"/>
    <w:rsid w:val="00267770"/>
    <w:rsid w:val="00400B21"/>
    <w:rsid w:val="005811F2"/>
    <w:rsid w:val="00743F4B"/>
    <w:rsid w:val="009369DB"/>
    <w:rsid w:val="00945F78"/>
    <w:rsid w:val="009D0A5F"/>
    <w:rsid w:val="00B01FD2"/>
    <w:rsid w:val="00B06DB5"/>
    <w:rsid w:val="00CA4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69DB"/>
    <w:pPr>
      <w:spacing w:after="0"/>
    </w:pPr>
    <w:rPr>
      <w:rFonts w:ascii="Arial" w:eastAsia="Arial" w:hAnsi="Arial" w:cs="Arial"/>
    </w:rPr>
  </w:style>
  <w:style w:type="paragraph" w:styleId="Nadpis1">
    <w:name w:val="heading 1"/>
    <w:basedOn w:val="normal"/>
    <w:next w:val="normal"/>
    <w:link w:val="Nadpis1Char"/>
    <w:rsid w:val="009369DB"/>
    <w:pPr>
      <w:keepNext/>
      <w:keepLines/>
      <w:spacing w:before="400" w:after="120"/>
      <w:outlineLvl w:val="0"/>
    </w:pPr>
    <w:rPr>
      <w:sz w:val="40"/>
      <w:szCs w:val="40"/>
    </w:rPr>
  </w:style>
  <w:style w:type="paragraph" w:styleId="Nadpis3">
    <w:name w:val="heading 3"/>
    <w:basedOn w:val="normal"/>
    <w:next w:val="normal"/>
    <w:link w:val="Nadpis3Char"/>
    <w:rsid w:val="009369DB"/>
    <w:pPr>
      <w:keepNext/>
      <w:keepLines/>
      <w:spacing w:before="320" w:after="80"/>
      <w:outlineLvl w:val="2"/>
    </w:pPr>
    <w:rPr>
      <w:color w:val="434343"/>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69DB"/>
    <w:rPr>
      <w:rFonts w:ascii="Arial" w:eastAsia="Arial" w:hAnsi="Arial" w:cs="Arial"/>
      <w:sz w:val="40"/>
      <w:szCs w:val="40"/>
    </w:rPr>
  </w:style>
  <w:style w:type="character" w:customStyle="1" w:styleId="Nadpis3Char">
    <w:name w:val="Nadpis 3 Char"/>
    <w:basedOn w:val="Standardnpsmoodstavce"/>
    <w:link w:val="Nadpis3"/>
    <w:rsid w:val="009369DB"/>
    <w:rPr>
      <w:rFonts w:ascii="Arial" w:eastAsia="Arial" w:hAnsi="Arial" w:cs="Arial"/>
      <w:color w:val="434343"/>
      <w:sz w:val="28"/>
      <w:szCs w:val="28"/>
    </w:rPr>
  </w:style>
  <w:style w:type="paragraph" w:customStyle="1" w:styleId="normal">
    <w:name w:val="normal"/>
    <w:rsid w:val="009369DB"/>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2</cp:revision>
  <dcterms:created xsi:type="dcterms:W3CDTF">2025-07-28T22:18:00Z</dcterms:created>
  <dcterms:modified xsi:type="dcterms:W3CDTF">2025-07-28T22:24:00Z</dcterms:modified>
</cp:coreProperties>
</file>