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D75A1" w:rsidRPr="008D75A1" w:rsidRDefault="008D75A1" w:rsidP="008D75A1">
      <w:pPr>
        <w:pStyle w:val="Nzev"/>
        <w:keepNext w:val="0"/>
        <w:keepLines w:val="0"/>
        <w:widowControl w:val="0"/>
        <w:spacing w:before="0" w:after="0"/>
        <w:jc w:val="right"/>
        <w:rPr>
          <w:rFonts w:ascii="Athiti" w:eastAsia="Athiti" w:hAnsi="Athiti" w:cs="Athiti"/>
          <w:b w:val="0"/>
          <w:sz w:val="18"/>
          <w:szCs w:val="18"/>
          <w:highlight w:val="yellow"/>
          <w:lang w:val="cs-CZ"/>
        </w:rPr>
      </w:pPr>
      <w:bookmarkStart w:id="0" w:name="_heading=h.l79du0hx25jr" w:colFirst="0" w:colLast="0"/>
      <w:bookmarkEnd w:id="0"/>
    </w:p>
    <w:p w:rsidR="008D75A1" w:rsidRPr="008D75A1" w:rsidRDefault="008D75A1" w:rsidP="008D75A1">
      <w:pPr>
        <w:pStyle w:val="Nzev"/>
        <w:keepNext w:val="0"/>
        <w:keepLines w:val="0"/>
        <w:widowControl w:val="0"/>
        <w:spacing w:before="0" w:after="0"/>
        <w:jc w:val="right"/>
        <w:rPr>
          <w:rFonts w:ascii="Athiti" w:eastAsia="Athiti" w:hAnsi="Athiti" w:cs="Athiti"/>
          <w:b w:val="0"/>
          <w:sz w:val="18"/>
          <w:szCs w:val="18"/>
          <w:highlight w:val="yellow"/>
          <w:lang w:val="cs-CZ"/>
        </w:rPr>
      </w:pPr>
      <w:bookmarkStart w:id="1" w:name="_heading=h.6hmko09gw3jw" w:colFirst="0" w:colLast="0"/>
      <w:bookmarkEnd w:id="1"/>
    </w:p>
    <w:p w:rsidR="008D75A1" w:rsidRPr="008D75A1" w:rsidRDefault="008D75A1" w:rsidP="008D75A1">
      <w:pPr>
        <w:pStyle w:val="normal"/>
        <w:rPr>
          <w:rFonts w:ascii="Athiti" w:eastAsia="Athiti" w:hAnsi="Athiti" w:cs="Athiti"/>
          <w:b/>
          <w:color w:val="44546A"/>
          <w:sz w:val="48"/>
          <w:szCs w:val="48"/>
          <w:lang w:val="cs-CZ"/>
        </w:rPr>
      </w:pPr>
      <w:bookmarkStart w:id="2" w:name="_heading=h.m1lsepsbrrkh" w:colFirst="0" w:colLast="0"/>
      <w:bookmarkStart w:id="3" w:name="_heading=h.8dvo4inpgm8o" w:colFirst="0" w:colLast="0"/>
      <w:bookmarkEnd w:id="2"/>
      <w:bookmarkEnd w:id="3"/>
    </w:p>
    <w:p w:rsidR="008D75A1" w:rsidRPr="008D75A1" w:rsidRDefault="008D75A1" w:rsidP="008D75A1">
      <w:pPr>
        <w:pStyle w:val="normal"/>
        <w:rPr>
          <w:rFonts w:ascii="Athiti" w:eastAsia="Athiti" w:hAnsi="Athiti" w:cs="Athiti"/>
          <w:b/>
          <w:color w:val="44546A"/>
          <w:sz w:val="48"/>
          <w:szCs w:val="48"/>
          <w:lang w:val="cs-CZ"/>
        </w:rPr>
      </w:pPr>
    </w:p>
    <w:p w:rsidR="008D75A1" w:rsidRPr="008D75A1" w:rsidRDefault="008D75A1" w:rsidP="008D75A1">
      <w:pPr>
        <w:pStyle w:val="normal"/>
        <w:jc w:val="center"/>
        <w:rPr>
          <w:rFonts w:ascii="Athiti" w:eastAsia="Athiti" w:hAnsi="Athiti" w:cs="Athiti"/>
          <w:b/>
          <w:sz w:val="48"/>
          <w:szCs w:val="48"/>
          <w:lang w:val="cs-CZ"/>
        </w:rPr>
      </w:pPr>
    </w:p>
    <w:p w:rsidR="008D75A1" w:rsidRPr="008D75A1" w:rsidRDefault="008D75A1" w:rsidP="008D75A1">
      <w:pPr>
        <w:pStyle w:val="normal"/>
        <w:jc w:val="center"/>
        <w:rPr>
          <w:rFonts w:ascii="Athiti" w:eastAsia="Athiti" w:hAnsi="Athiti" w:cs="Athiti"/>
          <w:b/>
          <w:color w:val="44546A"/>
          <w:sz w:val="48"/>
          <w:szCs w:val="48"/>
          <w:lang w:val="cs-CZ"/>
        </w:rPr>
      </w:pPr>
      <w:r w:rsidRPr="008D75A1">
        <w:rPr>
          <w:rFonts w:ascii="Athiti" w:eastAsia="Athiti" w:hAnsi="Athiti" w:cs="Athiti"/>
          <w:b/>
          <w:sz w:val="48"/>
          <w:szCs w:val="48"/>
          <w:lang w:val="cs-CZ"/>
        </w:rPr>
        <w:t>Postup ukončení obchodního vztahu se zákazníkem</w:t>
      </w:r>
    </w:p>
    <w:p w:rsidR="008D75A1" w:rsidRPr="008D75A1" w:rsidRDefault="008D75A1" w:rsidP="008D75A1">
      <w:pPr>
        <w:pStyle w:val="normal"/>
        <w:rPr>
          <w:rFonts w:ascii="Athiti" w:eastAsia="Athiti" w:hAnsi="Athiti" w:cs="Athiti"/>
          <w:b/>
          <w:color w:val="44546A"/>
          <w:sz w:val="48"/>
          <w:szCs w:val="48"/>
          <w:lang w:val="cs-CZ"/>
        </w:rPr>
      </w:pPr>
    </w:p>
    <w:p w:rsidR="008D75A1" w:rsidRPr="008D75A1" w:rsidRDefault="008D75A1" w:rsidP="008D75A1">
      <w:pPr>
        <w:pStyle w:val="normal"/>
        <w:spacing w:before="240" w:after="240" w:line="240" w:lineRule="auto"/>
        <w:jc w:val="left"/>
        <w:rPr>
          <w:rFonts w:ascii="Athiti" w:eastAsia="Athiti" w:hAnsi="Athiti" w:cs="Athiti"/>
          <w:color w:val="444444"/>
          <w:lang w:val="cs-CZ"/>
        </w:rPr>
      </w:pPr>
    </w:p>
    <w:p w:rsidR="008D75A1" w:rsidRPr="008D75A1" w:rsidRDefault="008D75A1" w:rsidP="008D75A1">
      <w:pPr>
        <w:pStyle w:val="normal"/>
        <w:widowControl w:val="0"/>
        <w:tabs>
          <w:tab w:val="left" w:pos="9356"/>
        </w:tabs>
        <w:spacing w:before="6" w:after="0" w:line="240" w:lineRule="auto"/>
        <w:rPr>
          <w:rFonts w:ascii="Athiti" w:eastAsia="Athiti" w:hAnsi="Athiti" w:cs="Athiti"/>
          <w:sz w:val="18"/>
          <w:szCs w:val="18"/>
          <w:lang w:val="cs-CZ"/>
        </w:rPr>
      </w:pPr>
    </w:p>
    <w:tbl>
      <w:tblPr>
        <w:tblpPr w:leftFromText="180" w:rightFromText="180" w:topFromText="180" w:bottomFromText="180" w:vertAnchor="text" w:horzAnchor="page" w:tblpX="4236" w:tblpY="3004"/>
        <w:tblW w:w="589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3149"/>
        <w:gridCol w:w="2746"/>
      </w:tblGrid>
      <w:tr w:rsidR="008D75A1" w:rsidRPr="008D75A1" w:rsidTr="00A12F73">
        <w:trPr>
          <w:cantSplit/>
          <w:trHeight w:val="354"/>
          <w:tblHeader/>
        </w:trPr>
        <w:tc>
          <w:tcPr>
            <w:tcW w:w="3149" w:type="dxa"/>
            <w:shd w:val="clear" w:color="auto" w:fill="EFEFEF"/>
          </w:tcPr>
          <w:p w:rsidR="008D75A1" w:rsidRPr="008D75A1" w:rsidRDefault="008D75A1" w:rsidP="00A12F73">
            <w:pPr>
              <w:pStyle w:val="normal"/>
              <w:widowControl w:val="0"/>
              <w:tabs>
                <w:tab w:val="left" w:pos="9356"/>
              </w:tabs>
              <w:spacing w:before="64" w:after="0" w:line="240" w:lineRule="auto"/>
              <w:ind w:left="105"/>
              <w:rPr>
                <w:rFonts w:ascii="Athiti" w:eastAsia="Athiti" w:hAnsi="Athiti" w:cs="Athiti"/>
                <w:b/>
                <w:sz w:val="20"/>
                <w:szCs w:val="20"/>
                <w:lang w:val="cs-CZ"/>
              </w:rPr>
            </w:pPr>
            <w:r w:rsidRPr="008D75A1">
              <w:rPr>
                <w:rFonts w:ascii="Athiti" w:eastAsia="Athiti" w:hAnsi="Athiti" w:cs="Athiti"/>
                <w:b/>
                <w:sz w:val="20"/>
                <w:szCs w:val="20"/>
                <w:lang w:val="cs-CZ"/>
              </w:rPr>
              <w:t>Verze:</w:t>
            </w:r>
          </w:p>
        </w:tc>
        <w:tc>
          <w:tcPr>
            <w:tcW w:w="2746" w:type="dxa"/>
          </w:tcPr>
          <w:p w:rsidR="008D75A1" w:rsidRPr="008D75A1" w:rsidRDefault="008D75A1" w:rsidP="00A12F73">
            <w:pPr>
              <w:pStyle w:val="normal"/>
              <w:widowControl w:val="0"/>
              <w:tabs>
                <w:tab w:val="left" w:pos="9356"/>
              </w:tabs>
              <w:spacing w:before="71" w:after="0" w:line="240" w:lineRule="auto"/>
              <w:ind w:right="94"/>
              <w:rPr>
                <w:rFonts w:ascii="Athiti" w:eastAsia="Athiti" w:hAnsi="Athiti" w:cs="Athiti"/>
                <w:sz w:val="20"/>
                <w:szCs w:val="20"/>
                <w:lang w:val="cs-CZ"/>
              </w:rPr>
            </w:pPr>
            <w:r w:rsidRPr="008D75A1">
              <w:rPr>
                <w:rFonts w:ascii="Athiti" w:eastAsia="Athiti" w:hAnsi="Athiti" w:cs="Athiti"/>
                <w:sz w:val="20"/>
                <w:szCs w:val="20"/>
                <w:lang w:val="cs-CZ"/>
              </w:rPr>
              <w:t>1.0</w:t>
            </w:r>
          </w:p>
        </w:tc>
      </w:tr>
      <w:tr w:rsidR="008D75A1" w:rsidRPr="008D75A1" w:rsidTr="00A12F73">
        <w:trPr>
          <w:cantSplit/>
          <w:trHeight w:val="354"/>
          <w:tblHeader/>
        </w:trPr>
        <w:tc>
          <w:tcPr>
            <w:tcW w:w="3149" w:type="dxa"/>
            <w:shd w:val="clear" w:color="auto" w:fill="EFEFEF"/>
          </w:tcPr>
          <w:p w:rsidR="008D75A1" w:rsidRPr="008D75A1" w:rsidRDefault="008D75A1" w:rsidP="00A12F73">
            <w:pPr>
              <w:pStyle w:val="normal"/>
              <w:widowControl w:val="0"/>
              <w:tabs>
                <w:tab w:val="left" w:pos="9356"/>
              </w:tabs>
              <w:spacing w:before="64" w:after="0" w:line="240" w:lineRule="auto"/>
              <w:ind w:left="105"/>
              <w:rPr>
                <w:rFonts w:ascii="Athiti" w:eastAsia="Athiti" w:hAnsi="Athiti" w:cs="Athiti"/>
                <w:b/>
                <w:sz w:val="20"/>
                <w:szCs w:val="20"/>
                <w:lang w:val="cs-CZ"/>
              </w:rPr>
            </w:pPr>
            <w:r w:rsidRPr="008D75A1">
              <w:rPr>
                <w:rFonts w:ascii="Athiti" w:eastAsia="Athiti" w:hAnsi="Athiti" w:cs="Athiti"/>
                <w:b/>
                <w:sz w:val="20"/>
                <w:szCs w:val="20"/>
                <w:lang w:val="cs-CZ"/>
              </w:rPr>
              <w:t>Schváleno dne:</w:t>
            </w:r>
          </w:p>
        </w:tc>
        <w:tc>
          <w:tcPr>
            <w:tcW w:w="2746" w:type="dxa"/>
          </w:tcPr>
          <w:p w:rsidR="008D75A1" w:rsidRPr="008D75A1" w:rsidRDefault="003B42F4" w:rsidP="00A12F73">
            <w:pPr>
              <w:pStyle w:val="normal"/>
              <w:widowControl w:val="0"/>
              <w:tabs>
                <w:tab w:val="left" w:pos="9356"/>
              </w:tabs>
              <w:spacing w:before="71" w:after="0" w:line="240" w:lineRule="auto"/>
              <w:ind w:right="94"/>
              <w:rPr>
                <w:rFonts w:ascii="Athiti" w:eastAsia="Athiti" w:hAnsi="Athiti" w:cs="Athiti"/>
                <w:sz w:val="20"/>
                <w:szCs w:val="20"/>
                <w:lang w:val="cs-CZ"/>
              </w:rPr>
            </w:pPr>
            <w:r>
              <w:rPr>
                <w:rFonts w:ascii="Athiti" w:eastAsia="Athiti" w:hAnsi="Athiti" w:cs="Athiti"/>
                <w:sz w:val="20"/>
                <w:szCs w:val="20"/>
                <w:lang w:val="cs-CZ"/>
              </w:rPr>
              <w:t>25.07.2025</w:t>
            </w:r>
          </w:p>
        </w:tc>
      </w:tr>
      <w:tr w:rsidR="008D75A1" w:rsidRPr="008D75A1" w:rsidTr="00A12F73">
        <w:trPr>
          <w:cantSplit/>
          <w:trHeight w:val="354"/>
          <w:tblHeader/>
        </w:trPr>
        <w:tc>
          <w:tcPr>
            <w:tcW w:w="3149" w:type="dxa"/>
            <w:shd w:val="clear" w:color="auto" w:fill="EFEFEF"/>
          </w:tcPr>
          <w:p w:rsidR="008D75A1" w:rsidRPr="008D75A1" w:rsidRDefault="008D75A1" w:rsidP="00A12F73">
            <w:pPr>
              <w:pStyle w:val="normal"/>
              <w:widowControl w:val="0"/>
              <w:tabs>
                <w:tab w:val="left" w:pos="9356"/>
              </w:tabs>
              <w:spacing w:before="64" w:after="0" w:line="240" w:lineRule="auto"/>
              <w:ind w:left="105"/>
              <w:rPr>
                <w:rFonts w:ascii="Athiti" w:eastAsia="Athiti" w:hAnsi="Athiti" w:cs="Athiti"/>
                <w:b/>
                <w:sz w:val="20"/>
                <w:szCs w:val="20"/>
                <w:lang w:val="cs-CZ"/>
              </w:rPr>
            </w:pPr>
            <w:r w:rsidRPr="008D75A1">
              <w:rPr>
                <w:rFonts w:ascii="Athiti" w:eastAsia="Athiti" w:hAnsi="Athiti" w:cs="Athiti"/>
                <w:b/>
                <w:sz w:val="20"/>
                <w:szCs w:val="20"/>
                <w:lang w:val="cs-CZ"/>
              </w:rPr>
              <w:t>Schváleno oddělením:</w:t>
            </w:r>
          </w:p>
        </w:tc>
        <w:tc>
          <w:tcPr>
            <w:tcW w:w="2746" w:type="dxa"/>
          </w:tcPr>
          <w:p w:rsidR="008D75A1" w:rsidRPr="008D75A1" w:rsidRDefault="008D75A1" w:rsidP="00A12F73">
            <w:pPr>
              <w:pStyle w:val="normal"/>
              <w:widowControl w:val="0"/>
              <w:tabs>
                <w:tab w:val="left" w:pos="9356"/>
              </w:tabs>
              <w:spacing w:before="71" w:after="0" w:line="240" w:lineRule="auto"/>
              <w:ind w:right="94"/>
              <w:rPr>
                <w:rFonts w:ascii="Athiti" w:eastAsia="Athiti" w:hAnsi="Athiti" w:cs="Athiti"/>
                <w:sz w:val="20"/>
                <w:szCs w:val="20"/>
                <w:lang w:val="cs-CZ"/>
              </w:rPr>
            </w:pPr>
            <w:r w:rsidRPr="008D75A1">
              <w:rPr>
                <w:rFonts w:ascii="Athiti" w:eastAsia="Athiti" w:hAnsi="Athiti" w:cs="Athiti"/>
                <w:sz w:val="20"/>
                <w:szCs w:val="20"/>
                <w:lang w:val="cs-CZ"/>
              </w:rPr>
              <w:t>Compliance</w:t>
            </w:r>
          </w:p>
        </w:tc>
      </w:tr>
      <w:tr w:rsidR="008D75A1" w:rsidRPr="008D75A1" w:rsidTr="00A12F73">
        <w:trPr>
          <w:cantSplit/>
          <w:trHeight w:val="354"/>
          <w:tblHeader/>
        </w:trPr>
        <w:tc>
          <w:tcPr>
            <w:tcW w:w="3149" w:type="dxa"/>
            <w:shd w:val="clear" w:color="auto" w:fill="EFEFEF"/>
          </w:tcPr>
          <w:p w:rsidR="008D75A1" w:rsidRPr="008D75A1" w:rsidRDefault="008D75A1" w:rsidP="00A12F73">
            <w:pPr>
              <w:pStyle w:val="normal"/>
              <w:widowControl w:val="0"/>
              <w:tabs>
                <w:tab w:val="left" w:pos="9356"/>
              </w:tabs>
              <w:spacing w:before="64" w:after="0" w:line="240" w:lineRule="auto"/>
              <w:ind w:left="105"/>
              <w:rPr>
                <w:rFonts w:ascii="Athiti" w:eastAsia="Athiti" w:hAnsi="Athiti" w:cs="Athiti"/>
                <w:b/>
                <w:sz w:val="20"/>
                <w:szCs w:val="20"/>
                <w:lang w:val="cs-CZ"/>
              </w:rPr>
            </w:pPr>
            <w:r w:rsidRPr="008D75A1">
              <w:rPr>
                <w:rFonts w:ascii="Athiti" w:eastAsia="Athiti" w:hAnsi="Athiti" w:cs="Athiti"/>
                <w:b/>
                <w:sz w:val="20"/>
                <w:szCs w:val="20"/>
                <w:lang w:val="cs-CZ"/>
              </w:rPr>
              <w:t>Naposledy aktualizováno:</w:t>
            </w:r>
          </w:p>
        </w:tc>
        <w:tc>
          <w:tcPr>
            <w:tcW w:w="2746" w:type="dxa"/>
          </w:tcPr>
          <w:p w:rsidR="008D75A1" w:rsidRPr="008D75A1" w:rsidRDefault="003B42F4" w:rsidP="00A12F73">
            <w:pPr>
              <w:pStyle w:val="normal"/>
              <w:widowControl w:val="0"/>
              <w:tabs>
                <w:tab w:val="left" w:pos="9356"/>
              </w:tabs>
              <w:spacing w:before="71" w:after="0" w:line="240" w:lineRule="auto"/>
              <w:ind w:right="94"/>
              <w:rPr>
                <w:rFonts w:ascii="Athiti" w:eastAsia="Athiti" w:hAnsi="Athiti" w:cs="Athiti"/>
                <w:sz w:val="20"/>
                <w:szCs w:val="20"/>
                <w:lang w:val="cs-CZ"/>
              </w:rPr>
            </w:pPr>
            <w:r>
              <w:rPr>
                <w:rFonts w:ascii="Athiti" w:eastAsia="Athiti" w:hAnsi="Athiti" w:cs="Athiti"/>
                <w:sz w:val="20"/>
                <w:szCs w:val="20"/>
                <w:lang w:val="cs-CZ"/>
              </w:rPr>
              <w:t>25.07.2025</w:t>
            </w:r>
          </w:p>
        </w:tc>
      </w:tr>
    </w:tbl>
    <w:p w:rsidR="008D75A1" w:rsidRPr="008D75A1" w:rsidRDefault="008D75A1" w:rsidP="008D75A1">
      <w:pPr>
        <w:pStyle w:val="normal"/>
        <w:keepNext/>
        <w:keepLines/>
        <w:spacing w:before="360" w:after="240"/>
        <w:jc w:val="left"/>
        <w:rPr>
          <w:rFonts w:ascii="Athiti" w:eastAsia="Athiti" w:hAnsi="Athiti" w:cs="Athiti"/>
          <w:sz w:val="18"/>
          <w:szCs w:val="18"/>
          <w:lang w:val="cs-CZ"/>
        </w:rPr>
      </w:pPr>
      <w:r w:rsidRPr="008D75A1">
        <w:rPr>
          <w:lang w:val="cs-CZ"/>
        </w:rPr>
        <w:br w:type="page"/>
      </w:r>
    </w:p>
    <w:p w:rsidR="008D75A1" w:rsidRPr="008D75A1" w:rsidRDefault="008D75A1" w:rsidP="008D75A1">
      <w:pPr>
        <w:pStyle w:val="normal"/>
        <w:keepNext/>
        <w:keepLines/>
        <w:spacing w:before="360" w:after="240"/>
        <w:jc w:val="left"/>
        <w:rPr>
          <w:rFonts w:ascii="Athiti" w:eastAsia="Athiti" w:hAnsi="Athiti" w:cs="Athiti"/>
          <w:b/>
          <w:sz w:val="36"/>
          <w:szCs w:val="36"/>
          <w:lang w:val="cs-CZ"/>
        </w:rPr>
      </w:pPr>
      <w:r w:rsidRPr="008D75A1">
        <w:rPr>
          <w:rFonts w:ascii="Athiti" w:eastAsia="Athiti" w:hAnsi="Athiti" w:cs="Athiti"/>
          <w:b/>
          <w:sz w:val="36"/>
          <w:szCs w:val="36"/>
          <w:lang w:val="cs-CZ"/>
        </w:rPr>
        <w:lastRenderedPageBreak/>
        <w:t>Obsah</w:t>
      </w:r>
    </w:p>
    <w:sdt>
      <w:sdtPr>
        <w:rPr>
          <w:lang w:val="cs-CZ"/>
        </w:rPr>
        <w:id w:val="-1166416088"/>
        <w:docPartObj>
          <w:docPartGallery w:val="Table of Contents"/>
          <w:docPartUnique/>
        </w:docPartObj>
      </w:sdtPr>
      <w:sdtContent>
        <w:p w:rsidR="008D75A1" w:rsidRPr="008D75A1" w:rsidRDefault="003710FB" w:rsidP="008D75A1">
          <w:pPr>
            <w:pStyle w:val="normal"/>
            <w:widowControl w:val="0"/>
            <w:tabs>
              <w:tab w:val="right" w:pos="12000"/>
            </w:tabs>
            <w:spacing w:before="60" w:after="0" w:line="240" w:lineRule="auto"/>
            <w:jc w:val="left"/>
            <w:rPr>
              <w:rFonts w:ascii="Athiti" w:eastAsia="Athiti" w:hAnsi="Athiti" w:cs="Athiti"/>
              <w:b/>
              <w:color w:val="000000"/>
              <w:sz w:val="22"/>
              <w:szCs w:val="22"/>
              <w:lang w:val="cs-CZ"/>
            </w:rPr>
          </w:pPr>
          <w:r w:rsidRPr="008D75A1">
            <w:rPr>
              <w:lang w:val="cs-CZ"/>
            </w:rPr>
            <w:fldChar w:fldCharType="begin"/>
          </w:r>
          <w:r w:rsidR="008D75A1" w:rsidRPr="008D75A1">
            <w:rPr>
              <w:lang w:val="cs-CZ"/>
            </w:rPr>
            <w:instrText xml:space="preserve"> TOC \h \u \z \t "Heading 1,1,Heading 2,2,Heading 3,3,"</w:instrText>
          </w:r>
          <w:r w:rsidRPr="008D75A1">
            <w:rPr>
              <w:lang w:val="cs-CZ"/>
            </w:rPr>
            <w:fldChar w:fldCharType="separate"/>
          </w:r>
          <w:hyperlink w:anchor="_heading=h.rh6xsfikiuzi">
            <w:r w:rsidR="008D75A1" w:rsidRPr="008D75A1">
              <w:rPr>
                <w:rFonts w:ascii="Athiti" w:eastAsia="Athiti" w:hAnsi="Athiti" w:cs="Athiti"/>
                <w:b/>
                <w:color w:val="000000"/>
                <w:sz w:val="22"/>
                <w:szCs w:val="22"/>
                <w:lang w:val="cs-CZ"/>
              </w:rPr>
              <w:t>Pojmy a definice</w:t>
            </w:r>
            <w:r w:rsidR="008D75A1" w:rsidRPr="008D75A1">
              <w:rPr>
                <w:rFonts w:ascii="Athiti" w:eastAsia="Athiti" w:hAnsi="Athiti" w:cs="Athiti"/>
                <w:b/>
                <w:color w:val="000000"/>
                <w:sz w:val="22"/>
                <w:szCs w:val="22"/>
                <w:lang w:val="cs-CZ"/>
              </w:rPr>
              <w:tab/>
              <w:t>2</w:t>
            </w:r>
          </w:hyperlink>
        </w:p>
        <w:p w:rsidR="008D75A1" w:rsidRPr="008D75A1" w:rsidRDefault="003710FB" w:rsidP="008D75A1">
          <w:pPr>
            <w:pStyle w:val="normal"/>
            <w:widowControl w:val="0"/>
            <w:tabs>
              <w:tab w:val="right" w:pos="12000"/>
            </w:tabs>
            <w:spacing w:before="60" w:after="0" w:line="240" w:lineRule="auto"/>
            <w:ind w:left="720"/>
            <w:jc w:val="left"/>
            <w:rPr>
              <w:rFonts w:ascii="Athiti" w:eastAsia="Athiti" w:hAnsi="Athiti" w:cs="Athiti"/>
              <w:color w:val="000000"/>
              <w:sz w:val="22"/>
              <w:szCs w:val="22"/>
              <w:lang w:val="cs-CZ"/>
            </w:rPr>
          </w:pPr>
          <w:hyperlink w:anchor="_heading=h.or1v09r6otz">
            <w:r w:rsidR="008D75A1" w:rsidRPr="008D75A1">
              <w:rPr>
                <w:rFonts w:ascii="Athiti" w:eastAsia="Athiti" w:hAnsi="Athiti" w:cs="Athiti"/>
                <w:color w:val="000000"/>
                <w:sz w:val="22"/>
                <w:szCs w:val="22"/>
                <w:lang w:val="cs-CZ"/>
              </w:rPr>
              <w:t>1. Účel</w:t>
            </w:r>
            <w:r w:rsidR="008D75A1" w:rsidRPr="008D75A1">
              <w:rPr>
                <w:rFonts w:ascii="Athiti" w:eastAsia="Athiti" w:hAnsi="Athiti" w:cs="Athiti"/>
                <w:color w:val="000000"/>
                <w:sz w:val="22"/>
                <w:szCs w:val="22"/>
                <w:lang w:val="cs-CZ"/>
              </w:rPr>
              <w:tab/>
              <w:t>2</w:t>
            </w:r>
          </w:hyperlink>
        </w:p>
        <w:p w:rsidR="008D75A1" w:rsidRPr="008D75A1" w:rsidRDefault="003710FB" w:rsidP="008D75A1">
          <w:pPr>
            <w:pStyle w:val="normal"/>
            <w:widowControl w:val="0"/>
            <w:tabs>
              <w:tab w:val="right" w:pos="12000"/>
            </w:tabs>
            <w:spacing w:before="60" w:after="0" w:line="240" w:lineRule="auto"/>
            <w:ind w:left="720"/>
            <w:jc w:val="left"/>
            <w:rPr>
              <w:rFonts w:ascii="Athiti" w:eastAsia="Athiti" w:hAnsi="Athiti" w:cs="Athiti"/>
              <w:color w:val="000000"/>
              <w:sz w:val="22"/>
              <w:szCs w:val="22"/>
              <w:lang w:val="cs-CZ"/>
            </w:rPr>
          </w:pPr>
          <w:hyperlink w:anchor="_heading=h.fpegg1c9fghf">
            <w:r w:rsidR="008D75A1" w:rsidRPr="008D75A1">
              <w:rPr>
                <w:rFonts w:ascii="Athiti" w:eastAsia="Athiti" w:hAnsi="Athiti" w:cs="Athiti"/>
                <w:color w:val="000000"/>
                <w:sz w:val="22"/>
                <w:szCs w:val="22"/>
                <w:lang w:val="cs-CZ"/>
              </w:rPr>
              <w:t>2. Rozsah</w:t>
            </w:r>
            <w:r w:rsidR="008D75A1" w:rsidRPr="008D75A1">
              <w:rPr>
                <w:rFonts w:ascii="Athiti" w:eastAsia="Athiti" w:hAnsi="Athiti" w:cs="Athiti"/>
                <w:color w:val="000000"/>
                <w:sz w:val="22"/>
                <w:szCs w:val="22"/>
                <w:lang w:val="cs-CZ"/>
              </w:rPr>
              <w:tab/>
              <w:t>2</w:t>
            </w:r>
          </w:hyperlink>
        </w:p>
        <w:p w:rsidR="008D75A1" w:rsidRPr="008D75A1" w:rsidRDefault="003710FB" w:rsidP="008D75A1">
          <w:pPr>
            <w:pStyle w:val="normal"/>
            <w:widowControl w:val="0"/>
            <w:tabs>
              <w:tab w:val="right" w:pos="12000"/>
            </w:tabs>
            <w:spacing w:before="60" w:after="0" w:line="240" w:lineRule="auto"/>
            <w:ind w:left="720"/>
            <w:jc w:val="left"/>
            <w:rPr>
              <w:rFonts w:ascii="Athiti" w:eastAsia="Athiti" w:hAnsi="Athiti" w:cs="Athiti"/>
              <w:color w:val="000000"/>
              <w:sz w:val="22"/>
              <w:szCs w:val="22"/>
              <w:lang w:val="cs-CZ"/>
            </w:rPr>
          </w:pPr>
          <w:hyperlink w:anchor="_heading=h.chz2ip7jxi7c">
            <w:r w:rsidR="008D75A1" w:rsidRPr="008D75A1">
              <w:rPr>
                <w:rFonts w:ascii="Athiti" w:eastAsia="Athiti" w:hAnsi="Athiti" w:cs="Athiti"/>
                <w:color w:val="000000"/>
                <w:sz w:val="22"/>
                <w:szCs w:val="22"/>
                <w:lang w:val="cs-CZ"/>
              </w:rPr>
              <w:t>3. Spouštěče ukončení obchodního vztahu</w:t>
            </w:r>
            <w:r w:rsidR="008D75A1" w:rsidRPr="008D75A1">
              <w:rPr>
                <w:rFonts w:ascii="Athiti" w:eastAsia="Athiti" w:hAnsi="Athiti" w:cs="Athiti"/>
                <w:color w:val="000000"/>
                <w:sz w:val="22"/>
                <w:szCs w:val="22"/>
                <w:lang w:val="cs-CZ"/>
              </w:rPr>
              <w:tab/>
              <w:t>3</w:t>
            </w:r>
          </w:hyperlink>
        </w:p>
        <w:p w:rsidR="008D75A1" w:rsidRPr="008D75A1" w:rsidRDefault="003710FB" w:rsidP="008D75A1">
          <w:pPr>
            <w:pStyle w:val="normal"/>
            <w:widowControl w:val="0"/>
            <w:tabs>
              <w:tab w:val="right" w:pos="12000"/>
            </w:tabs>
            <w:spacing w:before="60" w:after="0" w:line="240" w:lineRule="auto"/>
            <w:ind w:left="720"/>
            <w:jc w:val="left"/>
            <w:rPr>
              <w:rFonts w:ascii="Athiti" w:eastAsia="Athiti" w:hAnsi="Athiti" w:cs="Athiti"/>
              <w:color w:val="000000"/>
              <w:sz w:val="22"/>
              <w:szCs w:val="22"/>
              <w:lang w:val="cs-CZ"/>
            </w:rPr>
          </w:pPr>
          <w:hyperlink w:anchor="_heading=h.nd005begnjeq">
            <w:r w:rsidR="008D75A1" w:rsidRPr="008D75A1">
              <w:rPr>
                <w:rFonts w:ascii="Athiti" w:eastAsia="Athiti" w:hAnsi="Athiti" w:cs="Athiti"/>
                <w:color w:val="000000"/>
                <w:sz w:val="22"/>
                <w:szCs w:val="22"/>
                <w:lang w:val="cs-CZ"/>
              </w:rPr>
              <w:t>4. Odpovědnosti</w:t>
            </w:r>
            <w:r w:rsidR="008D75A1" w:rsidRPr="008D75A1">
              <w:rPr>
                <w:rFonts w:ascii="Athiti" w:eastAsia="Athiti" w:hAnsi="Athiti" w:cs="Athiti"/>
                <w:color w:val="000000"/>
                <w:sz w:val="22"/>
                <w:szCs w:val="22"/>
                <w:lang w:val="cs-CZ"/>
              </w:rPr>
              <w:tab/>
              <w:t>4</w:t>
            </w:r>
          </w:hyperlink>
        </w:p>
        <w:p w:rsidR="008D75A1" w:rsidRPr="008D75A1" w:rsidRDefault="003710FB" w:rsidP="008D75A1">
          <w:pPr>
            <w:pStyle w:val="normal"/>
            <w:widowControl w:val="0"/>
            <w:tabs>
              <w:tab w:val="right" w:pos="12000"/>
            </w:tabs>
            <w:spacing w:before="60" w:after="0" w:line="240" w:lineRule="auto"/>
            <w:ind w:left="720"/>
            <w:jc w:val="left"/>
            <w:rPr>
              <w:rFonts w:ascii="Athiti" w:eastAsia="Athiti" w:hAnsi="Athiti" w:cs="Athiti"/>
              <w:color w:val="000000"/>
              <w:sz w:val="22"/>
              <w:szCs w:val="22"/>
              <w:lang w:val="cs-CZ"/>
            </w:rPr>
          </w:pPr>
          <w:hyperlink w:anchor="_heading=h.8d74emjsfrnf">
            <w:r w:rsidR="008D75A1" w:rsidRPr="008D75A1">
              <w:rPr>
                <w:rFonts w:ascii="Athiti" w:eastAsia="Athiti" w:hAnsi="Athiti" w:cs="Athiti"/>
                <w:color w:val="000000"/>
                <w:sz w:val="22"/>
                <w:szCs w:val="22"/>
                <w:lang w:val="cs-CZ"/>
              </w:rPr>
              <w:t>5. Postup ukončení obchodního vztahu</w:t>
            </w:r>
            <w:r w:rsidR="008D75A1" w:rsidRPr="008D75A1">
              <w:rPr>
                <w:rFonts w:ascii="Athiti" w:eastAsia="Athiti" w:hAnsi="Athiti" w:cs="Athiti"/>
                <w:color w:val="000000"/>
                <w:sz w:val="22"/>
                <w:szCs w:val="22"/>
                <w:lang w:val="cs-CZ"/>
              </w:rPr>
              <w:tab/>
              <w:t>5</w:t>
            </w:r>
          </w:hyperlink>
        </w:p>
        <w:p w:rsidR="008D75A1" w:rsidRPr="008D75A1" w:rsidRDefault="003710FB" w:rsidP="008D75A1">
          <w:pPr>
            <w:pStyle w:val="normal"/>
            <w:widowControl w:val="0"/>
            <w:tabs>
              <w:tab w:val="right" w:pos="12000"/>
            </w:tabs>
            <w:spacing w:before="60" w:after="0" w:line="240" w:lineRule="auto"/>
            <w:ind w:left="720"/>
            <w:jc w:val="left"/>
            <w:rPr>
              <w:rFonts w:ascii="Athiti" w:eastAsia="Athiti" w:hAnsi="Athiti" w:cs="Athiti"/>
              <w:color w:val="000000"/>
              <w:sz w:val="22"/>
              <w:szCs w:val="22"/>
              <w:lang w:val="cs-CZ"/>
            </w:rPr>
          </w:pPr>
          <w:hyperlink w:anchor="_heading=h.ck6nosh73bay">
            <w:r w:rsidR="008D75A1" w:rsidRPr="008D75A1">
              <w:rPr>
                <w:rFonts w:ascii="Athiti" w:eastAsia="Athiti" w:hAnsi="Athiti" w:cs="Athiti"/>
                <w:color w:val="000000"/>
                <w:sz w:val="22"/>
                <w:szCs w:val="22"/>
                <w:lang w:val="cs-CZ"/>
              </w:rPr>
              <w:t>6. Dokumentace a dohledatelnost</w:t>
            </w:r>
            <w:r w:rsidR="008D75A1" w:rsidRPr="008D75A1">
              <w:rPr>
                <w:rFonts w:ascii="Athiti" w:eastAsia="Athiti" w:hAnsi="Athiti" w:cs="Athiti"/>
                <w:color w:val="000000"/>
                <w:sz w:val="22"/>
                <w:szCs w:val="22"/>
                <w:lang w:val="cs-CZ"/>
              </w:rPr>
              <w:tab/>
              <w:t>7</w:t>
            </w:r>
          </w:hyperlink>
        </w:p>
        <w:p w:rsidR="008D75A1" w:rsidRPr="008D75A1" w:rsidRDefault="003710FB" w:rsidP="008D75A1">
          <w:pPr>
            <w:pStyle w:val="normal"/>
            <w:widowControl w:val="0"/>
            <w:tabs>
              <w:tab w:val="right" w:pos="12000"/>
            </w:tabs>
            <w:spacing w:before="60" w:after="0" w:line="240" w:lineRule="auto"/>
            <w:ind w:left="720"/>
            <w:jc w:val="left"/>
            <w:rPr>
              <w:rFonts w:ascii="Athiti" w:eastAsia="Athiti" w:hAnsi="Athiti" w:cs="Athiti"/>
              <w:color w:val="000000"/>
              <w:sz w:val="22"/>
              <w:szCs w:val="22"/>
              <w:lang w:val="cs-CZ"/>
            </w:rPr>
          </w:pPr>
          <w:hyperlink w:anchor="_heading=h.997jxerkvxgk">
            <w:r w:rsidR="008D75A1" w:rsidRPr="008D75A1">
              <w:rPr>
                <w:rFonts w:ascii="Athiti" w:eastAsia="Athiti" w:hAnsi="Athiti" w:cs="Athiti"/>
                <w:color w:val="000000"/>
                <w:sz w:val="22"/>
                <w:szCs w:val="22"/>
                <w:lang w:val="cs-CZ"/>
              </w:rPr>
              <w:t>9. Přezkum a aktualizace</w:t>
            </w:r>
            <w:r w:rsidR="008D75A1" w:rsidRPr="008D75A1">
              <w:rPr>
                <w:rFonts w:ascii="Athiti" w:eastAsia="Athiti" w:hAnsi="Athiti" w:cs="Athiti"/>
                <w:color w:val="000000"/>
                <w:sz w:val="22"/>
                <w:szCs w:val="22"/>
                <w:lang w:val="cs-CZ"/>
              </w:rPr>
              <w:tab/>
              <w:t>8</w:t>
            </w:r>
          </w:hyperlink>
          <w:r w:rsidRPr="008D75A1">
            <w:rPr>
              <w:lang w:val="cs-CZ"/>
            </w:rPr>
            <w:fldChar w:fldCharType="end"/>
          </w:r>
        </w:p>
      </w:sdtContent>
    </w:sdt>
    <w:p w:rsidR="008D75A1" w:rsidRPr="008D75A1" w:rsidRDefault="008D75A1" w:rsidP="008D75A1">
      <w:pPr>
        <w:pStyle w:val="normal"/>
        <w:rPr>
          <w:rFonts w:ascii="Athiti" w:eastAsia="Athiti" w:hAnsi="Athiti" w:cs="Athiti"/>
          <w:color w:val="44546A"/>
          <w:sz w:val="32"/>
          <w:szCs w:val="32"/>
          <w:lang w:val="cs-CZ"/>
        </w:rPr>
      </w:pPr>
      <w:r w:rsidRPr="008D75A1">
        <w:rPr>
          <w:lang w:val="cs-CZ"/>
        </w:rPr>
        <w:br w:type="page"/>
      </w:r>
    </w:p>
    <w:p w:rsidR="008D75A1" w:rsidRPr="008D75A1" w:rsidRDefault="008D75A1" w:rsidP="008D75A1">
      <w:pPr>
        <w:pStyle w:val="Nadpis1"/>
        <w:keepNext w:val="0"/>
        <w:keepLines w:val="0"/>
        <w:widowControl w:val="0"/>
        <w:spacing w:before="0" w:after="0" w:line="240" w:lineRule="auto"/>
        <w:rPr>
          <w:rFonts w:ascii="Athiti" w:eastAsia="Athiti" w:hAnsi="Athiti" w:cs="Athiti"/>
          <w:lang w:val="cs-CZ"/>
        </w:rPr>
      </w:pPr>
      <w:bookmarkStart w:id="4" w:name="_heading=h.rh6xsfikiuzi" w:colFirst="0" w:colLast="0"/>
      <w:bookmarkEnd w:id="4"/>
      <w:r w:rsidRPr="008D75A1">
        <w:rPr>
          <w:rFonts w:ascii="Athiti" w:eastAsia="Athiti" w:hAnsi="Athiti" w:cs="Athiti"/>
          <w:sz w:val="28"/>
          <w:szCs w:val="28"/>
          <w:lang w:val="cs-CZ"/>
        </w:rPr>
        <w:lastRenderedPageBreak/>
        <w:t>Pojmy a definice</w:t>
      </w:r>
    </w:p>
    <w:p w:rsidR="008D75A1" w:rsidRPr="008D75A1" w:rsidRDefault="008D75A1" w:rsidP="008D75A1">
      <w:pPr>
        <w:pStyle w:val="Nadpis1"/>
        <w:keepNext w:val="0"/>
        <w:keepLines w:val="0"/>
        <w:widowControl w:val="0"/>
        <w:spacing w:before="0" w:after="0" w:line="240" w:lineRule="auto"/>
        <w:rPr>
          <w:rFonts w:ascii="Athiti" w:eastAsia="Athiti" w:hAnsi="Athiti" w:cs="Athiti"/>
          <w:b w:val="0"/>
          <w:sz w:val="22"/>
          <w:szCs w:val="22"/>
          <w:lang w:val="cs-CZ"/>
        </w:rPr>
      </w:pPr>
      <w:bookmarkStart w:id="5" w:name="_heading=h.ele5t7n7sice" w:colFirst="0" w:colLast="0"/>
      <w:bookmarkEnd w:id="5"/>
    </w:p>
    <w:p w:rsidR="008D75A1" w:rsidRPr="008D75A1" w:rsidRDefault="008D75A1" w:rsidP="008D75A1">
      <w:pPr>
        <w:pStyle w:val="normal"/>
        <w:rPr>
          <w:rFonts w:ascii="Athiti" w:eastAsia="Athiti" w:hAnsi="Athiti" w:cs="Athiti"/>
          <w:lang w:val="cs-CZ"/>
        </w:rPr>
      </w:pPr>
    </w:p>
    <w:tbl>
      <w:tblPr>
        <w:tblW w:w="9445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/>
      </w:tblPr>
      <w:tblGrid>
        <w:gridCol w:w="2615"/>
        <w:gridCol w:w="6830"/>
      </w:tblGrid>
      <w:tr w:rsidR="008D75A1" w:rsidRPr="008D75A1" w:rsidTr="00A12F73">
        <w:trPr>
          <w:cantSplit/>
          <w:trHeight w:val="500"/>
          <w:tblHeader/>
        </w:trPr>
        <w:tc>
          <w:tcPr>
            <w:tcW w:w="2615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D75A1" w:rsidRPr="008D75A1" w:rsidRDefault="008D75A1" w:rsidP="00A12F73">
            <w:pPr>
              <w:pStyle w:val="normal"/>
              <w:jc w:val="center"/>
              <w:rPr>
                <w:rFonts w:ascii="Athiti" w:eastAsia="Athiti" w:hAnsi="Athiti" w:cs="Athiti"/>
                <w:lang w:val="cs-CZ"/>
              </w:rPr>
            </w:pPr>
            <w:r w:rsidRPr="008D75A1">
              <w:rPr>
                <w:rFonts w:ascii="Athiti" w:eastAsia="Athiti" w:hAnsi="Athiti" w:cs="Athiti"/>
                <w:b/>
                <w:lang w:val="cs-CZ"/>
              </w:rPr>
              <w:t>Pojem</w:t>
            </w:r>
          </w:p>
        </w:tc>
        <w:tc>
          <w:tcPr>
            <w:tcW w:w="6830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D75A1" w:rsidRPr="008D75A1" w:rsidRDefault="008D75A1" w:rsidP="00A12F73">
            <w:pPr>
              <w:pStyle w:val="normal"/>
              <w:jc w:val="center"/>
              <w:rPr>
                <w:rFonts w:ascii="Athiti" w:eastAsia="Athiti" w:hAnsi="Athiti" w:cs="Athiti"/>
                <w:lang w:val="cs-CZ"/>
              </w:rPr>
            </w:pPr>
            <w:r w:rsidRPr="008D75A1">
              <w:rPr>
                <w:rFonts w:ascii="Athiti" w:eastAsia="Athiti" w:hAnsi="Athiti" w:cs="Athiti"/>
                <w:b/>
                <w:lang w:val="cs-CZ"/>
              </w:rPr>
              <w:t>Definice</w:t>
            </w:r>
          </w:p>
        </w:tc>
      </w:tr>
      <w:tr w:rsidR="008D75A1" w:rsidRPr="008D75A1" w:rsidTr="00A12F73">
        <w:trPr>
          <w:cantSplit/>
          <w:trHeight w:val="770"/>
          <w:tblHeader/>
        </w:trPr>
        <w:tc>
          <w:tcPr>
            <w:tcW w:w="2615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D75A1" w:rsidRPr="008D75A1" w:rsidRDefault="008D75A1" w:rsidP="00A12F73">
            <w:pPr>
              <w:pStyle w:val="normal"/>
              <w:rPr>
                <w:rFonts w:ascii="Athiti" w:eastAsia="Athiti" w:hAnsi="Athiti" w:cs="Athiti"/>
                <w:lang w:val="cs-CZ"/>
              </w:rPr>
            </w:pPr>
            <w:r w:rsidRPr="008D75A1">
              <w:rPr>
                <w:rFonts w:ascii="Athiti" w:eastAsia="Athiti" w:hAnsi="Athiti" w:cs="Athiti"/>
                <w:b/>
                <w:lang w:val="cs-CZ"/>
              </w:rPr>
              <w:t>Offboarding</w:t>
            </w:r>
          </w:p>
        </w:tc>
        <w:tc>
          <w:tcPr>
            <w:tcW w:w="6830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D75A1" w:rsidRPr="008D75A1" w:rsidRDefault="008D75A1" w:rsidP="00A12F73">
            <w:pPr>
              <w:pStyle w:val="normal"/>
              <w:rPr>
                <w:rFonts w:ascii="Athiti" w:eastAsia="Athiti" w:hAnsi="Athiti" w:cs="Athiti"/>
                <w:lang w:val="cs-CZ"/>
              </w:rPr>
            </w:pPr>
            <w:r w:rsidRPr="008D75A1">
              <w:rPr>
                <w:rFonts w:ascii="Athiti" w:eastAsia="Athiti" w:hAnsi="Athiti" w:cs="Athiti"/>
                <w:lang w:val="cs-CZ"/>
              </w:rPr>
              <w:t>Proces systematického ukončení obchodního vztahu se zákazníkem, zahrnující právní, provozní, finanční a regulatorní aspekty.</w:t>
            </w:r>
          </w:p>
        </w:tc>
      </w:tr>
      <w:tr w:rsidR="008D75A1" w:rsidRPr="008D75A1" w:rsidTr="00A12F73">
        <w:trPr>
          <w:cantSplit/>
          <w:trHeight w:val="770"/>
          <w:tblHeader/>
        </w:trPr>
        <w:tc>
          <w:tcPr>
            <w:tcW w:w="2615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D75A1" w:rsidRPr="008D75A1" w:rsidRDefault="008D75A1" w:rsidP="00A12F73">
            <w:pPr>
              <w:pStyle w:val="normal"/>
              <w:rPr>
                <w:rFonts w:ascii="Athiti" w:eastAsia="Athiti" w:hAnsi="Athiti" w:cs="Athiti"/>
                <w:lang w:val="cs-CZ"/>
              </w:rPr>
            </w:pPr>
            <w:r w:rsidRPr="008D75A1">
              <w:rPr>
                <w:rFonts w:ascii="Athiti" w:eastAsia="Athiti" w:hAnsi="Athiti" w:cs="Athiti"/>
                <w:b/>
                <w:lang w:val="cs-CZ"/>
              </w:rPr>
              <w:t>Zákazník</w:t>
            </w:r>
          </w:p>
        </w:tc>
        <w:tc>
          <w:tcPr>
            <w:tcW w:w="6830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D75A1" w:rsidRPr="008D75A1" w:rsidRDefault="008D75A1" w:rsidP="00A12F73">
            <w:pPr>
              <w:pStyle w:val="normal"/>
              <w:rPr>
                <w:rFonts w:ascii="Athiti" w:eastAsia="Athiti" w:hAnsi="Athiti" w:cs="Athiti"/>
                <w:lang w:val="cs-CZ"/>
              </w:rPr>
            </w:pPr>
            <w:r w:rsidRPr="008D75A1">
              <w:rPr>
                <w:rFonts w:ascii="Athiti" w:eastAsia="Athiti" w:hAnsi="Athiti" w:cs="Athiti"/>
                <w:lang w:val="cs-CZ"/>
              </w:rPr>
              <w:t>Fyzická nebo právnická osoba, se kterou má společnost uzavřený obchodní vztah a které poskytuje služby.</w:t>
            </w:r>
          </w:p>
        </w:tc>
      </w:tr>
      <w:tr w:rsidR="008D75A1" w:rsidRPr="008D75A1" w:rsidTr="00A12F73">
        <w:trPr>
          <w:cantSplit/>
          <w:trHeight w:val="770"/>
          <w:tblHeader/>
        </w:trPr>
        <w:tc>
          <w:tcPr>
            <w:tcW w:w="2615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D75A1" w:rsidRPr="008D75A1" w:rsidRDefault="008D75A1" w:rsidP="00A12F73">
            <w:pPr>
              <w:pStyle w:val="normal"/>
              <w:rPr>
                <w:rFonts w:ascii="Athiti" w:eastAsia="Athiti" w:hAnsi="Athiti" w:cs="Athiti"/>
                <w:lang w:val="cs-CZ"/>
              </w:rPr>
            </w:pPr>
            <w:r w:rsidRPr="008D75A1">
              <w:rPr>
                <w:rFonts w:ascii="Athiti" w:eastAsia="Athiti" w:hAnsi="Athiti" w:cs="Athiti"/>
                <w:b/>
                <w:lang w:val="cs-CZ"/>
              </w:rPr>
              <w:t>Compliance Officer</w:t>
            </w:r>
          </w:p>
        </w:tc>
        <w:tc>
          <w:tcPr>
            <w:tcW w:w="6830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D75A1" w:rsidRPr="008D75A1" w:rsidRDefault="008D75A1" w:rsidP="00A12F73">
            <w:pPr>
              <w:pStyle w:val="normal"/>
              <w:rPr>
                <w:rFonts w:ascii="Athiti" w:eastAsia="Athiti" w:hAnsi="Athiti" w:cs="Athiti"/>
                <w:lang w:val="cs-CZ"/>
              </w:rPr>
            </w:pPr>
            <w:r w:rsidRPr="008D75A1">
              <w:rPr>
                <w:rFonts w:ascii="Athiti" w:eastAsia="Athiti" w:hAnsi="Athiti" w:cs="Athiti"/>
                <w:lang w:val="cs-CZ"/>
              </w:rPr>
              <w:t>Osoba odpovědná za dohled nad dodržováním interních a externích pravidel v oblasti AML/CTF a za komunikaci s dozorovými orgány.</w:t>
            </w:r>
          </w:p>
        </w:tc>
      </w:tr>
      <w:tr w:rsidR="008D75A1" w:rsidRPr="008D75A1" w:rsidTr="00A12F73">
        <w:trPr>
          <w:cantSplit/>
          <w:trHeight w:val="770"/>
          <w:tblHeader/>
        </w:trPr>
        <w:tc>
          <w:tcPr>
            <w:tcW w:w="2615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D75A1" w:rsidRPr="008D75A1" w:rsidRDefault="008D75A1" w:rsidP="00A12F73">
            <w:pPr>
              <w:pStyle w:val="normal"/>
              <w:rPr>
                <w:rFonts w:ascii="Athiti" w:eastAsia="Athiti" w:hAnsi="Athiti" w:cs="Athiti"/>
                <w:lang w:val="cs-CZ"/>
              </w:rPr>
            </w:pPr>
            <w:r w:rsidRPr="008D75A1">
              <w:rPr>
                <w:rFonts w:ascii="Athiti" w:eastAsia="Athiti" w:hAnsi="Athiti" w:cs="Athiti"/>
                <w:b/>
                <w:lang w:val="cs-CZ"/>
              </w:rPr>
              <w:t>AML/CTF</w:t>
            </w:r>
          </w:p>
        </w:tc>
        <w:tc>
          <w:tcPr>
            <w:tcW w:w="6830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D75A1" w:rsidRPr="008D75A1" w:rsidRDefault="008D75A1" w:rsidP="00A12F73">
            <w:pPr>
              <w:pStyle w:val="normal"/>
              <w:rPr>
                <w:rFonts w:ascii="Athiti" w:eastAsia="Athiti" w:hAnsi="Athiti" w:cs="Athiti"/>
                <w:lang w:val="cs-CZ"/>
              </w:rPr>
            </w:pPr>
            <w:r w:rsidRPr="008D75A1">
              <w:rPr>
                <w:rFonts w:ascii="Athiti" w:eastAsia="Athiti" w:hAnsi="Athiti" w:cs="Athiti"/>
                <w:lang w:val="cs-CZ"/>
              </w:rPr>
              <w:t>Opatření proti praní špinavých peněz a financování terorismu, včetně příslušných zákonů, nařízení a interních politik společnosti.</w:t>
            </w:r>
          </w:p>
        </w:tc>
      </w:tr>
      <w:tr w:rsidR="008D75A1" w:rsidRPr="008D75A1" w:rsidTr="00A12F73">
        <w:trPr>
          <w:cantSplit/>
          <w:trHeight w:val="770"/>
          <w:tblHeader/>
        </w:trPr>
        <w:tc>
          <w:tcPr>
            <w:tcW w:w="2615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D75A1" w:rsidRPr="008D75A1" w:rsidRDefault="008D75A1" w:rsidP="00A12F73">
            <w:pPr>
              <w:pStyle w:val="normal"/>
              <w:rPr>
                <w:rFonts w:ascii="Athiti" w:eastAsia="Athiti" w:hAnsi="Athiti" w:cs="Athiti"/>
                <w:lang w:val="cs-CZ"/>
              </w:rPr>
            </w:pPr>
            <w:r w:rsidRPr="008D75A1">
              <w:rPr>
                <w:rFonts w:ascii="Athiti" w:eastAsia="Athiti" w:hAnsi="Athiti" w:cs="Athiti"/>
                <w:b/>
                <w:lang w:val="cs-CZ"/>
              </w:rPr>
              <w:t>FAÚ (Finanční analytický úřad)</w:t>
            </w:r>
          </w:p>
        </w:tc>
        <w:tc>
          <w:tcPr>
            <w:tcW w:w="6830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D75A1" w:rsidRPr="008D75A1" w:rsidRDefault="008D75A1" w:rsidP="00A12F73">
            <w:pPr>
              <w:pStyle w:val="normal"/>
              <w:rPr>
                <w:rFonts w:ascii="Athiti" w:eastAsia="Athiti" w:hAnsi="Athiti" w:cs="Athiti"/>
                <w:lang w:val="cs-CZ"/>
              </w:rPr>
            </w:pPr>
            <w:r w:rsidRPr="008D75A1">
              <w:rPr>
                <w:rFonts w:ascii="Athiti" w:eastAsia="Athiti" w:hAnsi="Athiti" w:cs="Athiti"/>
                <w:lang w:val="cs-CZ"/>
              </w:rPr>
              <w:t>Český národní finanční zpravodajský orgán odpovědný za přijímání, vyhodnocování a předávání oznámení o podezřelých obchodech.</w:t>
            </w:r>
          </w:p>
        </w:tc>
      </w:tr>
      <w:tr w:rsidR="008D75A1" w:rsidRPr="008D75A1" w:rsidTr="00A12F73">
        <w:trPr>
          <w:cantSplit/>
          <w:trHeight w:val="770"/>
          <w:tblHeader/>
        </w:trPr>
        <w:tc>
          <w:tcPr>
            <w:tcW w:w="2615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D75A1" w:rsidRPr="008D75A1" w:rsidRDefault="008D75A1" w:rsidP="00A12F73">
            <w:pPr>
              <w:pStyle w:val="normal"/>
              <w:rPr>
                <w:rFonts w:ascii="Athiti" w:eastAsia="Athiti" w:hAnsi="Athiti" w:cs="Athiti"/>
                <w:lang w:val="cs-CZ"/>
              </w:rPr>
            </w:pPr>
            <w:r w:rsidRPr="008D75A1">
              <w:rPr>
                <w:rFonts w:ascii="Athiti" w:eastAsia="Athiti" w:hAnsi="Athiti" w:cs="Athiti"/>
                <w:b/>
                <w:lang w:val="cs-CZ"/>
              </w:rPr>
              <w:t>STR (Suspicious Transaction Report)</w:t>
            </w:r>
          </w:p>
        </w:tc>
        <w:tc>
          <w:tcPr>
            <w:tcW w:w="6830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D75A1" w:rsidRPr="008D75A1" w:rsidRDefault="008D75A1" w:rsidP="00A12F73">
            <w:pPr>
              <w:pStyle w:val="normal"/>
              <w:rPr>
                <w:rFonts w:ascii="Athiti" w:eastAsia="Athiti" w:hAnsi="Athiti" w:cs="Athiti"/>
                <w:lang w:val="cs-CZ"/>
              </w:rPr>
            </w:pPr>
            <w:r w:rsidRPr="008D75A1">
              <w:rPr>
                <w:rFonts w:ascii="Athiti" w:eastAsia="Athiti" w:hAnsi="Athiti" w:cs="Athiti"/>
                <w:lang w:val="cs-CZ"/>
              </w:rPr>
              <w:t>Oznámení podezřelého obchodu podávané FAÚ v případě podezření na praní peněz nebo financování terorismu.</w:t>
            </w:r>
          </w:p>
        </w:tc>
      </w:tr>
      <w:tr w:rsidR="008D75A1" w:rsidRPr="008D75A1" w:rsidTr="00A12F73">
        <w:trPr>
          <w:cantSplit/>
          <w:trHeight w:val="1055"/>
          <w:tblHeader/>
        </w:trPr>
        <w:tc>
          <w:tcPr>
            <w:tcW w:w="2615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D75A1" w:rsidRPr="008D75A1" w:rsidRDefault="008D75A1" w:rsidP="00A12F73">
            <w:pPr>
              <w:pStyle w:val="normal"/>
              <w:rPr>
                <w:rFonts w:ascii="Athiti" w:eastAsia="Athiti" w:hAnsi="Athiti" w:cs="Athiti"/>
                <w:lang w:val="cs-CZ"/>
              </w:rPr>
            </w:pPr>
            <w:r w:rsidRPr="008D75A1">
              <w:rPr>
                <w:rFonts w:ascii="Athiti" w:eastAsia="Athiti" w:hAnsi="Athiti" w:cs="Athiti"/>
                <w:b/>
                <w:lang w:val="cs-CZ"/>
              </w:rPr>
              <w:t>Rizikové hodnocení</w:t>
            </w:r>
          </w:p>
        </w:tc>
        <w:tc>
          <w:tcPr>
            <w:tcW w:w="6830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D75A1" w:rsidRPr="008D75A1" w:rsidRDefault="008D75A1" w:rsidP="00A12F73">
            <w:pPr>
              <w:pStyle w:val="normal"/>
              <w:rPr>
                <w:rFonts w:ascii="Athiti" w:eastAsia="Athiti" w:hAnsi="Athiti" w:cs="Athiti"/>
                <w:lang w:val="cs-CZ"/>
              </w:rPr>
            </w:pPr>
            <w:r w:rsidRPr="008D75A1">
              <w:rPr>
                <w:rFonts w:ascii="Athiti" w:eastAsia="Athiti" w:hAnsi="Athiti" w:cs="Athiti"/>
                <w:lang w:val="cs-CZ"/>
              </w:rPr>
              <w:t>Proces posouzení míry rizika spojeného se zákazníkem na základě stanovených faktorů, např. typu klienta, země původu, produktů a chování.</w:t>
            </w:r>
          </w:p>
        </w:tc>
      </w:tr>
      <w:tr w:rsidR="008D75A1" w:rsidRPr="008D75A1" w:rsidTr="00A12F73">
        <w:trPr>
          <w:cantSplit/>
          <w:trHeight w:val="770"/>
          <w:tblHeader/>
        </w:trPr>
        <w:tc>
          <w:tcPr>
            <w:tcW w:w="2615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D75A1" w:rsidRPr="008D75A1" w:rsidRDefault="008D75A1" w:rsidP="00A12F73">
            <w:pPr>
              <w:pStyle w:val="normal"/>
              <w:rPr>
                <w:rFonts w:ascii="Athiti" w:eastAsia="Athiti" w:hAnsi="Athiti" w:cs="Athiti"/>
                <w:lang w:val="cs-CZ"/>
              </w:rPr>
            </w:pPr>
            <w:r>
              <w:rPr>
                <w:rFonts w:ascii="Athiti" w:eastAsia="Athiti" w:hAnsi="Athiti" w:cs="Athiti"/>
                <w:b/>
                <w:lang w:val="cs-CZ"/>
              </w:rPr>
              <w:t xml:space="preserve">PEP </w:t>
            </w:r>
            <w:r w:rsidRPr="008D75A1">
              <w:rPr>
                <w:rFonts w:ascii="Athiti" w:eastAsia="Athiti" w:hAnsi="Athiti" w:cs="Athiti"/>
                <w:b/>
                <w:lang w:val="cs-CZ"/>
              </w:rPr>
              <w:t>(Politicky exponovaná osoba)</w:t>
            </w:r>
          </w:p>
        </w:tc>
        <w:tc>
          <w:tcPr>
            <w:tcW w:w="6830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D75A1" w:rsidRPr="008D75A1" w:rsidRDefault="008D75A1" w:rsidP="00A12F73">
            <w:pPr>
              <w:pStyle w:val="normal"/>
              <w:rPr>
                <w:rFonts w:ascii="Athiti" w:eastAsia="Athiti" w:hAnsi="Athiti" w:cs="Athiti"/>
                <w:lang w:val="cs-CZ"/>
              </w:rPr>
            </w:pPr>
            <w:r w:rsidRPr="008D75A1">
              <w:rPr>
                <w:rFonts w:ascii="Athiti" w:eastAsia="Athiti" w:hAnsi="Athiti" w:cs="Athiti"/>
                <w:lang w:val="cs-CZ"/>
              </w:rPr>
              <w:t>Osoba, která zastává nebo zastávala významnou veřejnou funkci, včetně jejích rodinných příslušníků a blízkých spolupracovníků.</w:t>
            </w:r>
          </w:p>
        </w:tc>
      </w:tr>
      <w:tr w:rsidR="008D75A1" w:rsidRPr="008D75A1" w:rsidTr="00A12F73">
        <w:trPr>
          <w:cantSplit/>
          <w:trHeight w:val="770"/>
          <w:tblHeader/>
        </w:trPr>
        <w:tc>
          <w:tcPr>
            <w:tcW w:w="2615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D75A1" w:rsidRPr="008D75A1" w:rsidRDefault="008D75A1" w:rsidP="00A12F73">
            <w:pPr>
              <w:pStyle w:val="normal"/>
              <w:rPr>
                <w:rFonts w:ascii="Athiti" w:eastAsia="Athiti" w:hAnsi="Athiti" w:cs="Athiti"/>
                <w:lang w:val="cs-CZ"/>
              </w:rPr>
            </w:pPr>
            <w:r w:rsidRPr="008D75A1">
              <w:rPr>
                <w:rFonts w:ascii="Athiti" w:eastAsia="Athiti" w:hAnsi="Athiti" w:cs="Athiti"/>
                <w:b/>
                <w:lang w:val="cs-CZ"/>
              </w:rPr>
              <w:t>Tipping-off</w:t>
            </w:r>
          </w:p>
        </w:tc>
        <w:tc>
          <w:tcPr>
            <w:tcW w:w="6830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D75A1" w:rsidRPr="008D75A1" w:rsidRDefault="008D75A1" w:rsidP="00A12F73">
            <w:pPr>
              <w:pStyle w:val="normal"/>
              <w:rPr>
                <w:rFonts w:ascii="Athiti" w:eastAsia="Athiti" w:hAnsi="Athiti" w:cs="Athiti"/>
                <w:lang w:val="cs-CZ"/>
              </w:rPr>
            </w:pPr>
            <w:r w:rsidRPr="008D75A1">
              <w:rPr>
                <w:rFonts w:ascii="Athiti" w:eastAsia="Athiti" w:hAnsi="Athiti" w:cs="Athiti"/>
                <w:lang w:val="cs-CZ"/>
              </w:rPr>
              <w:t>Neoprávněné upozornění zákazníka na skutečnost, že byl nebo může být předmětem oznámení podezřelého obchodu.</w:t>
            </w:r>
          </w:p>
        </w:tc>
      </w:tr>
      <w:tr w:rsidR="008D75A1" w:rsidRPr="008D75A1" w:rsidTr="00A12F73">
        <w:trPr>
          <w:cantSplit/>
          <w:trHeight w:val="1055"/>
          <w:tblHeader/>
        </w:trPr>
        <w:tc>
          <w:tcPr>
            <w:tcW w:w="2615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D75A1" w:rsidRPr="008D75A1" w:rsidRDefault="008D75A1" w:rsidP="00A12F73">
            <w:pPr>
              <w:pStyle w:val="normal"/>
              <w:rPr>
                <w:rFonts w:ascii="Athiti" w:eastAsia="Athiti" w:hAnsi="Athiti" w:cs="Athiti"/>
                <w:lang w:val="cs-CZ"/>
              </w:rPr>
            </w:pPr>
            <w:r w:rsidRPr="008D75A1">
              <w:rPr>
                <w:rFonts w:ascii="Athiti" w:eastAsia="Athiti" w:hAnsi="Athiti" w:cs="Athiti"/>
                <w:b/>
                <w:lang w:val="cs-CZ"/>
              </w:rPr>
              <w:t>Blacklist / Watchlist</w:t>
            </w:r>
          </w:p>
        </w:tc>
        <w:tc>
          <w:tcPr>
            <w:tcW w:w="6830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D75A1" w:rsidRPr="008D75A1" w:rsidRDefault="008D75A1" w:rsidP="00A12F73">
            <w:pPr>
              <w:pStyle w:val="normal"/>
              <w:rPr>
                <w:rFonts w:ascii="Athiti" w:eastAsia="Athiti" w:hAnsi="Athiti" w:cs="Athiti"/>
                <w:lang w:val="cs-CZ"/>
              </w:rPr>
            </w:pPr>
            <w:r w:rsidRPr="008D75A1">
              <w:rPr>
                <w:rFonts w:ascii="Athiti" w:eastAsia="Athiti" w:hAnsi="Athiti" w:cs="Athiti"/>
                <w:lang w:val="cs-CZ"/>
              </w:rPr>
              <w:t>Interní seznam zákazníků, se kterými je zakázáno nebo nedoporučeno navázat nový obchodní vztah z důvodů vysokého rizika.</w:t>
            </w:r>
          </w:p>
        </w:tc>
      </w:tr>
      <w:tr w:rsidR="008D75A1" w:rsidRPr="008D75A1" w:rsidTr="00A12F73">
        <w:trPr>
          <w:cantSplit/>
          <w:trHeight w:val="1055"/>
          <w:tblHeader/>
        </w:trPr>
        <w:tc>
          <w:tcPr>
            <w:tcW w:w="2615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D75A1" w:rsidRPr="008D75A1" w:rsidRDefault="008D75A1" w:rsidP="00A12F73">
            <w:pPr>
              <w:pStyle w:val="normal"/>
              <w:rPr>
                <w:rFonts w:ascii="Athiti" w:eastAsia="Athiti" w:hAnsi="Athiti" w:cs="Athiti"/>
                <w:lang w:val="cs-CZ"/>
              </w:rPr>
            </w:pPr>
            <w:r w:rsidRPr="008D75A1">
              <w:rPr>
                <w:rFonts w:ascii="Athiti" w:eastAsia="Athiti" w:hAnsi="Athiti" w:cs="Athiti"/>
                <w:b/>
                <w:lang w:val="cs-CZ"/>
              </w:rPr>
              <w:t>Archivace dokumentace</w:t>
            </w:r>
          </w:p>
        </w:tc>
        <w:tc>
          <w:tcPr>
            <w:tcW w:w="6830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D75A1" w:rsidRPr="008D75A1" w:rsidRDefault="008D75A1" w:rsidP="00A12F73">
            <w:pPr>
              <w:pStyle w:val="normal"/>
              <w:rPr>
                <w:rFonts w:ascii="Athiti" w:eastAsia="Athiti" w:hAnsi="Athiti" w:cs="Athiti"/>
                <w:lang w:val="cs-CZ"/>
              </w:rPr>
            </w:pPr>
            <w:r w:rsidRPr="008D75A1">
              <w:rPr>
                <w:rFonts w:ascii="Athiti" w:eastAsia="Athiti" w:hAnsi="Athiti" w:cs="Athiti"/>
                <w:lang w:val="cs-CZ"/>
              </w:rPr>
              <w:t>Povinnost uchovávat relevantní dokumenty a informace o zákazníkovi a obchodním vztahu po dobu minimálně 10 let dle AML zákona.</w:t>
            </w:r>
          </w:p>
        </w:tc>
      </w:tr>
    </w:tbl>
    <w:p w:rsidR="008D75A1" w:rsidRPr="008D75A1" w:rsidRDefault="008D75A1" w:rsidP="008D75A1">
      <w:pPr>
        <w:pStyle w:val="Nadpis3"/>
        <w:keepNext w:val="0"/>
        <w:keepLines w:val="0"/>
        <w:widowControl w:val="0"/>
        <w:spacing w:before="280" w:after="80"/>
        <w:rPr>
          <w:rFonts w:ascii="Athiti" w:eastAsia="Athiti" w:hAnsi="Athiti" w:cs="Athiti"/>
          <w:b/>
          <w:sz w:val="26"/>
          <w:szCs w:val="26"/>
          <w:lang w:val="cs-CZ"/>
        </w:rPr>
      </w:pPr>
      <w:bookmarkStart w:id="6" w:name="_heading=h.or1v09r6otz" w:colFirst="0" w:colLast="0"/>
      <w:bookmarkEnd w:id="6"/>
      <w:r w:rsidRPr="008D75A1">
        <w:rPr>
          <w:rFonts w:ascii="Athiti" w:eastAsia="Athiti" w:hAnsi="Athiti" w:cs="Athiti"/>
          <w:b/>
          <w:sz w:val="26"/>
          <w:szCs w:val="26"/>
          <w:lang w:val="cs-CZ"/>
        </w:rPr>
        <w:lastRenderedPageBreak/>
        <w:t>1. Účel</w:t>
      </w:r>
    </w:p>
    <w:p w:rsidR="008D75A1" w:rsidRPr="008D75A1" w:rsidRDefault="008D75A1" w:rsidP="008D75A1">
      <w:pPr>
        <w:pStyle w:val="normal"/>
        <w:widowControl w:val="0"/>
        <w:spacing w:before="240" w:after="240"/>
        <w:rPr>
          <w:rFonts w:ascii="Athiti" w:eastAsia="Athiti" w:hAnsi="Athiti" w:cs="Athiti"/>
          <w:lang w:val="cs-CZ"/>
        </w:rPr>
      </w:pPr>
      <w:r w:rsidRPr="008D75A1">
        <w:rPr>
          <w:rFonts w:ascii="Athiti" w:eastAsia="Athiti" w:hAnsi="Athiti" w:cs="Athiti"/>
          <w:lang w:val="cs-CZ"/>
        </w:rPr>
        <w:t>Tento postup stanovuje standardizovaný přístup k ukončení obchodního vztahu se zákazníkem v souladu s platnými právními předpisy v oblasti boje proti praní špinavých peněz (AML) a financování terorismu (CTF) a s interními politikami společnosti v oblasti AML.</w:t>
      </w:r>
    </w:p>
    <w:p w:rsidR="008D75A1" w:rsidRPr="008D75A1" w:rsidRDefault="008D75A1" w:rsidP="008D75A1">
      <w:pPr>
        <w:pStyle w:val="normal"/>
        <w:widowControl w:val="0"/>
        <w:spacing w:before="240" w:after="240"/>
        <w:rPr>
          <w:rFonts w:ascii="Athiti" w:eastAsia="Athiti" w:hAnsi="Athiti" w:cs="Athiti"/>
          <w:lang w:val="cs-CZ"/>
        </w:rPr>
      </w:pPr>
      <w:r w:rsidRPr="008D75A1">
        <w:rPr>
          <w:rFonts w:ascii="Athiti" w:eastAsia="Athiti" w:hAnsi="Athiti" w:cs="Athiti"/>
          <w:lang w:val="cs-CZ"/>
        </w:rPr>
        <w:t>Cílem tohoto postupu je zajistit, aby ukončení smluvního vztahu se zákazníkem probíhalo transparentně, systematicky a kontrolovaně, a to zejména v případech, kdy:</w:t>
      </w:r>
    </w:p>
    <w:p w:rsidR="008D75A1" w:rsidRPr="008D75A1" w:rsidRDefault="008D75A1" w:rsidP="008D75A1">
      <w:pPr>
        <w:pStyle w:val="normal"/>
        <w:widowControl w:val="0"/>
        <w:numPr>
          <w:ilvl w:val="0"/>
          <w:numId w:val="5"/>
        </w:numPr>
        <w:spacing w:before="240" w:after="0"/>
        <w:jc w:val="left"/>
        <w:rPr>
          <w:rFonts w:ascii="Athiti" w:eastAsia="Athiti" w:hAnsi="Athiti" w:cs="Athiti"/>
          <w:lang w:val="cs-CZ"/>
        </w:rPr>
      </w:pPr>
      <w:r w:rsidRPr="008D75A1">
        <w:rPr>
          <w:rFonts w:ascii="Athiti" w:eastAsia="Athiti" w:hAnsi="Athiti" w:cs="Athiti"/>
          <w:lang w:val="cs-CZ"/>
        </w:rPr>
        <w:t>zákazník představuje nepřijatelnou míru rizika z pohledu AML/CTF,</w:t>
      </w:r>
    </w:p>
    <w:p w:rsidR="008D75A1" w:rsidRPr="008D75A1" w:rsidRDefault="008D75A1" w:rsidP="008D75A1">
      <w:pPr>
        <w:pStyle w:val="normal"/>
        <w:widowControl w:val="0"/>
        <w:numPr>
          <w:ilvl w:val="0"/>
          <w:numId w:val="5"/>
        </w:numPr>
        <w:spacing w:after="0"/>
        <w:jc w:val="left"/>
        <w:rPr>
          <w:rFonts w:ascii="Athiti" w:eastAsia="Athiti" w:hAnsi="Athiti" w:cs="Athiti"/>
          <w:lang w:val="cs-CZ"/>
        </w:rPr>
      </w:pPr>
      <w:r w:rsidRPr="008D75A1">
        <w:rPr>
          <w:rFonts w:ascii="Athiti" w:eastAsia="Athiti" w:hAnsi="Athiti" w:cs="Athiti"/>
          <w:lang w:val="cs-CZ"/>
        </w:rPr>
        <w:t>zákazník nespolupracuje při plnění povinností spojených s identifikací nebo kontrolou klienta (např. neplní výzvy k doložení dokumentace),</w:t>
      </w:r>
    </w:p>
    <w:p w:rsidR="008D75A1" w:rsidRPr="008D75A1" w:rsidRDefault="008D75A1" w:rsidP="008D75A1">
      <w:pPr>
        <w:pStyle w:val="normal"/>
        <w:widowControl w:val="0"/>
        <w:numPr>
          <w:ilvl w:val="0"/>
          <w:numId w:val="5"/>
        </w:numPr>
        <w:spacing w:after="0"/>
        <w:jc w:val="left"/>
        <w:rPr>
          <w:rFonts w:ascii="Athiti" w:eastAsia="Athiti" w:hAnsi="Athiti" w:cs="Athiti"/>
          <w:lang w:val="cs-CZ"/>
        </w:rPr>
      </w:pPr>
      <w:r w:rsidRPr="008D75A1">
        <w:rPr>
          <w:rFonts w:ascii="Athiti" w:eastAsia="Athiti" w:hAnsi="Athiti" w:cs="Athiti"/>
          <w:lang w:val="cs-CZ"/>
        </w:rPr>
        <w:t>byly zjištěny skutečnosti nasvědčující potenciálně podezřelé aktivitě,</w:t>
      </w:r>
    </w:p>
    <w:p w:rsidR="008D75A1" w:rsidRPr="008D75A1" w:rsidRDefault="008D75A1" w:rsidP="008D75A1">
      <w:pPr>
        <w:pStyle w:val="normal"/>
        <w:widowControl w:val="0"/>
        <w:numPr>
          <w:ilvl w:val="0"/>
          <w:numId w:val="5"/>
        </w:numPr>
        <w:spacing w:after="0"/>
        <w:jc w:val="left"/>
        <w:rPr>
          <w:rFonts w:ascii="Athiti" w:eastAsia="Athiti" w:hAnsi="Athiti" w:cs="Athiti"/>
          <w:lang w:val="cs-CZ"/>
        </w:rPr>
      </w:pPr>
      <w:r w:rsidRPr="008D75A1">
        <w:rPr>
          <w:rFonts w:ascii="Athiti" w:eastAsia="Athiti" w:hAnsi="Athiti" w:cs="Athiti"/>
          <w:lang w:val="cs-CZ"/>
        </w:rPr>
        <w:t>ukončení vztahu je nutné z jiných oprávněných důvodů (např. legislativních, regulatorních nebo reputačních),</w:t>
      </w:r>
    </w:p>
    <w:p w:rsidR="008D75A1" w:rsidRPr="008D75A1" w:rsidRDefault="008D75A1" w:rsidP="008D75A1">
      <w:pPr>
        <w:pStyle w:val="normal"/>
        <w:widowControl w:val="0"/>
        <w:numPr>
          <w:ilvl w:val="0"/>
          <w:numId w:val="5"/>
        </w:numPr>
        <w:spacing w:after="240"/>
        <w:jc w:val="left"/>
        <w:rPr>
          <w:rFonts w:ascii="Athiti" w:eastAsia="Athiti" w:hAnsi="Athiti" w:cs="Athiti"/>
          <w:lang w:val="cs-CZ"/>
        </w:rPr>
      </w:pPr>
      <w:r w:rsidRPr="008D75A1">
        <w:rPr>
          <w:rFonts w:ascii="Athiti" w:eastAsia="Athiti" w:hAnsi="Athiti" w:cs="Athiti"/>
          <w:lang w:val="cs-CZ"/>
        </w:rPr>
        <w:t>nebo o ukončení obchodního vztahu požádá sám zákazník.</w:t>
      </w:r>
    </w:p>
    <w:p w:rsidR="008D75A1" w:rsidRPr="008D75A1" w:rsidRDefault="008D75A1" w:rsidP="008D75A1">
      <w:pPr>
        <w:pStyle w:val="normal"/>
        <w:widowControl w:val="0"/>
        <w:spacing w:before="240" w:after="240"/>
        <w:rPr>
          <w:rFonts w:ascii="Athiti" w:eastAsia="Athiti" w:hAnsi="Athiti" w:cs="Athiti"/>
          <w:lang w:val="cs-CZ"/>
        </w:rPr>
      </w:pPr>
      <w:r w:rsidRPr="008D75A1">
        <w:rPr>
          <w:rFonts w:ascii="Athiti" w:eastAsia="Athiti" w:hAnsi="Athiti" w:cs="Athiti"/>
          <w:lang w:val="cs-CZ"/>
        </w:rPr>
        <w:t>Postup zajišťuje, že společnost nebude pokračovat ve vztahu se zákazníkem, který již nadále nesplňuje podmínky pro udržení obchodního vztahu z pohledu AML/CTF politiky společnosti, a zároveň umožňuje dokumentované a dohledatelné ukončení vztahu včetně případného oznámení podezřelých skutečností příslušnému orgánu (např. FAÚ).</w:t>
      </w:r>
    </w:p>
    <w:p w:rsidR="008D75A1" w:rsidRPr="008D75A1" w:rsidRDefault="008D75A1" w:rsidP="008D75A1">
      <w:pPr>
        <w:pStyle w:val="Nadpis3"/>
        <w:keepNext w:val="0"/>
        <w:keepLines w:val="0"/>
        <w:widowControl w:val="0"/>
        <w:spacing w:before="280" w:after="80"/>
        <w:rPr>
          <w:rFonts w:ascii="Athiti" w:eastAsia="Athiti" w:hAnsi="Athiti" w:cs="Athiti"/>
          <w:b/>
          <w:sz w:val="26"/>
          <w:szCs w:val="26"/>
          <w:lang w:val="cs-CZ"/>
        </w:rPr>
      </w:pPr>
      <w:bookmarkStart w:id="7" w:name="_heading=h.fpegg1c9fghf" w:colFirst="0" w:colLast="0"/>
      <w:bookmarkEnd w:id="7"/>
      <w:r w:rsidRPr="008D75A1">
        <w:rPr>
          <w:rFonts w:ascii="Athiti" w:eastAsia="Athiti" w:hAnsi="Athiti" w:cs="Athiti"/>
          <w:b/>
          <w:sz w:val="26"/>
          <w:szCs w:val="26"/>
          <w:lang w:val="cs-CZ"/>
        </w:rPr>
        <w:t>2. Rozsah</w:t>
      </w:r>
    </w:p>
    <w:p w:rsidR="008D75A1" w:rsidRPr="008D75A1" w:rsidRDefault="008D75A1" w:rsidP="008D75A1">
      <w:pPr>
        <w:pStyle w:val="normal"/>
        <w:widowControl w:val="0"/>
        <w:spacing w:before="240" w:after="240"/>
        <w:rPr>
          <w:rFonts w:ascii="Athiti" w:eastAsia="Athiti" w:hAnsi="Athiti" w:cs="Athiti"/>
          <w:lang w:val="cs-CZ"/>
        </w:rPr>
      </w:pPr>
      <w:r w:rsidRPr="008D75A1">
        <w:rPr>
          <w:rFonts w:ascii="Athiti" w:eastAsia="Athiti" w:hAnsi="Athiti" w:cs="Athiti"/>
          <w:lang w:val="cs-CZ"/>
        </w:rPr>
        <w:t>Tento postup se vztahuje na všechny zákazníky, jejichž smluvní vztah se společností je ukončován – a to bez ohledu na to, zda k ukončení dochází z iniciativy zákazníka, nebo společnosti.</w:t>
      </w:r>
    </w:p>
    <w:p w:rsidR="008D75A1" w:rsidRPr="008D75A1" w:rsidRDefault="008D75A1" w:rsidP="008D75A1">
      <w:pPr>
        <w:pStyle w:val="normal"/>
        <w:widowControl w:val="0"/>
        <w:spacing w:before="240" w:after="240"/>
        <w:rPr>
          <w:rFonts w:ascii="Athiti" w:eastAsia="Athiti" w:hAnsi="Athiti" w:cs="Athiti"/>
          <w:lang w:val="cs-CZ"/>
        </w:rPr>
      </w:pPr>
      <w:r w:rsidRPr="008D75A1">
        <w:rPr>
          <w:rFonts w:ascii="Athiti" w:eastAsia="Athiti" w:hAnsi="Athiti" w:cs="Athiti"/>
          <w:lang w:val="cs-CZ"/>
        </w:rPr>
        <w:t>Postup je aplikovatelný napříč všemi obchodními liniemi, službami a produkty, které společnost nabízí, včetně (nikoli však výlučně):</w:t>
      </w:r>
    </w:p>
    <w:p w:rsidR="008D75A1" w:rsidRPr="008D75A1" w:rsidRDefault="008D75A1" w:rsidP="008D75A1">
      <w:pPr>
        <w:pStyle w:val="normal"/>
        <w:widowControl w:val="0"/>
        <w:numPr>
          <w:ilvl w:val="0"/>
          <w:numId w:val="11"/>
        </w:numPr>
        <w:spacing w:before="240" w:after="0"/>
        <w:jc w:val="left"/>
        <w:rPr>
          <w:rFonts w:ascii="Athiti" w:eastAsia="Athiti" w:hAnsi="Athiti" w:cs="Athiti"/>
          <w:lang w:val="cs-CZ"/>
        </w:rPr>
      </w:pPr>
      <w:r w:rsidRPr="008D75A1">
        <w:rPr>
          <w:rFonts w:ascii="Athiti" w:eastAsia="Athiti" w:hAnsi="Athiti" w:cs="Athiti"/>
          <w:lang w:val="cs-CZ"/>
        </w:rPr>
        <w:t>klientů využívajících služby směny nebo úschovy virtuálních aktiv,</w:t>
      </w:r>
    </w:p>
    <w:p w:rsidR="008D75A1" w:rsidRPr="008D75A1" w:rsidRDefault="008D75A1" w:rsidP="008D75A1">
      <w:pPr>
        <w:pStyle w:val="normal"/>
        <w:widowControl w:val="0"/>
        <w:numPr>
          <w:ilvl w:val="0"/>
          <w:numId w:val="11"/>
        </w:numPr>
        <w:spacing w:after="0"/>
        <w:jc w:val="left"/>
        <w:rPr>
          <w:rFonts w:ascii="Athiti" w:eastAsia="Athiti" w:hAnsi="Athiti" w:cs="Athiti"/>
          <w:lang w:val="cs-CZ"/>
        </w:rPr>
      </w:pPr>
      <w:r w:rsidRPr="008D75A1">
        <w:rPr>
          <w:rFonts w:ascii="Athiti" w:eastAsia="Athiti" w:hAnsi="Athiti" w:cs="Athiti"/>
          <w:lang w:val="cs-CZ"/>
        </w:rPr>
        <w:t>klientů využívajících platební nebo investiční služby,</w:t>
      </w:r>
    </w:p>
    <w:p w:rsidR="008D75A1" w:rsidRPr="008D75A1" w:rsidRDefault="008D75A1" w:rsidP="008D75A1">
      <w:pPr>
        <w:pStyle w:val="normal"/>
        <w:widowControl w:val="0"/>
        <w:numPr>
          <w:ilvl w:val="0"/>
          <w:numId w:val="11"/>
        </w:numPr>
        <w:spacing w:after="240"/>
        <w:jc w:val="left"/>
        <w:rPr>
          <w:rFonts w:ascii="Athiti" w:eastAsia="Athiti" w:hAnsi="Athiti" w:cs="Athiti"/>
          <w:lang w:val="cs-CZ"/>
        </w:rPr>
      </w:pPr>
      <w:r w:rsidRPr="008D75A1">
        <w:rPr>
          <w:rFonts w:ascii="Athiti" w:eastAsia="Athiti" w:hAnsi="Athiti" w:cs="Athiti"/>
          <w:lang w:val="cs-CZ"/>
        </w:rPr>
        <w:t>klientů právnických i fyzických osob, včetně zprostředkovatelů a třetích osob jednajících jménem jiných subjektů.</w:t>
      </w:r>
    </w:p>
    <w:p w:rsidR="008D75A1" w:rsidRPr="008D75A1" w:rsidRDefault="008D75A1" w:rsidP="008D75A1">
      <w:pPr>
        <w:pStyle w:val="normal"/>
        <w:widowControl w:val="0"/>
        <w:spacing w:before="240" w:after="240"/>
        <w:rPr>
          <w:rFonts w:ascii="Athiti" w:eastAsia="Athiti" w:hAnsi="Athiti" w:cs="Athiti"/>
          <w:lang w:val="cs-CZ"/>
        </w:rPr>
      </w:pPr>
      <w:r w:rsidRPr="008D75A1">
        <w:rPr>
          <w:rFonts w:ascii="Athiti" w:eastAsia="Athiti" w:hAnsi="Athiti" w:cs="Athiti"/>
          <w:lang w:val="cs-CZ"/>
        </w:rPr>
        <w:t>Zahrnuje jak běžné ukončení obchodního vztahu na základě výpovědi nebo uplynutí doby, tak ukončení z důvodu nedodržení požadavků vyplývajících z AML/CTF předpisů nebo interního systému řízení rizik.</w:t>
      </w:r>
    </w:p>
    <w:p w:rsidR="008D75A1" w:rsidRPr="008D75A1" w:rsidRDefault="008D75A1" w:rsidP="008D75A1">
      <w:pPr>
        <w:pStyle w:val="normal"/>
        <w:widowControl w:val="0"/>
        <w:spacing w:before="240" w:after="240"/>
        <w:rPr>
          <w:rFonts w:ascii="Athiti" w:eastAsia="Athiti" w:hAnsi="Athiti" w:cs="Athiti"/>
          <w:lang w:val="cs-CZ"/>
        </w:rPr>
      </w:pPr>
      <w:r w:rsidRPr="008D75A1">
        <w:rPr>
          <w:rFonts w:ascii="Athiti" w:eastAsia="Athiti" w:hAnsi="Athiti" w:cs="Athiti"/>
          <w:lang w:val="cs-CZ"/>
        </w:rPr>
        <w:t>Postup se rovněž vztahuje na případy, kdy k ukončení dojde z důvodu:</w:t>
      </w:r>
    </w:p>
    <w:p w:rsidR="008D75A1" w:rsidRPr="008D75A1" w:rsidRDefault="008D75A1" w:rsidP="008D75A1">
      <w:pPr>
        <w:pStyle w:val="normal"/>
        <w:widowControl w:val="0"/>
        <w:numPr>
          <w:ilvl w:val="0"/>
          <w:numId w:val="3"/>
        </w:numPr>
        <w:spacing w:before="240" w:after="0"/>
        <w:jc w:val="left"/>
        <w:rPr>
          <w:rFonts w:ascii="Athiti" w:eastAsia="Athiti" w:hAnsi="Athiti" w:cs="Athiti"/>
          <w:lang w:val="cs-CZ"/>
        </w:rPr>
      </w:pPr>
      <w:r w:rsidRPr="008D75A1">
        <w:rPr>
          <w:rFonts w:ascii="Athiti" w:eastAsia="Athiti" w:hAnsi="Athiti" w:cs="Athiti"/>
          <w:lang w:val="cs-CZ"/>
        </w:rPr>
        <w:t>neplnění smluvních nebo regulatorních povinností zákazníka,</w:t>
      </w:r>
    </w:p>
    <w:p w:rsidR="008D75A1" w:rsidRPr="008D75A1" w:rsidRDefault="008D75A1" w:rsidP="008D75A1">
      <w:pPr>
        <w:pStyle w:val="normal"/>
        <w:widowControl w:val="0"/>
        <w:numPr>
          <w:ilvl w:val="0"/>
          <w:numId w:val="3"/>
        </w:numPr>
        <w:spacing w:after="0"/>
        <w:jc w:val="left"/>
        <w:rPr>
          <w:rFonts w:ascii="Athiti" w:eastAsia="Athiti" w:hAnsi="Athiti" w:cs="Athiti"/>
          <w:lang w:val="cs-CZ"/>
        </w:rPr>
      </w:pPr>
      <w:r w:rsidRPr="008D75A1">
        <w:rPr>
          <w:rFonts w:ascii="Athiti" w:eastAsia="Athiti" w:hAnsi="Athiti" w:cs="Athiti"/>
          <w:lang w:val="cs-CZ"/>
        </w:rPr>
        <w:t>zjištění nových skutečností zvyšujících rizikový profil zákazníka,</w:t>
      </w:r>
    </w:p>
    <w:p w:rsidR="008D75A1" w:rsidRPr="008D75A1" w:rsidRDefault="008D75A1" w:rsidP="008D75A1">
      <w:pPr>
        <w:pStyle w:val="normal"/>
        <w:widowControl w:val="0"/>
        <w:numPr>
          <w:ilvl w:val="0"/>
          <w:numId w:val="3"/>
        </w:numPr>
        <w:spacing w:after="0"/>
        <w:jc w:val="left"/>
        <w:rPr>
          <w:rFonts w:ascii="Athiti" w:eastAsia="Athiti" w:hAnsi="Athiti" w:cs="Athiti"/>
          <w:lang w:val="cs-CZ"/>
        </w:rPr>
      </w:pPr>
      <w:r w:rsidRPr="008D75A1">
        <w:rPr>
          <w:rFonts w:ascii="Athiti" w:eastAsia="Athiti" w:hAnsi="Athiti" w:cs="Athiti"/>
          <w:lang w:val="cs-CZ"/>
        </w:rPr>
        <w:t>zjištění nesrovnalostí v identifikačních údajích nebo poskytnuté dokumentaci,</w:t>
      </w:r>
    </w:p>
    <w:p w:rsidR="008D75A1" w:rsidRPr="008D75A1" w:rsidRDefault="008D75A1" w:rsidP="008D75A1">
      <w:pPr>
        <w:pStyle w:val="normal"/>
        <w:widowControl w:val="0"/>
        <w:numPr>
          <w:ilvl w:val="0"/>
          <w:numId w:val="3"/>
        </w:numPr>
        <w:spacing w:after="240"/>
        <w:jc w:val="left"/>
        <w:rPr>
          <w:rFonts w:ascii="Athiti" w:eastAsia="Athiti" w:hAnsi="Athiti" w:cs="Athiti"/>
          <w:lang w:val="cs-CZ"/>
        </w:rPr>
      </w:pPr>
      <w:r w:rsidRPr="008D75A1">
        <w:rPr>
          <w:rFonts w:ascii="Athiti" w:eastAsia="Athiti" w:hAnsi="Athiti" w:cs="Athiti"/>
          <w:lang w:val="cs-CZ"/>
        </w:rPr>
        <w:t>nebo jiných důvodů souvisejících s reputačním, právním nebo operačním rizikem.</w:t>
      </w:r>
    </w:p>
    <w:p w:rsidR="008D75A1" w:rsidRPr="008D75A1" w:rsidRDefault="008D75A1" w:rsidP="008D75A1">
      <w:pPr>
        <w:pStyle w:val="Nadpis3"/>
        <w:keepNext w:val="0"/>
        <w:keepLines w:val="0"/>
        <w:widowControl w:val="0"/>
        <w:spacing w:before="280" w:after="80"/>
        <w:rPr>
          <w:rFonts w:ascii="Athiti" w:eastAsia="Athiti" w:hAnsi="Athiti" w:cs="Athiti"/>
          <w:b/>
          <w:sz w:val="26"/>
          <w:szCs w:val="26"/>
          <w:lang w:val="cs-CZ"/>
        </w:rPr>
      </w:pPr>
      <w:bookmarkStart w:id="8" w:name="_heading=h.chz2ip7jxi7c" w:colFirst="0" w:colLast="0"/>
      <w:bookmarkEnd w:id="8"/>
      <w:r w:rsidRPr="008D75A1">
        <w:rPr>
          <w:rFonts w:ascii="Athiti" w:eastAsia="Athiti" w:hAnsi="Athiti" w:cs="Athiti"/>
          <w:b/>
          <w:sz w:val="26"/>
          <w:szCs w:val="26"/>
          <w:lang w:val="cs-CZ"/>
        </w:rPr>
        <w:t>3. Spouštěče ukončení obchodního vztahu</w:t>
      </w:r>
    </w:p>
    <w:p w:rsidR="008D75A1" w:rsidRPr="008D75A1" w:rsidRDefault="008D75A1" w:rsidP="008D75A1">
      <w:pPr>
        <w:pStyle w:val="normal"/>
        <w:widowControl w:val="0"/>
        <w:spacing w:before="240" w:after="240"/>
        <w:jc w:val="left"/>
        <w:rPr>
          <w:rFonts w:ascii="Athiti" w:eastAsia="Athiti" w:hAnsi="Athiti" w:cs="Athiti"/>
          <w:lang w:val="cs-CZ"/>
        </w:rPr>
      </w:pPr>
      <w:r w:rsidRPr="008D75A1">
        <w:rPr>
          <w:rFonts w:ascii="Athiti" w:eastAsia="Athiti" w:hAnsi="Athiti" w:cs="Athiti"/>
          <w:lang w:val="cs-CZ"/>
        </w:rPr>
        <w:lastRenderedPageBreak/>
        <w:t>Ukončení obchodního vztahu (offboarding) může být iniciováno v různých situacích, kdy další spolupráce se zákazníkem není možná, vhodná nebo představuje pro společnost nepřijatelné riziko. Mezi hlavní důvody patří zejména:</w:t>
      </w:r>
    </w:p>
    <w:p w:rsidR="008D75A1" w:rsidRPr="008D75A1" w:rsidRDefault="008D75A1" w:rsidP="008D75A1">
      <w:pPr>
        <w:pStyle w:val="Nadpis4"/>
        <w:keepNext w:val="0"/>
        <w:keepLines w:val="0"/>
        <w:widowControl w:val="0"/>
        <w:ind w:left="720" w:hanging="360"/>
        <w:jc w:val="left"/>
        <w:rPr>
          <w:rFonts w:ascii="Athiti" w:eastAsia="Athiti" w:hAnsi="Athiti" w:cs="Athiti"/>
          <w:sz w:val="22"/>
          <w:szCs w:val="22"/>
          <w:lang w:val="cs-CZ"/>
        </w:rPr>
      </w:pPr>
      <w:bookmarkStart w:id="9" w:name="_heading=h.5k2i0skox568" w:colFirst="0" w:colLast="0"/>
      <w:bookmarkEnd w:id="9"/>
      <w:r w:rsidRPr="008D75A1">
        <w:rPr>
          <w:rFonts w:ascii="Athiti" w:eastAsia="Athiti" w:hAnsi="Athiti" w:cs="Athiti"/>
          <w:sz w:val="22"/>
          <w:szCs w:val="22"/>
          <w:lang w:val="cs-CZ"/>
        </w:rPr>
        <w:t>3.1. Nedodržení požadavků AML/CTF</w:t>
      </w:r>
    </w:p>
    <w:p w:rsidR="008D75A1" w:rsidRPr="008D75A1" w:rsidRDefault="008D75A1" w:rsidP="008D75A1">
      <w:pPr>
        <w:pStyle w:val="normal"/>
        <w:widowControl w:val="0"/>
        <w:numPr>
          <w:ilvl w:val="0"/>
          <w:numId w:val="2"/>
        </w:numPr>
        <w:spacing w:before="240" w:after="0"/>
        <w:jc w:val="left"/>
        <w:rPr>
          <w:rFonts w:ascii="Athiti" w:eastAsia="Athiti" w:hAnsi="Athiti" w:cs="Athiti"/>
          <w:lang w:val="cs-CZ"/>
        </w:rPr>
      </w:pPr>
      <w:r w:rsidRPr="008D75A1">
        <w:rPr>
          <w:rFonts w:ascii="Athiti" w:eastAsia="Athiti" w:hAnsi="Athiti" w:cs="Athiti"/>
          <w:lang w:val="cs-CZ"/>
        </w:rPr>
        <w:t>Zákazník opakovaně nebo systematicky nespolupracuje při plnění povinností spojených s průběžným dohledem (např. neposkytne požadované dokumenty nebo informace při opětovné identifikaci či prověřování).</w:t>
      </w:r>
    </w:p>
    <w:p w:rsidR="008D75A1" w:rsidRPr="008D75A1" w:rsidRDefault="008D75A1" w:rsidP="008D75A1">
      <w:pPr>
        <w:pStyle w:val="normal"/>
        <w:widowControl w:val="0"/>
        <w:numPr>
          <w:ilvl w:val="0"/>
          <w:numId w:val="2"/>
        </w:numPr>
        <w:spacing w:after="0"/>
        <w:jc w:val="left"/>
        <w:rPr>
          <w:rFonts w:ascii="Athiti" w:eastAsia="Athiti" w:hAnsi="Athiti" w:cs="Athiti"/>
          <w:lang w:val="cs-CZ"/>
        </w:rPr>
      </w:pPr>
      <w:r w:rsidRPr="008D75A1">
        <w:rPr>
          <w:rFonts w:ascii="Athiti" w:eastAsia="Athiti" w:hAnsi="Athiti" w:cs="Athiti"/>
          <w:lang w:val="cs-CZ"/>
        </w:rPr>
        <w:t>Zákazník zatajuje skutečné vlastníky, strukturu nebo účel obchodního vztahu.</w:t>
      </w:r>
    </w:p>
    <w:p w:rsidR="008D75A1" w:rsidRPr="008D75A1" w:rsidRDefault="008D75A1" w:rsidP="008D75A1">
      <w:pPr>
        <w:pStyle w:val="normal"/>
        <w:widowControl w:val="0"/>
        <w:numPr>
          <w:ilvl w:val="0"/>
          <w:numId w:val="2"/>
        </w:numPr>
        <w:spacing w:after="240"/>
        <w:jc w:val="left"/>
        <w:rPr>
          <w:rFonts w:ascii="Athiti" w:eastAsia="Athiti" w:hAnsi="Athiti" w:cs="Athiti"/>
          <w:lang w:val="cs-CZ"/>
        </w:rPr>
      </w:pPr>
      <w:r w:rsidRPr="008D75A1">
        <w:rPr>
          <w:rFonts w:ascii="Athiti" w:eastAsia="Athiti" w:hAnsi="Athiti" w:cs="Athiti"/>
          <w:lang w:val="cs-CZ"/>
        </w:rPr>
        <w:t>Existují důvodné podezření na zapojení zákazníka do praní špinavých peněz, financování terorismu nebo jiné trestné činnosti.</w:t>
      </w:r>
    </w:p>
    <w:p w:rsidR="008D75A1" w:rsidRPr="008D75A1" w:rsidRDefault="008D75A1" w:rsidP="008D75A1">
      <w:pPr>
        <w:pStyle w:val="Nadpis4"/>
        <w:keepNext w:val="0"/>
        <w:keepLines w:val="0"/>
        <w:widowControl w:val="0"/>
        <w:ind w:left="720" w:hanging="360"/>
        <w:jc w:val="left"/>
        <w:rPr>
          <w:rFonts w:ascii="Athiti" w:eastAsia="Athiti" w:hAnsi="Athiti" w:cs="Athiti"/>
          <w:sz w:val="22"/>
          <w:szCs w:val="22"/>
          <w:lang w:val="cs-CZ"/>
        </w:rPr>
      </w:pPr>
      <w:bookmarkStart w:id="10" w:name="_heading=h.cvcepsoq4wfb" w:colFirst="0" w:colLast="0"/>
      <w:bookmarkEnd w:id="10"/>
      <w:r w:rsidRPr="008D75A1">
        <w:rPr>
          <w:rFonts w:ascii="Athiti" w:eastAsia="Athiti" w:hAnsi="Athiti" w:cs="Athiti"/>
          <w:sz w:val="22"/>
          <w:szCs w:val="22"/>
          <w:lang w:val="cs-CZ"/>
        </w:rPr>
        <w:t>3.2. Rizikový profil zákazníka</w:t>
      </w:r>
    </w:p>
    <w:p w:rsidR="008D75A1" w:rsidRPr="008D75A1" w:rsidRDefault="008D75A1" w:rsidP="008D75A1">
      <w:pPr>
        <w:pStyle w:val="normal"/>
        <w:widowControl w:val="0"/>
        <w:numPr>
          <w:ilvl w:val="0"/>
          <w:numId w:val="7"/>
        </w:numPr>
        <w:spacing w:before="240" w:after="0"/>
        <w:jc w:val="left"/>
        <w:rPr>
          <w:rFonts w:ascii="Athiti" w:eastAsia="Athiti" w:hAnsi="Athiti" w:cs="Athiti"/>
          <w:lang w:val="cs-CZ"/>
        </w:rPr>
      </w:pPr>
      <w:r w:rsidRPr="008D75A1">
        <w:rPr>
          <w:rFonts w:ascii="Athiti" w:eastAsia="Athiti" w:hAnsi="Athiti" w:cs="Athiti"/>
          <w:lang w:val="cs-CZ"/>
        </w:rPr>
        <w:t>Zákazník je zařazen na sankční seznam nebo se o něm objevila negativní medializace, která může mít dopad na reputaci společnosti.</w:t>
      </w:r>
    </w:p>
    <w:p w:rsidR="008D75A1" w:rsidRPr="008D75A1" w:rsidRDefault="008D75A1" w:rsidP="008D75A1">
      <w:pPr>
        <w:pStyle w:val="normal"/>
        <w:widowControl w:val="0"/>
        <w:numPr>
          <w:ilvl w:val="0"/>
          <w:numId w:val="7"/>
        </w:numPr>
        <w:spacing w:after="0"/>
        <w:jc w:val="left"/>
        <w:rPr>
          <w:rFonts w:ascii="Athiti" w:eastAsia="Athiti" w:hAnsi="Athiti" w:cs="Athiti"/>
          <w:lang w:val="cs-CZ"/>
        </w:rPr>
      </w:pPr>
      <w:r w:rsidRPr="008D75A1">
        <w:rPr>
          <w:rFonts w:ascii="Athiti" w:eastAsia="Athiti" w:hAnsi="Athiti" w:cs="Athiti"/>
          <w:lang w:val="cs-CZ"/>
        </w:rPr>
        <w:t>Zákazník se stane politicky exponovanou osobou (PEP), u které nelze zaručit dostatečná opatření ke zmírnění rizik.</w:t>
      </w:r>
    </w:p>
    <w:p w:rsidR="008D75A1" w:rsidRPr="008D75A1" w:rsidRDefault="008D75A1" w:rsidP="008D75A1">
      <w:pPr>
        <w:pStyle w:val="normal"/>
        <w:widowControl w:val="0"/>
        <w:numPr>
          <w:ilvl w:val="0"/>
          <w:numId w:val="7"/>
        </w:numPr>
        <w:spacing w:after="240"/>
        <w:jc w:val="left"/>
        <w:rPr>
          <w:rFonts w:ascii="Athiti" w:eastAsia="Athiti" w:hAnsi="Athiti" w:cs="Athiti"/>
          <w:lang w:val="cs-CZ"/>
        </w:rPr>
      </w:pPr>
      <w:r w:rsidRPr="008D75A1">
        <w:rPr>
          <w:rFonts w:ascii="Athiti" w:eastAsia="Athiti" w:hAnsi="Athiti" w:cs="Athiti"/>
          <w:lang w:val="cs-CZ"/>
        </w:rPr>
        <w:t>V rámci pravidelného nebo mimořádného hodnocení rizik byl zákazník přehodnocen do nepřijatelné rizikové kategorie.</w:t>
      </w:r>
    </w:p>
    <w:p w:rsidR="008D75A1" w:rsidRPr="008D75A1" w:rsidRDefault="008D75A1" w:rsidP="008D75A1">
      <w:pPr>
        <w:pStyle w:val="Nadpis4"/>
        <w:keepNext w:val="0"/>
        <w:keepLines w:val="0"/>
        <w:widowControl w:val="0"/>
        <w:ind w:left="720" w:hanging="360"/>
        <w:jc w:val="left"/>
        <w:rPr>
          <w:rFonts w:ascii="Athiti" w:eastAsia="Athiti" w:hAnsi="Athiti" w:cs="Athiti"/>
          <w:sz w:val="22"/>
          <w:szCs w:val="22"/>
          <w:lang w:val="cs-CZ"/>
        </w:rPr>
      </w:pPr>
      <w:bookmarkStart w:id="11" w:name="_heading=h.8fnzcze0t5ml" w:colFirst="0" w:colLast="0"/>
      <w:bookmarkEnd w:id="11"/>
      <w:r w:rsidRPr="008D75A1">
        <w:rPr>
          <w:rFonts w:ascii="Athiti" w:eastAsia="Athiti" w:hAnsi="Athiti" w:cs="Athiti"/>
          <w:sz w:val="22"/>
          <w:szCs w:val="22"/>
          <w:lang w:val="cs-CZ"/>
        </w:rPr>
        <w:t>3.3. Interní rozhodnutí společnosti</w:t>
      </w:r>
    </w:p>
    <w:p w:rsidR="008D75A1" w:rsidRPr="008D75A1" w:rsidRDefault="008D75A1" w:rsidP="008D75A1">
      <w:pPr>
        <w:pStyle w:val="normal"/>
        <w:widowControl w:val="0"/>
        <w:numPr>
          <w:ilvl w:val="0"/>
          <w:numId w:val="13"/>
        </w:numPr>
        <w:spacing w:before="240" w:after="0"/>
        <w:jc w:val="left"/>
        <w:rPr>
          <w:rFonts w:ascii="Athiti" w:eastAsia="Athiti" w:hAnsi="Athiti" w:cs="Athiti"/>
          <w:lang w:val="cs-CZ"/>
        </w:rPr>
      </w:pPr>
      <w:r w:rsidRPr="008D75A1">
        <w:rPr>
          <w:rFonts w:ascii="Athiti" w:eastAsia="Athiti" w:hAnsi="Athiti" w:cs="Athiti"/>
          <w:lang w:val="cs-CZ"/>
        </w:rPr>
        <w:t>Společnost mění svou obchodní strategii a přestává poskytovat určité produkty nebo služby.</w:t>
      </w:r>
    </w:p>
    <w:p w:rsidR="008D75A1" w:rsidRPr="008D75A1" w:rsidRDefault="008D75A1" w:rsidP="008D75A1">
      <w:pPr>
        <w:pStyle w:val="normal"/>
        <w:widowControl w:val="0"/>
        <w:numPr>
          <w:ilvl w:val="0"/>
          <w:numId w:val="13"/>
        </w:numPr>
        <w:spacing w:after="0"/>
        <w:jc w:val="left"/>
        <w:rPr>
          <w:rFonts w:ascii="Athiti" w:eastAsia="Athiti" w:hAnsi="Athiti" w:cs="Athiti"/>
          <w:lang w:val="cs-CZ"/>
        </w:rPr>
      </w:pPr>
      <w:r w:rsidRPr="008D75A1">
        <w:rPr>
          <w:rFonts w:ascii="Athiti" w:eastAsia="Athiti" w:hAnsi="Athiti" w:cs="Athiti"/>
          <w:lang w:val="cs-CZ"/>
        </w:rPr>
        <w:t>Došlo k identifikaci porušení smluvních podmínek nebo jiných zásad (např. zneužití systému, pokus o podvod).</w:t>
      </w:r>
    </w:p>
    <w:p w:rsidR="008D75A1" w:rsidRPr="008D75A1" w:rsidRDefault="008D75A1" w:rsidP="008D75A1">
      <w:pPr>
        <w:pStyle w:val="normal"/>
        <w:widowControl w:val="0"/>
        <w:numPr>
          <w:ilvl w:val="0"/>
          <w:numId w:val="13"/>
        </w:numPr>
        <w:spacing w:after="240"/>
        <w:jc w:val="left"/>
        <w:rPr>
          <w:rFonts w:ascii="Athiti" w:eastAsia="Athiti" w:hAnsi="Athiti" w:cs="Athiti"/>
          <w:lang w:val="cs-CZ"/>
        </w:rPr>
      </w:pPr>
      <w:r w:rsidRPr="008D75A1">
        <w:rPr>
          <w:rFonts w:ascii="Athiti" w:eastAsia="Athiti" w:hAnsi="Athiti" w:cs="Athiti"/>
          <w:lang w:val="cs-CZ"/>
        </w:rPr>
        <w:t>Zákazník je neaktivní po stanovenou dobu a nedodá potřebné vysvětlení nebo dokumentaci.</w:t>
      </w:r>
    </w:p>
    <w:p w:rsidR="008D75A1" w:rsidRPr="008D75A1" w:rsidRDefault="008D75A1" w:rsidP="008D75A1">
      <w:pPr>
        <w:pStyle w:val="Nadpis4"/>
        <w:keepNext w:val="0"/>
        <w:keepLines w:val="0"/>
        <w:widowControl w:val="0"/>
        <w:ind w:left="720" w:hanging="360"/>
        <w:jc w:val="left"/>
        <w:rPr>
          <w:rFonts w:ascii="Athiti" w:eastAsia="Athiti" w:hAnsi="Athiti" w:cs="Athiti"/>
          <w:sz w:val="22"/>
          <w:szCs w:val="22"/>
          <w:lang w:val="cs-CZ"/>
        </w:rPr>
      </w:pPr>
      <w:bookmarkStart w:id="12" w:name="_heading=h.w0b17xjhswi3" w:colFirst="0" w:colLast="0"/>
      <w:bookmarkEnd w:id="12"/>
      <w:r w:rsidRPr="008D75A1">
        <w:rPr>
          <w:rFonts w:ascii="Athiti" w:eastAsia="Athiti" w:hAnsi="Athiti" w:cs="Athiti"/>
          <w:sz w:val="22"/>
          <w:szCs w:val="22"/>
          <w:lang w:val="cs-CZ"/>
        </w:rPr>
        <w:t>3.4. Rozhodnutí zákazníka</w:t>
      </w:r>
    </w:p>
    <w:p w:rsidR="008D75A1" w:rsidRPr="008D75A1" w:rsidRDefault="008D75A1" w:rsidP="008D75A1">
      <w:pPr>
        <w:pStyle w:val="normal"/>
        <w:widowControl w:val="0"/>
        <w:numPr>
          <w:ilvl w:val="0"/>
          <w:numId w:val="1"/>
        </w:numPr>
        <w:spacing w:before="240" w:after="240"/>
        <w:jc w:val="left"/>
        <w:rPr>
          <w:rFonts w:ascii="Athiti" w:eastAsia="Athiti" w:hAnsi="Athiti" w:cs="Athiti"/>
          <w:lang w:val="cs-CZ"/>
        </w:rPr>
      </w:pPr>
      <w:r w:rsidRPr="008D75A1">
        <w:rPr>
          <w:rFonts w:ascii="Athiti" w:eastAsia="Athiti" w:hAnsi="Athiti" w:cs="Athiti"/>
          <w:lang w:val="cs-CZ"/>
        </w:rPr>
        <w:t>Zákazník sám požádá o ukončení obchodního vztahu (např. formou výpovědi smlouvy nebo žádosti o uzavření účtu).</w:t>
      </w:r>
    </w:p>
    <w:p w:rsidR="008D75A1" w:rsidRPr="008D75A1" w:rsidRDefault="008D75A1" w:rsidP="008D75A1">
      <w:pPr>
        <w:pStyle w:val="Nadpis4"/>
        <w:keepNext w:val="0"/>
        <w:keepLines w:val="0"/>
        <w:widowControl w:val="0"/>
        <w:ind w:left="720" w:hanging="360"/>
        <w:jc w:val="left"/>
        <w:rPr>
          <w:rFonts w:ascii="Athiti" w:eastAsia="Athiti" w:hAnsi="Athiti" w:cs="Athiti"/>
          <w:sz w:val="22"/>
          <w:szCs w:val="22"/>
          <w:lang w:val="cs-CZ"/>
        </w:rPr>
      </w:pPr>
      <w:bookmarkStart w:id="13" w:name="_heading=h.4vq5hj4q3e73" w:colFirst="0" w:colLast="0"/>
      <w:bookmarkEnd w:id="13"/>
      <w:r w:rsidRPr="008D75A1">
        <w:rPr>
          <w:rFonts w:ascii="Athiti" w:eastAsia="Athiti" w:hAnsi="Athiti" w:cs="Athiti"/>
          <w:sz w:val="22"/>
          <w:szCs w:val="22"/>
          <w:lang w:val="cs-CZ"/>
        </w:rPr>
        <w:t>3.5. Regulatorní nebo právní důvody</w:t>
      </w:r>
    </w:p>
    <w:p w:rsidR="008D75A1" w:rsidRPr="008D75A1" w:rsidRDefault="008D75A1" w:rsidP="008D75A1">
      <w:pPr>
        <w:pStyle w:val="normal"/>
        <w:widowControl w:val="0"/>
        <w:numPr>
          <w:ilvl w:val="0"/>
          <w:numId w:val="12"/>
        </w:numPr>
        <w:spacing w:before="240" w:after="0"/>
        <w:jc w:val="left"/>
        <w:rPr>
          <w:rFonts w:ascii="Athiti" w:eastAsia="Athiti" w:hAnsi="Athiti" w:cs="Athiti"/>
          <w:lang w:val="cs-CZ"/>
        </w:rPr>
      </w:pPr>
      <w:r w:rsidRPr="008D75A1">
        <w:rPr>
          <w:rFonts w:ascii="Athiti" w:eastAsia="Athiti" w:hAnsi="Athiti" w:cs="Athiti"/>
          <w:lang w:val="cs-CZ"/>
        </w:rPr>
        <w:t>Na základě nařízení dozorového orgánu (např. FAÚ, ČNB).</w:t>
      </w:r>
    </w:p>
    <w:p w:rsidR="008D75A1" w:rsidRPr="008D75A1" w:rsidRDefault="008D75A1" w:rsidP="008D75A1">
      <w:pPr>
        <w:pStyle w:val="normal"/>
        <w:widowControl w:val="0"/>
        <w:numPr>
          <w:ilvl w:val="0"/>
          <w:numId w:val="12"/>
        </w:numPr>
        <w:spacing w:after="240"/>
        <w:jc w:val="left"/>
        <w:rPr>
          <w:rFonts w:ascii="Athiti" w:eastAsia="Athiti" w:hAnsi="Athiti" w:cs="Athiti"/>
          <w:lang w:val="cs-CZ"/>
        </w:rPr>
      </w:pPr>
      <w:r w:rsidRPr="008D75A1">
        <w:rPr>
          <w:rFonts w:ascii="Athiti" w:eastAsia="Athiti" w:hAnsi="Athiti" w:cs="Athiti"/>
          <w:lang w:val="cs-CZ"/>
        </w:rPr>
        <w:t>V rámci povinnosti oznámit podezřelý obchod nebo zachovat mlčenlivost dle zákona č. 253/2008 Sb.</w:t>
      </w:r>
    </w:p>
    <w:p w:rsidR="008D75A1" w:rsidRPr="008D75A1" w:rsidRDefault="008D75A1" w:rsidP="008D75A1">
      <w:pPr>
        <w:pStyle w:val="Nadpis3"/>
        <w:keepNext w:val="0"/>
        <w:keepLines w:val="0"/>
        <w:widowControl w:val="0"/>
        <w:spacing w:before="280" w:after="80"/>
        <w:rPr>
          <w:rFonts w:ascii="Athiti" w:eastAsia="Athiti" w:hAnsi="Athiti" w:cs="Athiti"/>
          <w:b/>
          <w:sz w:val="26"/>
          <w:szCs w:val="26"/>
          <w:lang w:val="cs-CZ"/>
        </w:rPr>
      </w:pPr>
      <w:bookmarkStart w:id="14" w:name="_heading=h.nd005begnjeq" w:colFirst="0" w:colLast="0"/>
      <w:bookmarkEnd w:id="14"/>
      <w:r w:rsidRPr="008D75A1">
        <w:rPr>
          <w:rFonts w:ascii="Athiti" w:eastAsia="Athiti" w:hAnsi="Athiti" w:cs="Athiti"/>
          <w:b/>
          <w:sz w:val="26"/>
          <w:szCs w:val="26"/>
          <w:lang w:val="cs-CZ"/>
        </w:rPr>
        <w:t>4. Odpovědnosti</w:t>
      </w:r>
    </w:p>
    <w:p w:rsidR="008D75A1" w:rsidRPr="008D75A1" w:rsidRDefault="008D75A1" w:rsidP="008D75A1">
      <w:pPr>
        <w:pStyle w:val="normal"/>
        <w:spacing w:before="240" w:after="240"/>
        <w:rPr>
          <w:rFonts w:ascii="Athiti" w:eastAsia="Athiti" w:hAnsi="Athiti" w:cs="Athiti"/>
          <w:lang w:val="cs-CZ"/>
        </w:rPr>
      </w:pPr>
      <w:r w:rsidRPr="008D75A1">
        <w:rPr>
          <w:rFonts w:ascii="Athiti" w:eastAsia="Athiti" w:hAnsi="Athiti" w:cs="Athiti"/>
          <w:lang w:val="cs-CZ"/>
        </w:rPr>
        <w:t>Ukončení obchodního vztahu musí probíhat koordinovaně mezi jednotlivými útvary společnosti. Následující tabulka stanoví role a odpovědnosti jednotlivých funkčních útvarů:</w:t>
      </w:r>
    </w:p>
    <w:tbl>
      <w:tblPr>
        <w:tblW w:w="946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/>
      </w:tblPr>
      <w:tblGrid>
        <w:gridCol w:w="2750"/>
        <w:gridCol w:w="6710"/>
      </w:tblGrid>
      <w:tr w:rsidR="008D75A1" w:rsidRPr="008D75A1" w:rsidTr="00A12F73">
        <w:trPr>
          <w:cantSplit/>
          <w:trHeight w:val="500"/>
          <w:tblHeader/>
        </w:trPr>
        <w:tc>
          <w:tcPr>
            <w:tcW w:w="2750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D75A1" w:rsidRPr="008D75A1" w:rsidRDefault="008D75A1" w:rsidP="00A12F73">
            <w:pPr>
              <w:pStyle w:val="normal"/>
              <w:jc w:val="center"/>
              <w:rPr>
                <w:rFonts w:ascii="Athiti" w:eastAsia="Athiti" w:hAnsi="Athiti" w:cs="Athiti"/>
                <w:lang w:val="cs-CZ"/>
              </w:rPr>
            </w:pPr>
            <w:r w:rsidRPr="008D75A1">
              <w:rPr>
                <w:rFonts w:ascii="Athiti" w:eastAsia="Athiti" w:hAnsi="Athiti" w:cs="Athiti"/>
                <w:b/>
                <w:lang w:val="cs-CZ"/>
              </w:rPr>
              <w:t>Role</w:t>
            </w:r>
          </w:p>
        </w:tc>
        <w:tc>
          <w:tcPr>
            <w:tcW w:w="6710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D75A1" w:rsidRPr="008D75A1" w:rsidRDefault="008D75A1" w:rsidP="00A12F73">
            <w:pPr>
              <w:pStyle w:val="normal"/>
              <w:jc w:val="center"/>
              <w:rPr>
                <w:rFonts w:ascii="Athiti" w:eastAsia="Athiti" w:hAnsi="Athiti" w:cs="Athiti"/>
                <w:lang w:val="cs-CZ"/>
              </w:rPr>
            </w:pPr>
            <w:r w:rsidRPr="008D75A1">
              <w:rPr>
                <w:rFonts w:ascii="Athiti" w:eastAsia="Athiti" w:hAnsi="Athiti" w:cs="Athiti"/>
                <w:b/>
                <w:lang w:val="cs-CZ"/>
              </w:rPr>
              <w:t>Odpovědnosti</w:t>
            </w:r>
          </w:p>
        </w:tc>
      </w:tr>
      <w:tr w:rsidR="008D75A1" w:rsidRPr="008D75A1" w:rsidTr="00A12F73">
        <w:trPr>
          <w:cantSplit/>
          <w:trHeight w:val="1325"/>
          <w:tblHeader/>
        </w:trPr>
        <w:tc>
          <w:tcPr>
            <w:tcW w:w="2750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D75A1" w:rsidRPr="008D75A1" w:rsidRDefault="008D75A1" w:rsidP="00A12F73">
            <w:pPr>
              <w:pStyle w:val="normal"/>
              <w:rPr>
                <w:rFonts w:ascii="Athiti" w:eastAsia="Athiti" w:hAnsi="Athiti" w:cs="Athiti"/>
                <w:lang w:val="cs-CZ"/>
              </w:rPr>
            </w:pPr>
            <w:r w:rsidRPr="008D75A1">
              <w:rPr>
                <w:rFonts w:ascii="Athiti" w:eastAsia="Athiti" w:hAnsi="Athiti" w:cs="Athiti"/>
                <w:b/>
                <w:lang w:val="cs-CZ"/>
              </w:rPr>
              <w:lastRenderedPageBreak/>
              <w:t>Compliance Officer</w:t>
            </w:r>
            <w:r w:rsidRPr="008D75A1">
              <w:rPr>
                <w:rFonts w:ascii="Athiti" w:eastAsia="Athiti" w:hAnsi="Athiti" w:cs="Athiti"/>
                <w:lang w:val="cs-CZ"/>
              </w:rPr>
              <w:t xml:space="preserve"> (osoba odpovědná za dodržování AML předpisů)</w:t>
            </w:r>
          </w:p>
        </w:tc>
        <w:tc>
          <w:tcPr>
            <w:tcW w:w="6710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D75A1" w:rsidRPr="008D75A1" w:rsidRDefault="008D75A1" w:rsidP="00A12F73">
            <w:pPr>
              <w:pStyle w:val="normal"/>
              <w:rPr>
                <w:rFonts w:ascii="Athiti" w:eastAsia="Athiti" w:hAnsi="Athiti" w:cs="Athiti"/>
                <w:lang w:val="cs-CZ"/>
              </w:rPr>
            </w:pPr>
            <w:r w:rsidRPr="008D75A1">
              <w:rPr>
                <w:rFonts w:ascii="Athiti" w:eastAsia="Athiti" w:hAnsi="Athiti" w:cs="Athiti"/>
                <w:lang w:val="cs-CZ"/>
              </w:rPr>
              <w:t>Provádí posouzení rizikovosti zákazníka a přezkum důvodů pro ukončení vztahu. Zajišťuje řádné odůvodnění a dokumentaci rozhodnutí. V případě potřeby informuje příslušné orgány (např. FAÚ) a koordinuje podání oznámení o podezřelém obchodu.</w:t>
            </w:r>
          </w:p>
        </w:tc>
      </w:tr>
      <w:tr w:rsidR="008D75A1" w:rsidRPr="008D75A1" w:rsidTr="00A12F73">
        <w:trPr>
          <w:cantSplit/>
          <w:trHeight w:val="1325"/>
          <w:tblHeader/>
        </w:trPr>
        <w:tc>
          <w:tcPr>
            <w:tcW w:w="2750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D75A1" w:rsidRPr="008D75A1" w:rsidRDefault="008D75A1" w:rsidP="00A12F73">
            <w:pPr>
              <w:pStyle w:val="normal"/>
              <w:rPr>
                <w:rFonts w:ascii="Athiti" w:eastAsia="Athiti" w:hAnsi="Athiti" w:cs="Athiti"/>
                <w:lang w:val="cs-CZ"/>
              </w:rPr>
            </w:pPr>
            <w:r w:rsidRPr="008D75A1">
              <w:rPr>
                <w:rFonts w:ascii="Athiti" w:eastAsia="Athiti" w:hAnsi="Athiti" w:cs="Athiti"/>
                <w:b/>
                <w:lang w:val="cs-CZ"/>
              </w:rPr>
              <w:t>Relationship Manager / Zákaznický servis</w:t>
            </w:r>
          </w:p>
        </w:tc>
        <w:tc>
          <w:tcPr>
            <w:tcW w:w="6710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D75A1" w:rsidRPr="008D75A1" w:rsidRDefault="008D75A1" w:rsidP="00A12F73">
            <w:pPr>
              <w:pStyle w:val="normal"/>
              <w:rPr>
                <w:rFonts w:ascii="Athiti" w:eastAsia="Athiti" w:hAnsi="Athiti" w:cs="Athiti"/>
                <w:lang w:val="cs-CZ"/>
              </w:rPr>
            </w:pPr>
            <w:r w:rsidRPr="008D75A1">
              <w:rPr>
                <w:rFonts w:ascii="Athiti" w:eastAsia="Athiti" w:hAnsi="Athiti" w:cs="Athiti"/>
                <w:lang w:val="cs-CZ"/>
              </w:rPr>
              <w:t>Komunikuje rozhodnutí o ukončení vztahu zákazníkovi vhodným způsobem a zajišťuje úplné a dohledatelné zaznamenání veškeré komunikace. Vysvětluje další kroky, zejména převod prostředků, uzavření účtů a dostupnost dokumentace.</w:t>
            </w:r>
          </w:p>
        </w:tc>
      </w:tr>
      <w:tr w:rsidR="008D75A1" w:rsidRPr="008D75A1" w:rsidTr="00A12F73">
        <w:trPr>
          <w:cantSplit/>
          <w:trHeight w:val="1055"/>
          <w:tblHeader/>
        </w:trPr>
        <w:tc>
          <w:tcPr>
            <w:tcW w:w="2750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D75A1" w:rsidRPr="008D75A1" w:rsidRDefault="008D75A1" w:rsidP="00A12F73">
            <w:pPr>
              <w:pStyle w:val="normal"/>
              <w:rPr>
                <w:rFonts w:ascii="Athiti" w:eastAsia="Athiti" w:hAnsi="Athiti" w:cs="Athiti"/>
                <w:lang w:val="cs-CZ"/>
              </w:rPr>
            </w:pPr>
            <w:r w:rsidRPr="008D75A1">
              <w:rPr>
                <w:rFonts w:ascii="Athiti" w:eastAsia="Athiti" w:hAnsi="Athiti" w:cs="Athiti"/>
                <w:b/>
                <w:lang w:val="cs-CZ"/>
              </w:rPr>
              <w:t>Právní oddělení</w:t>
            </w:r>
          </w:p>
        </w:tc>
        <w:tc>
          <w:tcPr>
            <w:tcW w:w="6710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D75A1" w:rsidRPr="008D75A1" w:rsidRDefault="008D75A1" w:rsidP="00A12F73">
            <w:pPr>
              <w:pStyle w:val="normal"/>
              <w:rPr>
                <w:rFonts w:ascii="Athiti" w:eastAsia="Athiti" w:hAnsi="Athiti" w:cs="Athiti"/>
                <w:lang w:val="cs-CZ"/>
              </w:rPr>
            </w:pPr>
            <w:r w:rsidRPr="008D75A1">
              <w:rPr>
                <w:rFonts w:ascii="Athiti" w:eastAsia="Athiti" w:hAnsi="Athiti" w:cs="Athiti"/>
                <w:lang w:val="cs-CZ"/>
              </w:rPr>
              <w:t>Ověřuje soulad postupu ukončení vztahu se smluvními ujednáními, právními předpisy a interními pravidly. V případě sporných situací poskytuje právní stanovisko a doporučení.</w:t>
            </w:r>
          </w:p>
        </w:tc>
      </w:tr>
      <w:tr w:rsidR="008D75A1" w:rsidRPr="008D75A1" w:rsidTr="00A12F73">
        <w:trPr>
          <w:cantSplit/>
          <w:trHeight w:val="1055"/>
          <w:tblHeader/>
        </w:trPr>
        <w:tc>
          <w:tcPr>
            <w:tcW w:w="2750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D75A1" w:rsidRPr="008D75A1" w:rsidRDefault="008D75A1" w:rsidP="00A12F73">
            <w:pPr>
              <w:pStyle w:val="normal"/>
              <w:rPr>
                <w:rFonts w:ascii="Athiti" w:eastAsia="Athiti" w:hAnsi="Athiti" w:cs="Athiti"/>
                <w:lang w:val="cs-CZ"/>
              </w:rPr>
            </w:pPr>
            <w:r w:rsidRPr="008D75A1">
              <w:rPr>
                <w:rFonts w:ascii="Athiti" w:eastAsia="Athiti" w:hAnsi="Athiti" w:cs="Athiti"/>
                <w:b/>
                <w:lang w:val="cs-CZ"/>
              </w:rPr>
              <w:t>Finanční oddělení</w:t>
            </w:r>
          </w:p>
        </w:tc>
        <w:tc>
          <w:tcPr>
            <w:tcW w:w="6710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D75A1" w:rsidRPr="008D75A1" w:rsidRDefault="008D75A1" w:rsidP="00A12F73">
            <w:pPr>
              <w:pStyle w:val="normal"/>
              <w:rPr>
                <w:rFonts w:ascii="Athiti" w:eastAsia="Athiti" w:hAnsi="Athiti" w:cs="Athiti"/>
                <w:lang w:val="cs-CZ"/>
              </w:rPr>
            </w:pPr>
            <w:r w:rsidRPr="008D75A1">
              <w:rPr>
                <w:rFonts w:ascii="Athiti" w:eastAsia="Athiti" w:hAnsi="Athiti" w:cs="Athiti"/>
                <w:lang w:val="cs-CZ"/>
              </w:rPr>
              <w:t>Zajišťuje vypořádání všech finančních závazků, vrácení zůstatků na účtech zákazníka (pouze na ověřené účty) a vystavení závěrečných výpisů nebo potvrzení.</w:t>
            </w:r>
          </w:p>
        </w:tc>
      </w:tr>
      <w:tr w:rsidR="008D75A1" w:rsidRPr="008D75A1" w:rsidTr="00A12F73">
        <w:trPr>
          <w:cantSplit/>
          <w:trHeight w:val="1055"/>
          <w:tblHeader/>
        </w:trPr>
        <w:tc>
          <w:tcPr>
            <w:tcW w:w="2750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D75A1" w:rsidRPr="008D75A1" w:rsidRDefault="008D75A1" w:rsidP="00A12F73">
            <w:pPr>
              <w:pStyle w:val="normal"/>
              <w:rPr>
                <w:rFonts w:ascii="Athiti" w:eastAsia="Athiti" w:hAnsi="Athiti" w:cs="Athiti"/>
                <w:lang w:val="cs-CZ"/>
              </w:rPr>
            </w:pPr>
            <w:r w:rsidRPr="008D75A1">
              <w:rPr>
                <w:rFonts w:ascii="Athiti" w:eastAsia="Athiti" w:hAnsi="Athiti" w:cs="Athiti"/>
                <w:b/>
                <w:lang w:val="cs-CZ"/>
              </w:rPr>
              <w:t>IT / Provozní oddělení</w:t>
            </w:r>
          </w:p>
        </w:tc>
        <w:tc>
          <w:tcPr>
            <w:tcW w:w="6710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D75A1" w:rsidRPr="008D75A1" w:rsidRDefault="008D75A1" w:rsidP="00A12F73">
            <w:pPr>
              <w:pStyle w:val="normal"/>
              <w:rPr>
                <w:rFonts w:ascii="Athiti" w:eastAsia="Athiti" w:hAnsi="Athiti" w:cs="Athiti"/>
                <w:lang w:val="cs-CZ"/>
              </w:rPr>
            </w:pPr>
            <w:r w:rsidRPr="008D75A1">
              <w:rPr>
                <w:rFonts w:ascii="Athiti" w:eastAsia="Athiti" w:hAnsi="Athiti" w:cs="Athiti"/>
                <w:lang w:val="cs-CZ"/>
              </w:rPr>
              <w:t>Zajišťuje zneplatnění přístupových údajů zákazníka do systémů, blokaci technických rozhraní a archivaci dat v souladu s pravidly pro uchovávání údajů dle AML zákona a GDPR.</w:t>
            </w:r>
          </w:p>
        </w:tc>
      </w:tr>
    </w:tbl>
    <w:p w:rsidR="008D75A1" w:rsidRPr="008D75A1" w:rsidRDefault="008D75A1" w:rsidP="008D75A1">
      <w:pPr>
        <w:pStyle w:val="Nadpis3"/>
        <w:keepNext w:val="0"/>
        <w:keepLines w:val="0"/>
        <w:widowControl w:val="0"/>
        <w:spacing w:before="280" w:after="80"/>
        <w:rPr>
          <w:rFonts w:ascii="Athiti" w:eastAsia="Athiti" w:hAnsi="Athiti" w:cs="Athiti"/>
          <w:b/>
          <w:sz w:val="26"/>
          <w:szCs w:val="26"/>
          <w:lang w:val="cs-CZ"/>
        </w:rPr>
      </w:pPr>
      <w:bookmarkStart w:id="15" w:name="_heading=h.8d74emjsfrnf" w:colFirst="0" w:colLast="0"/>
      <w:bookmarkEnd w:id="15"/>
      <w:r w:rsidRPr="008D75A1">
        <w:rPr>
          <w:rFonts w:ascii="Athiti" w:eastAsia="Athiti" w:hAnsi="Athiti" w:cs="Athiti"/>
          <w:b/>
          <w:sz w:val="26"/>
          <w:szCs w:val="26"/>
          <w:lang w:val="cs-CZ"/>
        </w:rPr>
        <w:t>5. Postup ukončení obchodního vztahu</w:t>
      </w:r>
    </w:p>
    <w:p w:rsidR="008D75A1" w:rsidRPr="008D75A1" w:rsidRDefault="008D75A1" w:rsidP="008D75A1">
      <w:pPr>
        <w:pStyle w:val="Nadpis4"/>
        <w:keepNext w:val="0"/>
        <w:keepLines w:val="0"/>
        <w:widowControl w:val="0"/>
        <w:ind w:left="720" w:hanging="360"/>
        <w:jc w:val="left"/>
        <w:rPr>
          <w:rFonts w:ascii="Athiti" w:eastAsia="Athiti" w:hAnsi="Athiti" w:cs="Athiti"/>
          <w:sz w:val="22"/>
          <w:szCs w:val="22"/>
          <w:lang w:val="cs-CZ"/>
        </w:rPr>
      </w:pPr>
      <w:bookmarkStart w:id="16" w:name="_heading=h.t58qe6opm2wb" w:colFirst="0" w:colLast="0"/>
      <w:bookmarkEnd w:id="16"/>
      <w:r w:rsidRPr="008D75A1">
        <w:rPr>
          <w:rFonts w:ascii="Athiti" w:eastAsia="Athiti" w:hAnsi="Athiti" w:cs="Athiti"/>
          <w:sz w:val="22"/>
          <w:szCs w:val="22"/>
          <w:lang w:val="cs-CZ"/>
        </w:rPr>
        <w:t>5.1. Posouzení rizika a schválení</w:t>
      </w:r>
    </w:p>
    <w:p w:rsidR="008D75A1" w:rsidRPr="008D75A1" w:rsidRDefault="008D75A1" w:rsidP="008D75A1">
      <w:pPr>
        <w:pStyle w:val="normal"/>
        <w:widowControl w:val="0"/>
        <w:numPr>
          <w:ilvl w:val="0"/>
          <w:numId w:val="8"/>
        </w:numPr>
        <w:spacing w:before="240" w:after="0"/>
        <w:jc w:val="left"/>
        <w:rPr>
          <w:rFonts w:ascii="Athiti" w:eastAsia="Athiti" w:hAnsi="Athiti" w:cs="Athiti"/>
          <w:lang w:val="cs-CZ"/>
        </w:rPr>
      </w:pPr>
      <w:r w:rsidRPr="008D75A1">
        <w:rPr>
          <w:rFonts w:ascii="Athiti" w:eastAsia="Athiti" w:hAnsi="Athiti" w:cs="Athiti"/>
          <w:lang w:val="cs-CZ"/>
        </w:rPr>
        <w:t>Spis zákazníka je přezkoumán osobou odpovědnou za dodržování AML předpisů (Compliance Officer), a to se zaměřením na aktuální rizikový profil zákazníka a důvody pro ukončení vztahu.</w:t>
      </w:r>
    </w:p>
    <w:p w:rsidR="008D75A1" w:rsidRPr="008D75A1" w:rsidRDefault="008D75A1" w:rsidP="008D75A1">
      <w:pPr>
        <w:pStyle w:val="normal"/>
        <w:widowControl w:val="0"/>
        <w:numPr>
          <w:ilvl w:val="0"/>
          <w:numId w:val="8"/>
        </w:numPr>
        <w:spacing w:after="0"/>
        <w:jc w:val="left"/>
        <w:rPr>
          <w:rFonts w:ascii="Athiti" w:eastAsia="Athiti" w:hAnsi="Athiti" w:cs="Athiti"/>
          <w:lang w:val="cs-CZ"/>
        </w:rPr>
      </w:pPr>
      <w:r w:rsidRPr="008D75A1">
        <w:rPr>
          <w:rFonts w:ascii="Athiti" w:eastAsia="Athiti" w:hAnsi="Athiti" w:cs="Athiti"/>
          <w:lang w:val="cs-CZ"/>
        </w:rPr>
        <w:t>Pokud je důvodem ukončení zvýšené riziko spojené s praním špinavých peněz nebo financováním terorismu (AML/CTF), je vypracována písemná riziková zpráva (risk memorandum).</w:t>
      </w:r>
    </w:p>
    <w:p w:rsidR="008D75A1" w:rsidRPr="008D75A1" w:rsidRDefault="008D75A1" w:rsidP="008D75A1">
      <w:pPr>
        <w:pStyle w:val="normal"/>
        <w:widowControl w:val="0"/>
        <w:numPr>
          <w:ilvl w:val="0"/>
          <w:numId w:val="8"/>
        </w:numPr>
        <w:spacing w:after="240"/>
        <w:jc w:val="left"/>
        <w:rPr>
          <w:rFonts w:ascii="Athiti" w:eastAsia="Athiti" w:hAnsi="Athiti" w:cs="Athiti"/>
          <w:lang w:val="cs-CZ"/>
        </w:rPr>
      </w:pPr>
      <w:r w:rsidRPr="008D75A1">
        <w:rPr>
          <w:rFonts w:ascii="Athiti" w:eastAsia="Athiti" w:hAnsi="Athiti" w:cs="Athiti"/>
          <w:lang w:val="cs-CZ"/>
        </w:rPr>
        <w:t>Rozhodnutí o ukončení obchodního vztahu musí být schváleno vedoucím oddělení compliance nebo, je-li zřízen, Výborem pro AML otázky (AML Committee).</w:t>
      </w:r>
    </w:p>
    <w:p w:rsidR="008D75A1" w:rsidRPr="008D75A1" w:rsidRDefault="008D75A1" w:rsidP="008D75A1">
      <w:pPr>
        <w:pStyle w:val="Nadpis4"/>
        <w:keepNext w:val="0"/>
        <w:keepLines w:val="0"/>
        <w:widowControl w:val="0"/>
        <w:ind w:left="720" w:hanging="360"/>
        <w:jc w:val="left"/>
        <w:rPr>
          <w:rFonts w:ascii="Athiti" w:eastAsia="Athiti" w:hAnsi="Athiti" w:cs="Athiti"/>
          <w:sz w:val="22"/>
          <w:szCs w:val="22"/>
          <w:lang w:val="cs-CZ"/>
        </w:rPr>
      </w:pPr>
      <w:bookmarkStart w:id="17" w:name="_heading=h.kyc3z8e8cbfo" w:colFirst="0" w:colLast="0"/>
      <w:bookmarkEnd w:id="17"/>
      <w:r w:rsidRPr="008D75A1">
        <w:rPr>
          <w:rFonts w:ascii="Athiti" w:eastAsia="Athiti" w:hAnsi="Athiti" w:cs="Athiti"/>
          <w:sz w:val="22"/>
          <w:szCs w:val="22"/>
          <w:lang w:val="cs-CZ"/>
        </w:rPr>
        <w:t>5.2. Informování zákazníka</w:t>
      </w:r>
    </w:p>
    <w:p w:rsidR="008D75A1" w:rsidRPr="008D75A1" w:rsidRDefault="008D75A1" w:rsidP="008D75A1">
      <w:pPr>
        <w:pStyle w:val="normal"/>
        <w:widowControl w:val="0"/>
        <w:numPr>
          <w:ilvl w:val="0"/>
          <w:numId w:val="10"/>
        </w:numPr>
        <w:spacing w:before="240" w:after="0"/>
        <w:jc w:val="left"/>
        <w:rPr>
          <w:rFonts w:ascii="Athiti" w:eastAsia="Athiti" w:hAnsi="Athiti" w:cs="Athiti"/>
          <w:lang w:val="cs-CZ"/>
        </w:rPr>
      </w:pPr>
      <w:r w:rsidRPr="008D75A1">
        <w:rPr>
          <w:rFonts w:ascii="Athiti" w:eastAsia="Athiti" w:hAnsi="Athiti" w:cs="Athiti"/>
          <w:lang w:val="cs-CZ"/>
        </w:rPr>
        <w:t>Zákazníkovi je zasláno písemné oznámení o ukončení obchodního vztahu, včetně:</w:t>
      </w:r>
    </w:p>
    <w:p w:rsidR="008D75A1" w:rsidRPr="008D75A1" w:rsidRDefault="008D75A1" w:rsidP="008D75A1">
      <w:pPr>
        <w:pStyle w:val="normal"/>
        <w:widowControl w:val="0"/>
        <w:numPr>
          <w:ilvl w:val="1"/>
          <w:numId w:val="10"/>
        </w:numPr>
        <w:spacing w:after="0"/>
        <w:jc w:val="left"/>
        <w:rPr>
          <w:rFonts w:ascii="Athiti" w:eastAsia="Athiti" w:hAnsi="Athiti" w:cs="Athiti"/>
          <w:lang w:val="cs-CZ"/>
        </w:rPr>
      </w:pPr>
      <w:r w:rsidRPr="008D75A1">
        <w:rPr>
          <w:rFonts w:ascii="Athiti" w:eastAsia="Athiti" w:hAnsi="Athiti" w:cs="Athiti"/>
          <w:lang w:val="cs-CZ"/>
        </w:rPr>
        <w:t>data, ke kterému bude vztah ukončen,</w:t>
      </w:r>
    </w:p>
    <w:p w:rsidR="008D75A1" w:rsidRPr="008D75A1" w:rsidRDefault="008D75A1" w:rsidP="008D75A1">
      <w:pPr>
        <w:pStyle w:val="normal"/>
        <w:widowControl w:val="0"/>
        <w:numPr>
          <w:ilvl w:val="1"/>
          <w:numId w:val="10"/>
        </w:numPr>
        <w:spacing w:after="0"/>
        <w:jc w:val="left"/>
        <w:rPr>
          <w:rFonts w:ascii="Athiti" w:eastAsia="Athiti" w:hAnsi="Athiti" w:cs="Athiti"/>
          <w:lang w:val="cs-CZ"/>
        </w:rPr>
      </w:pPr>
      <w:r w:rsidRPr="008D75A1">
        <w:rPr>
          <w:rFonts w:ascii="Athiti" w:eastAsia="Athiti" w:hAnsi="Athiti" w:cs="Athiti"/>
          <w:lang w:val="cs-CZ"/>
        </w:rPr>
        <w:t>informací o vypořádání zůstatků a dalším postupu (pokud je relevantní).</w:t>
      </w:r>
    </w:p>
    <w:p w:rsidR="008D75A1" w:rsidRPr="008D75A1" w:rsidRDefault="008D75A1" w:rsidP="008D75A1">
      <w:pPr>
        <w:pStyle w:val="normal"/>
        <w:widowControl w:val="0"/>
        <w:numPr>
          <w:ilvl w:val="0"/>
          <w:numId w:val="10"/>
        </w:numPr>
        <w:spacing w:after="0"/>
        <w:jc w:val="left"/>
        <w:rPr>
          <w:rFonts w:ascii="Athiti" w:eastAsia="Athiti" w:hAnsi="Athiti" w:cs="Athiti"/>
          <w:lang w:val="cs-CZ"/>
        </w:rPr>
      </w:pPr>
      <w:r w:rsidRPr="008D75A1">
        <w:rPr>
          <w:rFonts w:ascii="Athiti" w:eastAsia="Athiti" w:hAnsi="Athiti" w:cs="Athiti"/>
          <w:lang w:val="cs-CZ"/>
        </w:rPr>
        <w:t>Oznámení musí být formulováno tak, aby nedošlo k porušení zákazu upozornění (tzv. tipping-off) podle AML zákona (§ 38 zákona č. 253/2008 Sb.).</w:t>
      </w:r>
    </w:p>
    <w:p w:rsidR="008D75A1" w:rsidRPr="008D75A1" w:rsidRDefault="008D75A1" w:rsidP="008D75A1">
      <w:pPr>
        <w:pStyle w:val="normal"/>
        <w:widowControl w:val="0"/>
        <w:numPr>
          <w:ilvl w:val="0"/>
          <w:numId w:val="10"/>
        </w:numPr>
        <w:spacing w:after="240"/>
        <w:jc w:val="left"/>
        <w:rPr>
          <w:rFonts w:ascii="Athiti" w:eastAsia="Athiti" w:hAnsi="Athiti" w:cs="Athiti"/>
          <w:lang w:val="cs-CZ"/>
        </w:rPr>
      </w:pPr>
      <w:r w:rsidRPr="008D75A1">
        <w:rPr>
          <w:rFonts w:ascii="Athiti" w:eastAsia="Athiti" w:hAnsi="Athiti" w:cs="Athiti"/>
          <w:lang w:val="cs-CZ"/>
        </w:rPr>
        <w:t>Pokud je důvodem ukončení podezřelá činnost, text oznámení musí být předem přezkoumán právním a compliance oddělením.</w:t>
      </w:r>
    </w:p>
    <w:p w:rsidR="008D75A1" w:rsidRPr="008D75A1" w:rsidRDefault="008D75A1" w:rsidP="008D75A1">
      <w:pPr>
        <w:pStyle w:val="Nadpis4"/>
        <w:keepNext w:val="0"/>
        <w:keepLines w:val="0"/>
        <w:widowControl w:val="0"/>
        <w:ind w:left="720" w:hanging="360"/>
        <w:jc w:val="left"/>
        <w:rPr>
          <w:rFonts w:ascii="Athiti" w:eastAsia="Athiti" w:hAnsi="Athiti" w:cs="Athiti"/>
          <w:sz w:val="22"/>
          <w:szCs w:val="22"/>
          <w:lang w:val="cs-CZ"/>
        </w:rPr>
      </w:pPr>
      <w:bookmarkStart w:id="18" w:name="_heading=h.pz2p4r5rvg26" w:colFirst="0" w:colLast="0"/>
      <w:bookmarkEnd w:id="18"/>
      <w:r w:rsidRPr="008D75A1">
        <w:rPr>
          <w:rFonts w:ascii="Athiti" w:eastAsia="Athiti" w:hAnsi="Athiti" w:cs="Athiti"/>
          <w:sz w:val="22"/>
          <w:szCs w:val="22"/>
          <w:lang w:val="cs-CZ"/>
        </w:rPr>
        <w:lastRenderedPageBreak/>
        <w:t>5.3. Vypořádání účtů</w:t>
      </w:r>
    </w:p>
    <w:p w:rsidR="008D75A1" w:rsidRPr="008D75A1" w:rsidRDefault="008D75A1" w:rsidP="008D75A1">
      <w:pPr>
        <w:pStyle w:val="normal"/>
        <w:widowControl w:val="0"/>
        <w:numPr>
          <w:ilvl w:val="0"/>
          <w:numId w:val="4"/>
        </w:numPr>
        <w:spacing w:before="240" w:after="0"/>
        <w:jc w:val="left"/>
        <w:rPr>
          <w:rFonts w:ascii="Athiti" w:eastAsia="Athiti" w:hAnsi="Athiti" w:cs="Athiti"/>
          <w:lang w:val="cs-CZ"/>
        </w:rPr>
      </w:pPr>
      <w:r w:rsidRPr="008D75A1">
        <w:rPr>
          <w:rFonts w:ascii="Athiti" w:eastAsia="Athiti" w:hAnsi="Athiti" w:cs="Athiti"/>
          <w:sz w:val="22"/>
          <w:szCs w:val="22"/>
          <w:lang w:val="cs-CZ"/>
        </w:rPr>
        <w:t>Finanční oddělení</w:t>
      </w:r>
      <w:r w:rsidRPr="008D75A1">
        <w:rPr>
          <w:rFonts w:ascii="Athiti" w:eastAsia="Athiti" w:hAnsi="Athiti" w:cs="Athiti"/>
          <w:lang w:val="cs-CZ"/>
        </w:rPr>
        <w:t xml:space="preserve"> ověří, že všechny finanční závazky mezi zákazníkem a společností byly vypořádány (např. uhrazení poplatků, vrácení zůstatků).</w:t>
      </w:r>
    </w:p>
    <w:p w:rsidR="008D75A1" w:rsidRPr="008D75A1" w:rsidRDefault="008D75A1" w:rsidP="008D75A1">
      <w:pPr>
        <w:pStyle w:val="normal"/>
        <w:widowControl w:val="0"/>
        <w:numPr>
          <w:ilvl w:val="0"/>
          <w:numId w:val="4"/>
        </w:numPr>
        <w:spacing w:after="0"/>
        <w:jc w:val="left"/>
        <w:rPr>
          <w:rFonts w:ascii="Athiti" w:eastAsia="Athiti" w:hAnsi="Athiti" w:cs="Athiti"/>
          <w:lang w:val="cs-CZ"/>
        </w:rPr>
      </w:pPr>
      <w:r w:rsidRPr="008D75A1">
        <w:rPr>
          <w:rFonts w:ascii="Athiti" w:eastAsia="Athiti" w:hAnsi="Athiti" w:cs="Athiti"/>
          <w:lang w:val="cs-CZ"/>
        </w:rPr>
        <w:t>Veškeré prostředky mohou být vráceny pouze na účet, jehož vlastnictví bylo ověřeno a je veden na jméno zákazníka nebo na účet, ze kterého byly prostředky původně zaslány.</w:t>
      </w:r>
    </w:p>
    <w:p w:rsidR="008D75A1" w:rsidRPr="008D75A1" w:rsidRDefault="008D75A1" w:rsidP="008D75A1">
      <w:pPr>
        <w:pStyle w:val="normal"/>
        <w:widowControl w:val="0"/>
        <w:numPr>
          <w:ilvl w:val="0"/>
          <w:numId w:val="4"/>
        </w:numPr>
        <w:spacing w:after="240"/>
        <w:jc w:val="left"/>
        <w:rPr>
          <w:rFonts w:ascii="Athiti" w:eastAsia="Athiti" w:hAnsi="Athiti" w:cs="Athiti"/>
          <w:lang w:val="cs-CZ"/>
        </w:rPr>
      </w:pPr>
      <w:r w:rsidRPr="008D75A1">
        <w:rPr>
          <w:rFonts w:ascii="Athiti" w:eastAsia="Athiti" w:hAnsi="Athiti" w:cs="Athiti"/>
          <w:lang w:val="cs-CZ"/>
        </w:rPr>
        <w:t>Vypořádání probíhá v měně a formě dle smluvních podmínek a platných právních předpisů.</w:t>
      </w:r>
    </w:p>
    <w:p w:rsidR="008D75A1" w:rsidRPr="008D75A1" w:rsidRDefault="008D75A1" w:rsidP="008D75A1">
      <w:pPr>
        <w:pStyle w:val="Nadpis4"/>
        <w:keepNext w:val="0"/>
        <w:keepLines w:val="0"/>
        <w:widowControl w:val="0"/>
        <w:ind w:left="720" w:hanging="360"/>
        <w:jc w:val="left"/>
        <w:rPr>
          <w:rFonts w:ascii="Athiti" w:eastAsia="Athiti" w:hAnsi="Athiti" w:cs="Athiti"/>
          <w:sz w:val="22"/>
          <w:szCs w:val="22"/>
          <w:lang w:val="cs-CZ"/>
        </w:rPr>
      </w:pPr>
      <w:bookmarkStart w:id="19" w:name="_heading=h.8l0fhs5kw9eh" w:colFirst="0" w:colLast="0"/>
      <w:bookmarkEnd w:id="19"/>
      <w:r w:rsidRPr="008D75A1">
        <w:rPr>
          <w:rFonts w:ascii="Athiti" w:eastAsia="Athiti" w:hAnsi="Athiti" w:cs="Athiti"/>
          <w:sz w:val="22"/>
          <w:szCs w:val="22"/>
          <w:lang w:val="cs-CZ"/>
        </w:rPr>
        <w:t>5.4. Podání oznámení o podezřelém obchodu (STR)</w:t>
      </w:r>
    </w:p>
    <w:p w:rsidR="008D75A1" w:rsidRPr="008D75A1" w:rsidRDefault="008D75A1" w:rsidP="008D75A1">
      <w:pPr>
        <w:pStyle w:val="normal"/>
        <w:widowControl w:val="0"/>
        <w:spacing w:before="240" w:after="240"/>
        <w:ind w:left="720"/>
        <w:jc w:val="left"/>
        <w:rPr>
          <w:rFonts w:ascii="Athiti" w:eastAsia="Athiti" w:hAnsi="Athiti" w:cs="Athiti"/>
          <w:lang w:val="cs-CZ"/>
        </w:rPr>
      </w:pPr>
      <w:r w:rsidRPr="008D75A1">
        <w:rPr>
          <w:rFonts w:ascii="Athiti" w:eastAsia="Athiti" w:hAnsi="Athiti" w:cs="Athiti"/>
          <w:lang w:val="cs-CZ"/>
        </w:rPr>
        <w:t>Pokud hrála při rozhodnutí o ukončení vztahu roli podezřelá aktivita zákazníka, musí být neprodleně podáno oznámení o podezřelém obchodu (STR) Finančnímu analytickému úřadu (FAÚ).</w:t>
      </w:r>
    </w:p>
    <w:p w:rsidR="008D75A1" w:rsidRPr="008D75A1" w:rsidRDefault="008D75A1" w:rsidP="008D75A1">
      <w:pPr>
        <w:pStyle w:val="normal"/>
        <w:widowControl w:val="0"/>
        <w:spacing w:before="240" w:after="240"/>
        <w:ind w:left="720"/>
        <w:jc w:val="left"/>
        <w:rPr>
          <w:rFonts w:ascii="Athiti" w:eastAsia="Athiti" w:hAnsi="Athiti" w:cs="Athiti"/>
          <w:lang w:val="cs-CZ"/>
        </w:rPr>
      </w:pPr>
      <w:r w:rsidRPr="008D75A1">
        <w:rPr>
          <w:rFonts w:ascii="Athiti" w:eastAsia="Athiti" w:hAnsi="Athiti" w:cs="Athiti"/>
          <w:lang w:val="cs-CZ"/>
        </w:rPr>
        <w:t>Podání STR musí být provedeno před nebo současně s informováním zákazníka o ukončení obchodního vztahu, v souladu se zákonem č. 253/2008 Sb.</w:t>
      </w:r>
    </w:p>
    <w:p w:rsidR="008D75A1" w:rsidRPr="008D75A1" w:rsidRDefault="008D75A1" w:rsidP="008D75A1">
      <w:pPr>
        <w:pStyle w:val="Nadpis4"/>
        <w:keepNext w:val="0"/>
        <w:keepLines w:val="0"/>
        <w:widowControl w:val="0"/>
        <w:ind w:left="720" w:hanging="360"/>
        <w:jc w:val="left"/>
        <w:rPr>
          <w:rFonts w:ascii="Athiti" w:eastAsia="Athiti" w:hAnsi="Athiti" w:cs="Athiti"/>
          <w:sz w:val="22"/>
          <w:szCs w:val="22"/>
          <w:lang w:val="cs-CZ"/>
        </w:rPr>
      </w:pPr>
      <w:bookmarkStart w:id="20" w:name="_heading=h.lmshk4quuvjm" w:colFirst="0" w:colLast="0"/>
      <w:bookmarkEnd w:id="20"/>
      <w:r w:rsidRPr="008D75A1">
        <w:rPr>
          <w:rFonts w:ascii="Athiti" w:eastAsia="Athiti" w:hAnsi="Athiti" w:cs="Athiti"/>
          <w:sz w:val="22"/>
          <w:szCs w:val="22"/>
          <w:lang w:val="cs-CZ"/>
        </w:rPr>
        <w:t>5.5. Deaktivace přístupů a archivace dokumentace</w:t>
      </w:r>
    </w:p>
    <w:p w:rsidR="008D75A1" w:rsidRPr="008D75A1" w:rsidRDefault="008D75A1" w:rsidP="008D75A1">
      <w:pPr>
        <w:pStyle w:val="normal"/>
        <w:widowControl w:val="0"/>
        <w:spacing w:before="240" w:after="240"/>
        <w:ind w:left="720"/>
        <w:jc w:val="left"/>
        <w:rPr>
          <w:rFonts w:ascii="Athiti" w:eastAsia="Athiti" w:hAnsi="Athiti" w:cs="Athiti"/>
          <w:lang w:val="cs-CZ"/>
        </w:rPr>
      </w:pPr>
      <w:r w:rsidRPr="008D75A1">
        <w:rPr>
          <w:rFonts w:ascii="Athiti" w:eastAsia="Athiti" w:hAnsi="Athiti" w:cs="Athiti"/>
          <w:lang w:val="cs-CZ"/>
        </w:rPr>
        <w:t>Oddělení IT nebo provozu zablokuje přístup zákazníka do všech systémů, online platforem a zákaznických rozhraní.</w:t>
      </w:r>
    </w:p>
    <w:p w:rsidR="008D75A1" w:rsidRPr="008D75A1" w:rsidRDefault="008D75A1" w:rsidP="008D75A1">
      <w:pPr>
        <w:pStyle w:val="normal"/>
        <w:widowControl w:val="0"/>
        <w:spacing w:before="240" w:after="240"/>
        <w:ind w:left="720"/>
        <w:jc w:val="left"/>
        <w:rPr>
          <w:rFonts w:ascii="Athiti" w:eastAsia="Athiti" w:hAnsi="Athiti" w:cs="Athiti"/>
          <w:lang w:val="cs-CZ"/>
        </w:rPr>
      </w:pPr>
      <w:r w:rsidRPr="008D75A1">
        <w:rPr>
          <w:rFonts w:ascii="Athiti" w:eastAsia="Athiti" w:hAnsi="Athiti" w:cs="Athiti"/>
          <w:lang w:val="cs-CZ"/>
        </w:rPr>
        <w:t>Všechny dokumenty, smlouvy, komunikace a identifikační údaje zákazníka jsou uloženy v souladu s požadavky na uchovávání dat, typicky po dobu 5 až 10 let dle § 9 AML zákona.</w:t>
      </w:r>
    </w:p>
    <w:p w:rsidR="008D75A1" w:rsidRPr="008D75A1" w:rsidRDefault="008D75A1" w:rsidP="008D75A1">
      <w:pPr>
        <w:pStyle w:val="normal"/>
        <w:widowControl w:val="0"/>
        <w:spacing w:before="240" w:after="240"/>
        <w:ind w:left="720"/>
        <w:jc w:val="left"/>
        <w:rPr>
          <w:rFonts w:ascii="Athiti" w:eastAsia="Athiti" w:hAnsi="Athiti" w:cs="Athiti"/>
          <w:lang w:val="cs-CZ"/>
        </w:rPr>
      </w:pPr>
      <w:r w:rsidRPr="008D75A1">
        <w:rPr>
          <w:rFonts w:ascii="Athiti" w:eastAsia="Athiti" w:hAnsi="Athiti" w:cs="Athiti"/>
          <w:lang w:val="cs-CZ"/>
        </w:rPr>
        <w:t>V interním systému je zaznamenáno, že zákazník byl offboardován, včetně důvodu, a je označen jako nevhodný k budoucímu opětovnému navázání obchodního vztahu (tzv. blacklist nebo watchlist).</w:t>
      </w:r>
    </w:p>
    <w:p w:rsidR="008D75A1" w:rsidRPr="008D75A1" w:rsidRDefault="008D75A1" w:rsidP="008D75A1">
      <w:pPr>
        <w:pStyle w:val="Nadpis3"/>
        <w:keepNext w:val="0"/>
        <w:keepLines w:val="0"/>
        <w:widowControl w:val="0"/>
        <w:spacing w:before="280" w:after="80"/>
        <w:rPr>
          <w:rFonts w:ascii="Athiti" w:eastAsia="Athiti" w:hAnsi="Athiti" w:cs="Athiti"/>
          <w:b/>
          <w:sz w:val="26"/>
          <w:szCs w:val="26"/>
          <w:lang w:val="cs-CZ"/>
        </w:rPr>
      </w:pPr>
      <w:bookmarkStart w:id="21" w:name="_heading=h.ck6nosh73bay" w:colFirst="0" w:colLast="0"/>
      <w:bookmarkEnd w:id="21"/>
      <w:r w:rsidRPr="008D75A1">
        <w:rPr>
          <w:rFonts w:ascii="Athiti" w:eastAsia="Athiti" w:hAnsi="Athiti" w:cs="Athiti"/>
          <w:b/>
          <w:sz w:val="26"/>
          <w:szCs w:val="26"/>
          <w:lang w:val="cs-CZ"/>
        </w:rPr>
        <w:t>6. Dokumentace a dohledatelnost</w:t>
      </w:r>
    </w:p>
    <w:p w:rsidR="008D75A1" w:rsidRPr="008D75A1" w:rsidRDefault="008D75A1" w:rsidP="008D75A1">
      <w:pPr>
        <w:pStyle w:val="normal"/>
        <w:widowControl w:val="0"/>
        <w:spacing w:before="240" w:after="240"/>
        <w:jc w:val="left"/>
        <w:rPr>
          <w:rFonts w:ascii="Athiti" w:eastAsia="Athiti" w:hAnsi="Athiti" w:cs="Athiti"/>
          <w:lang w:val="cs-CZ"/>
        </w:rPr>
      </w:pPr>
      <w:r w:rsidRPr="008D75A1">
        <w:rPr>
          <w:rFonts w:ascii="Athiti" w:eastAsia="Athiti" w:hAnsi="Athiti" w:cs="Athiti"/>
          <w:lang w:val="cs-CZ"/>
        </w:rPr>
        <w:t>Veškerý proces ukončení obchodního vztahu musí být řádně zdokumentován, aby bylo možné zpětně doložit důvody, postupy a rozhodovací proces, a to v případě kontroly ze strany orgánů dohledu nebo v rámci interního auditu.</w:t>
      </w:r>
    </w:p>
    <w:p w:rsidR="008D75A1" w:rsidRPr="008D75A1" w:rsidRDefault="008D75A1" w:rsidP="008D75A1">
      <w:pPr>
        <w:pStyle w:val="normal"/>
        <w:widowControl w:val="0"/>
        <w:spacing w:before="240" w:after="240"/>
        <w:jc w:val="left"/>
        <w:rPr>
          <w:rFonts w:ascii="Athiti" w:eastAsia="Athiti" w:hAnsi="Athiti" w:cs="Athiti"/>
          <w:lang w:val="cs-CZ"/>
        </w:rPr>
      </w:pPr>
      <w:r w:rsidRPr="008D75A1">
        <w:rPr>
          <w:rFonts w:ascii="Athiti" w:eastAsia="Athiti" w:hAnsi="Athiti" w:cs="Athiti"/>
          <w:lang w:val="cs-CZ"/>
        </w:rPr>
        <w:t>Společnost je povinna uchovávat následující dokumenty:</w:t>
      </w:r>
    </w:p>
    <w:p w:rsidR="008D75A1" w:rsidRPr="008D75A1" w:rsidRDefault="008D75A1" w:rsidP="008D75A1">
      <w:pPr>
        <w:pStyle w:val="normal"/>
        <w:widowControl w:val="0"/>
        <w:numPr>
          <w:ilvl w:val="0"/>
          <w:numId w:val="6"/>
        </w:numPr>
        <w:spacing w:before="240" w:after="0"/>
        <w:jc w:val="left"/>
        <w:rPr>
          <w:rFonts w:ascii="Athiti" w:eastAsia="Athiti" w:hAnsi="Athiti" w:cs="Athiti"/>
          <w:lang w:val="cs-CZ"/>
        </w:rPr>
      </w:pPr>
      <w:r w:rsidRPr="008D75A1">
        <w:rPr>
          <w:rFonts w:ascii="Athiti" w:eastAsia="Athiti" w:hAnsi="Athiti" w:cs="Athiti"/>
          <w:b/>
          <w:lang w:val="cs-CZ"/>
        </w:rPr>
        <w:t>Záznam o schválení offboardingu</w:t>
      </w:r>
      <w:r w:rsidRPr="008D75A1">
        <w:rPr>
          <w:rFonts w:ascii="Athiti" w:eastAsia="Athiti" w:hAnsi="Athiti" w:cs="Athiti"/>
          <w:b/>
          <w:lang w:val="cs-CZ"/>
        </w:rPr>
        <w:br/>
      </w:r>
      <w:r w:rsidRPr="008D75A1">
        <w:rPr>
          <w:rFonts w:ascii="Athiti" w:eastAsia="Athiti" w:hAnsi="Athiti" w:cs="Athiti"/>
          <w:lang w:val="cs-CZ"/>
        </w:rPr>
        <w:t xml:space="preserve"> Interní memorandum nebo zápis z rozhodnutí compliance nebo vedení společnosti obsahující důvody ukončení a osoby odpovědné za schválení.</w:t>
      </w:r>
    </w:p>
    <w:p w:rsidR="008D75A1" w:rsidRPr="008D75A1" w:rsidRDefault="008D75A1" w:rsidP="008D75A1">
      <w:pPr>
        <w:pStyle w:val="normal"/>
        <w:widowControl w:val="0"/>
        <w:numPr>
          <w:ilvl w:val="0"/>
          <w:numId w:val="6"/>
        </w:numPr>
        <w:spacing w:after="0"/>
        <w:jc w:val="left"/>
        <w:rPr>
          <w:rFonts w:ascii="Athiti" w:eastAsia="Athiti" w:hAnsi="Athiti" w:cs="Athiti"/>
          <w:lang w:val="cs-CZ"/>
        </w:rPr>
      </w:pPr>
      <w:r w:rsidRPr="008D75A1">
        <w:rPr>
          <w:rFonts w:ascii="Athiti" w:eastAsia="Athiti" w:hAnsi="Athiti" w:cs="Athiti"/>
          <w:b/>
          <w:lang w:val="cs-CZ"/>
        </w:rPr>
        <w:t>Oznámení zákazníkovi</w:t>
      </w:r>
      <w:r w:rsidRPr="008D75A1">
        <w:rPr>
          <w:rFonts w:ascii="Athiti" w:eastAsia="Athiti" w:hAnsi="Athiti" w:cs="Athiti"/>
          <w:b/>
          <w:lang w:val="cs-CZ"/>
        </w:rPr>
        <w:br/>
      </w:r>
      <w:r w:rsidRPr="008D75A1">
        <w:rPr>
          <w:rFonts w:ascii="Athiti" w:eastAsia="Athiti" w:hAnsi="Athiti" w:cs="Athiti"/>
          <w:lang w:val="cs-CZ"/>
        </w:rPr>
        <w:t xml:space="preserve"> Kopie písemné zprávy zaslané zákazníkovi s informací o ukončení vztahu, včetně data účinnosti a pokynů pro vypořádání.</w:t>
      </w:r>
    </w:p>
    <w:p w:rsidR="008D75A1" w:rsidRPr="008D75A1" w:rsidRDefault="008D75A1" w:rsidP="008D75A1">
      <w:pPr>
        <w:pStyle w:val="normal"/>
        <w:widowControl w:val="0"/>
        <w:numPr>
          <w:ilvl w:val="0"/>
          <w:numId w:val="6"/>
        </w:numPr>
        <w:spacing w:after="0"/>
        <w:jc w:val="left"/>
        <w:rPr>
          <w:rFonts w:ascii="Athiti" w:eastAsia="Athiti" w:hAnsi="Athiti" w:cs="Athiti"/>
          <w:lang w:val="cs-CZ"/>
        </w:rPr>
      </w:pPr>
      <w:r w:rsidRPr="008D75A1">
        <w:rPr>
          <w:rFonts w:ascii="Athiti" w:eastAsia="Athiti" w:hAnsi="Athiti" w:cs="Athiti"/>
          <w:b/>
          <w:lang w:val="cs-CZ"/>
        </w:rPr>
        <w:t>Riziková zpráva (risk assessment report)</w:t>
      </w:r>
      <w:r w:rsidRPr="008D75A1">
        <w:rPr>
          <w:rFonts w:ascii="Athiti" w:eastAsia="Athiti" w:hAnsi="Athiti" w:cs="Athiti"/>
          <w:b/>
          <w:lang w:val="cs-CZ"/>
        </w:rPr>
        <w:br/>
      </w:r>
      <w:r w:rsidRPr="008D75A1">
        <w:rPr>
          <w:rFonts w:ascii="Athiti" w:eastAsia="Athiti" w:hAnsi="Athiti" w:cs="Athiti"/>
          <w:lang w:val="cs-CZ"/>
        </w:rPr>
        <w:t xml:space="preserve"> Dokument shrnující posouzení rizika klienta, včetně použitých hodnotících kritérií a zjištěných skutečností.</w:t>
      </w:r>
    </w:p>
    <w:p w:rsidR="008D75A1" w:rsidRPr="008D75A1" w:rsidRDefault="008D75A1" w:rsidP="008D75A1">
      <w:pPr>
        <w:pStyle w:val="normal"/>
        <w:widowControl w:val="0"/>
        <w:numPr>
          <w:ilvl w:val="0"/>
          <w:numId w:val="6"/>
        </w:numPr>
        <w:spacing w:after="0"/>
        <w:jc w:val="left"/>
        <w:rPr>
          <w:rFonts w:ascii="Athiti" w:eastAsia="Athiti" w:hAnsi="Athiti" w:cs="Athiti"/>
          <w:lang w:val="cs-CZ"/>
        </w:rPr>
      </w:pPr>
      <w:r w:rsidRPr="008D75A1">
        <w:rPr>
          <w:rFonts w:ascii="Athiti" w:eastAsia="Athiti" w:hAnsi="Athiti" w:cs="Athiti"/>
          <w:b/>
          <w:lang w:val="cs-CZ"/>
        </w:rPr>
        <w:t>Záznam o oznámení podezřelého obchodu (STR)</w:t>
      </w:r>
      <w:r w:rsidRPr="008D75A1">
        <w:rPr>
          <w:rFonts w:ascii="Athiti" w:eastAsia="Athiti" w:hAnsi="Athiti" w:cs="Athiti"/>
          <w:lang w:val="cs-CZ"/>
        </w:rPr>
        <w:t xml:space="preserve"> </w:t>
      </w:r>
      <w:r w:rsidRPr="008D75A1">
        <w:rPr>
          <w:rFonts w:ascii="Athiti" w:eastAsia="Athiti" w:hAnsi="Athiti" w:cs="Athiti"/>
          <w:i/>
          <w:lang w:val="cs-CZ"/>
        </w:rPr>
        <w:t>(pokud byl podán)</w:t>
      </w:r>
      <w:r w:rsidRPr="008D75A1">
        <w:rPr>
          <w:rFonts w:ascii="Athiti" w:eastAsia="Athiti" w:hAnsi="Athiti" w:cs="Athiti"/>
          <w:i/>
          <w:lang w:val="cs-CZ"/>
        </w:rPr>
        <w:br/>
      </w:r>
      <w:r w:rsidRPr="008D75A1">
        <w:rPr>
          <w:rFonts w:ascii="Athiti" w:eastAsia="Athiti" w:hAnsi="Athiti" w:cs="Athiti"/>
          <w:lang w:val="cs-CZ"/>
        </w:rPr>
        <w:lastRenderedPageBreak/>
        <w:t xml:space="preserve"> Doklad o podání STR Finančnímu analytickému úřadu, včetně kopie potvrzení o odeslání.</w:t>
      </w:r>
    </w:p>
    <w:p w:rsidR="008D75A1" w:rsidRPr="008D75A1" w:rsidRDefault="008D75A1" w:rsidP="008D75A1">
      <w:pPr>
        <w:pStyle w:val="normal"/>
        <w:widowControl w:val="0"/>
        <w:numPr>
          <w:ilvl w:val="0"/>
          <w:numId w:val="6"/>
        </w:numPr>
        <w:spacing w:after="0"/>
        <w:jc w:val="left"/>
        <w:rPr>
          <w:rFonts w:ascii="Athiti" w:eastAsia="Athiti" w:hAnsi="Athiti" w:cs="Athiti"/>
          <w:lang w:val="cs-CZ"/>
        </w:rPr>
      </w:pPr>
      <w:r w:rsidRPr="008D75A1">
        <w:rPr>
          <w:rFonts w:ascii="Athiti" w:eastAsia="Athiti" w:hAnsi="Athiti" w:cs="Athiti"/>
          <w:b/>
          <w:lang w:val="cs-CZ"/>
        </w:rPr>
        <w:t>Závěrečný výpis a vypořádání účtu</w:t>
      </w:r>
      <w:r w:rsidRPr="008D75A1">
        <w:rPr>
          <w:rFonts w:ascii="Athiti" w:eastAsia="Athiti" w:hAnsi="Athiti" w:cs="Athiti"/>
          <w:b/>
          <w:lang w:val="cs-CZ"/>
        </w:rPr>
        <w:br/>
      </w:r>
      <w:r w:rsidRPr="008D75A1">
        <w:rPr>
          <w:rFonts w:ascii="Athiti" w:eastAsia="Athiti" w:hAnsi="Athiti" w:cs="Athiti"/>
          <w:lang w:val="cs-CZ"/>
        </w:rPr>
        <w:t xml:space="preserve"> Finální soupis transakcí a zůstatků s uvedením vrácených částek a použitých účtů příjemce.</w:t>
      </w:r>
    </w:p>
    <w:p w:rsidR="008D75A1" w:rsidRPr="008D75A1" w:rsidRDefault="008D75A1" w:rsidP="008D75A1">
      <w:pPr>
        <w:pStyle w:val="normal"/>
        <w:widowControl w:val="0"/>
        <w:numPr>
          <w:ilvl w:val="0"/>
          <w:numId w:val="6"/>
        </w:numPr>
        <w:spacing w:after="240"/>
        <w:jc w:val="left"/>
        <w:rPr>
          <w:rFonts w:ascii="Athiti" w:eastAsia="Athiti" w:hAnsi="Athiti" w:cs="Athiti"/>
          <w:lang w:val="cs-CZ"/>
        </w:rPr>
      </w:pPr>
      <w:r w:rsidRPr="008D75A1">
        <w:rPr>
          <w:rFonts w:ascii="Athiti" w:eastAsia="Athiti" w:hAnsi="Athiti" w:cs="Athiti"/>
          <w:b/>
          <w:lang w:val="cs-CZ"/>
        </w:rPr>
        <w:t>Záznamy o komunikaci</w:t>
      </w:r>
      <w:r w:rsidRPr="008D75A1">
        <w:rPr>
          <w:rFonts w:ascii="Athiti" w:eastAsia="Athiti" w:hAnsi="Athiti" w:cs="Athiti"/>
          <w:b/>
          <w:lang w:val="cs-CZ"/>
        </w:rPr>
        <w:br/>
      </w:r>
      <w:r w:rsidRPr="008D75A1">
        <w:rPr>
          <w:rFonts w:ascii="Athiti" w:eastAsia="Athiti" w:hAnsi="Athiti" w:cs="Athiti"/>
          <w:lang w:val="cs-CZ"/>
        </w:rPr>
        <w:t xml:space="preserve"> Veškerá komunikace se zákazníkem týkající se ukončení vztahu (e-maily, dopisy, telefonické záznamy) a vnitropodniková komunikace mezi jednotlivými odděleními.</w:t>
      </w:r>
    </w:p>
    <w:p w:rsidR="008D75A1" w:rsidRPr="008D75A1" w:rsidRDefault="008D75A1" w:rsidP="008D75A1">
      <w:pPr>
        <w:pStyle w:val="normal"/>
        <w:widowControl w:val="0"/>
        <w:spacing w:before="240" w:after="240"/>
        <w:jc w:val="left"/>
        <w:rPr>
          <w:rFonts w:ascii="Athiti" w:eastAsia="Athiti" w:hAnsi="Athiti" w:cs="Athiti"/>
          <w:lang w:val="cs-CZ"/>
        </w:rPr>
      </w:pPr>
      <w:r w:rsidRPr="008D75A1">
        <w:rPr>
          <w:rFonts w:ascii="Athiti" w:eastAsia="Athiti" w:hAnsi="Athiti" w:cs="Athiti"/>
          <w:lang w:val="cs-CZ"/>
        </w:rPr>
        <w:t>Všechny uvedené dokumenty musí být uchovávány po dobu minimálně 10 let, pokud právní předpisy nestanoví jinak.</w:t>
      </w:r>
    </w:p>
    <w:p w:rsidR="008D75A1" w:rsidRPr="008D75A1" w:rsidRDefault="008D75A1" w:rsidP="008D75A1">
      <w:pPr>
        <w:pStyle w:val="Nadpis3"/>
        <w:keepNext w:val="0"/>
        <w:keepLines w:val="0"/>
        <w:widowControl w:val="0"/>
        <w:spacing w:before="280" w:after="80"/>
        <w:rPr>
          <w:rFonts w:ascii="Athiti" w:eastAsia="Athiti" w:hAnsi="Athiti" w:cs="Athiti"/>
          <w:b/>
          <w:sz w:val="26"/>
          <w:szCs w:val="26"/>
          <w:lang w:val="cs-CZ"/>
        </w:rPr>
      </w:pPr>
      <w:bookmarkStart w:id="22" w:name="_heading=h.997jxerkvxgk" w:colFirst="0" w:colLast="0"/>
      <w:bookmarkEnd w:id="22"/>
      <w:r w:rsidRPr="008D75A1">
        <w:rPr>
          <w:rFonts w:ascii="Athiti" w:eastAsia="Athiti" w:hAnsi="Athiti" w:cs="Athiti"/>
          <w:b/>
          <w:sz w:val="26"/>
          <w:szCs w:val="26"/>
          <w:lang w:val="cs-CZ"/>
        </w:rPr>
        <w:t>9. Přezkum a aktualizace</w:t>
      </w:r>
    </w:p>
    <w:p w:rsidR="008D75A1" w:rsidRPr="008D75A1" w:rsidRDefault="008D75A1" w:rsidP="008D75A1">
      <w:pPr>
        <w:pStyle w:val="normal"/>
        <w:widowControl w:val="0"/>
        <w:spacing w:before="240" w:after="240"/>
        <w:rPr>
          <w:rFonts w:ascii="Athiti" w:eastAsia="Athiti" w:hAnsi="Athiti" w:cs="Athiti"/>
          <w:lang w:val="cs-CZ"/>
        </w:rPr>
      </w:pPr>
      <w:r w:rsidRPr="008D75A1">
        <w:rPr>
          <w:rFonts w:ascii="Athiti" w:eastAsia="Athiti" w:hAnsi="Athiti" w:cs="Athiti"/>
          <w:lang w:val="cs-CZ"/>
        </w:rPr>
        <w:t xml:space="preserve">Tento postup musí být přezkoumáván </w:t>
      </w:r>
      <w:r w:rsidRPr="008D75A1">
        <w:rPr>
          <w:rFonts w:ascii="Athiti" w:eastAsia="Athiti" w:hAnsi="Athiti" w:cs="Athiti"/>
          <w:b/>
          <w:lang w:val="cs-CZ"/>
        </w:rPr>
        <w:t>alespoň jednou ročně</w:t>
      </w:r>
      <w:r w:rsidRPr="008D75A1">
        <w:rPr>
          <w:rFonts w:ascii="Athiti" w:eastAsia="Athiti" w:hAnsi="Athiti" w:cs="Athiti"/>
          <w:lang w:val="cs-CZ"/>
        </w:rPr>
        <w:t xml:space="preserve">, případně </w:t>
      </w:r>
      <w:r w:rsidRPr="008D75A1">
        <w:rPr>
          <w:rFonts w:ascii="Athiti" w:eastAsia="Athiti" w:hAnsi="Athiti" w:cs="Athiti"/>
          <w:b/>
          <w:lang w:val="cs-CZ"/>
        </w:rPr>
        <w:t>bezodkladně po každé významné změně</w:t>
      </w:r>
      <w:r w:rsidRPr="008D75A1">
        <w:rPr>
          <w:rFonts w:ascii="Athiti" w:eastAsia="Athiti" w:hAnsi="Athiti" w:cs="Athiti"/>
          <w:lang w:val="cs-CZ"/>
        </w:rPr>
        <w:t>:</w:t>
      </w:r>
    </w:p>
    <w:p w:rsidR="008D75A1" w:rsidRPr="008D75A1" w:rsidRDefault="008D75A1" w:rsidP="008D75A1">
      <w:pPr>
        <w:pStyle w:val="normal"/>
        <w:widowControl w:val="0"/>
        <w:numPr>
          <w:ilvl w:val="0"/>
          <w:numId w:val="9"/>
        </w:numPr>
        <w:spacing w:before="240" w:after="0"/>
        <w:jc w:val="left"/>
        <w:rPr>
          <w:rFonts w:ascii="Athiti" w:eastAsia="Athiti" w:hAnsi="Athiti" w:cs="Athiti"/>
          <w:lang w:val="cs-CZ"/>
        </w:rPr>
      </w:pPr>
      <w:r w:rsidRPr="008D75A1">
        <w:rPr>
          <w:rFonts w:ascii="Athiti" w:eastAsia="Athiti" w:hAnsi="Athiti" w:cs="Athiti"/>
          <w:lang w:val="cs-CZ"/>
        </w:rPr>
        <w:t>příslušných právních předpisů v oblasti boje proti praní špinavých peněz a financování terorismu (např. novela zákona č. 253/2008 Sb., přijetí nové evropské regulace – AMLA, AMLR apod.),</w:t>
      </w:r>
    </w:p>
    <w:p w:rsidR="008D75A1" w:rsidRPr="008D75A1" w:rsidRDefault="008D75A1" w:rsidP="008D75A1">
      <w:pPr>
        <w:pStyle w:val="normal"/>
        <w:widowControl w:val="0"/>
        <w:numPr>
          <w:ilvl w:val="0"/>
          <w:numId w:val="9"/>
        </w:numPr>
        <w:spacing w:after="0"/>
        <w:jc w:val="left"/>
        <w:rPr>
          <w:rFonts w:ascii="Athiti" w:eastAsia="Athiti" w:hAnsi="Athiti" w:cs="Athiti"/>
          <w:lang w:val="cs-CZ"/>
        </w:rPr>
      </w:pPr>
      <w:r w:rsidRPr="008D75A1">
        <w:rPr>
          <w:rFonts w:ascii="Athiti" w:eastAsia="Athiti" w:hAnsi="Athiti" w:cs="Athiti"/>
          <w:lang w:val="cs-CZ"/>
        </w:rPr>
        <w:t>vnitřních politik a procesů společnosti v oblasti AML/CTF,</w:t>
      </w:r>
    </w:p>
    <w:p w:rsidR="008D75A1" w:rsidRPr="008D75A1" w:rsidRDefault="008D75A1" w:rsidP="008D75A1">
      <w:pPr>
        <w:pStyle w:val="normal"/>
        <w:widowControl w:val="0"/>
        <w:numPr>
          <w:ilvl w:val="0"/>
          <w:numId w:val="9"/>
        </w:numPr>
        <w:spacing w:after="0"/>
        <w:jc w:val="left"/>
        <w:rPr>
          <w:rFonts w:ascii="Athiti" w:eastAsia="Athiti" w:hAnsi="Athiti" w:cs="Athiti"/>
          <w:lang w:val="cs-CZ"/>
        </w:rPr>
      </w:pPr>
      <w:r w:rsidRPr="008D75A1">
        <w:rPr>
          <w:rFonts w:ascii="Athiti" w:eastAsia="Athiti" w:hAnsi="Athiti" w:cs="Athiti"/>
          <w:lang w:val="cs-CZ"/>
        </w:rPr>
        <w:t>organizační struktury nebo rozdělení odpovědností ve společnosti,</w:t>
      </w:r>
    </w:p>
    <w:p w:rsidR="008D75A1" w:rsidRPr="008D75A1" w:rsidRDefault="008D75A1" w:rsidP="008D75A1">
      <w:pPr>
        <w:pStyle w:val="normal"/>
        <w:widowControl w:val="0"/>
        <w:numPr>
          <w:ilvl w:val="0"/>
          <w:numId w:val="9"/>
        </w:numPr>
        <w:spacing w:after="0"/>
        <w:jc w:val="left"/>
        <w:rPr>
          <w:rFonts w:ascii="Athiti" w:eastAsia="Athiti" w:hAnsi="Athiti" w:cs="Athiti"/>
          <w:lang w:val="cs-CZ"/>
        </w:rPr>
      </w:pPr>
      <w:r w:rsidRPr="008D75A1">
        <w:rPr>
          <w:rFonts w:ascii="Athiti" w:eastAsia="Athiti" w:hAnsi="Athiti" w:cs="Athiti"/>
          <w:lang w:val="cs-CZ"/>
        </w:rPr>
        <w:t>identifikovaných nedostatků v rámci interního auditu nebo kontroly ze strany orgánů dohledu,</w:t>
      </w:r>
    </w:p>
    <w:p w:rsidR="008D75A1" w:rsidRPr="008D75A1" w:rsidRDefault="008D75A1" w:rsidP="008D75A1">
      <w:pPr>
        <w:pStyle w:val="normal"/>
        <w:widowControl w:val="0"/>
        <w:numPr>
          <w:ilvl w:val="0"/>
          <w:numId w:val="9"/>
        </w:numPr>
        <w:spacing w:after="240"/>
        <w:jc w:val="left"/>
        <w:rPr>
          <w:rFonts w:ascii="Athiti" w:eastAsia="Athiti" w:hAnsi="Athiti" w:cs="Athiti"/>
          <w:lang w:val="cs-CZ"/>
        </w:rPr>
      </w:pPr>
      <w:r w:rsidRPr="008D75A1">
        <w:rPr>
          <w:rFonts w:ascii="Athiti" w:eastAsia="Athiti" w:hAnsi="Athiti" w:cs="Athiti"/>
          <w:lang w:val="cs-CZ"/>
        </w:rPr>
        <w:t>nebo po mimořádném případu ukončení obchodního vztahu, který odhalí potřebu revize postupu.</w:t>
      </w:r>
    </w:p>
    <w:p w:rsidR="008D75A1" w:rsidRPr="008D75A1" w:rsidRDefault="008D75A1" w:rsidP="008D75A1">
      <w:pPr>
        <w:pStyle w:val="normal"/>
        <w:widowControl w:val="0"/>
        <w:spacing w:before="240" w:after="240"/>
        <w:rPr>
          <w:rFonts w:ascii="Athiti" w:eastAsia="Athiti" w:hAnsi="Athiti" w:cs="Athiti"/>
          <w:lang w:val="cs-CZ"/>
        </w:rPr>
      </w:pPr>
      <w:r w:rsidRPr="008D75A1">
        <w:rPr>
          <w:rFonts w:ascii="Athiti" w:eastAsia="Athiti" w:hAnsi="Athiti" w:cs="Athiti"/>
          <w:lang w:val="cs-CZ"/>
        </w:rPr>
        <w:t xml:space="preserve">Za přezkum a aktualizaci odpovídá </w:t>
      </w:r>
      <w:r w:rsidRPr="008D75A1">
        <w:rPr>
          <w:rFonts w:ascii="Athiti" w:eastAsia="Athiti" w:hAnsi="Athiti" w:cs="Athiti"/>
          <w:b/>
          <w:lang w:val="cs-CZ"/>
        </w:rPr>
        <w:t>Compliance Officer</w:t>
      </w:r>
      <w:r w:rsidRPr="008D75A1">
        <w:rPr>
          <w:rFonts w:ascii="Athiti" w:eastAsia="Athiti" w:hAnsi="Athiti" w:cs="Athiti"/>
          <w:lang w:val="cs-CZ"/>
        </w:rPr>
        <w:t xml:space="preserve"> ve spolupráci s právním a provozním oddělením. Veškeré změny musí být řádně zdokumentovány a schváleny příslušným schvalovacím orgánem (např. vedením společnosti nebo výborem pro AML otázky).</w:t>
      </w:r>
    </w:p>
    <w:p w:rsidR="00B06DB5" w:rsidRPr="008D75A1" w:rsidRDefault="00B06DB5">
      <w:pPr>
        <w:rPr>
          <w:lang w:val="cs-CZ"/>
        </w:rPr>
      </w:pPr>
    </w:p>
    <w:sectPr w:rsidR="00B06DB5" w:rsidRPr="008D75A1" w:rsidSect="00632AE5">
      <w:headerReference w:type="default" r:id="rId7"/>
      <w:footerReference w:type="default" r:id="rId8"/>
      <w:headerReference w:type="first" r:id="rId9"/>
      <w:pgSz w:w="11906" w:h="16838"/>
      <w:pgMar w:top="1134" w:right="1134" w:bottom="1134" w:left="1134" w:header="709" w:footer="709" w:gutter="0"/>
      <w:pgNumType w:start="0"/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96356" w:rsidRDefault="00A96356" w:rsidP="003710FB">
      <w:pPr>
        <w:spacing w:after="0" w:line="240" w:lineRule="auto"/>
      </w:pPr>
      <w:r>
        <w:separator/>
      </w:r>
    </w:p>
  </w:endnote>
  <w:endnote w:type="continuationSeparator" w:id="1">
    <w:p w:rsidR="00A96356" w:rsidRDefault="00A96356" w:rsidP="003710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thiti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32AE5" w:rsidRDefault="008D75A1">
    <w:pPr>
      <w:pStyle w:val="normal"/>
      <w:tabs>
        <w:tab w:val="center" w:pos="4677"/>
        <w:tab w:val="right" w:pos="9355"/>
      </w:tabs>
      <w:spacing w:after="0" w:line="240" w:lineRule="auto"/>
      <w:jc w:val="center"/>
    </w:pPr>
    <w:r>
      <w:rPr>
        <w:noProof/>
      </w:rPr>
      <w:drawing>
        <wp:inline distT="0" distB="0" distL="0" distR="0">
          <wp:extent cx="5514975" cy="92710"/>
          <wp:effectExtent l="0" t="0" r="0" b="0"/>
          <wp:docPr id="11" name="image1.png" descr="Light horizontal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 descr="Light horizontal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514975" cy="9271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  <w:p w:rsidR="00632AE5" w:rsidRDefault="003710FB">
    <w:pPr>
      <w:pStyle w:val="normal"/>
      <w:tabs>
        <w:tab w:val="center" w:pos="4677"/>
        <w:tab w:val="right" w:pos="9355"/>
      </w:tabs>
      <w:spacing w:after="0" w:line="240" w:lineRule="auto"/>
      <w:jc w:val="center"/>
      <w:rPr>
        <w:rFonts w:ascii="Athiti" w:eastAsia="Athiti" w:hAnsi="Athiti" w:cs="Athiti"/>
      </w:rPr>
    </w:pPr>
    <w:r>
      <w:rPr>
        <w:rFonts w:ascii="Athiti" w:eastAsia="Athiti" w:hAnsi="Athiti" w:cs="Athiti"/>
      </w:rPr>
      <w:fldChar w:fldCharType="begin"/>
    </w:r>
    <w:r w:rsidR="008D75A1">
      <w:rPr>
        <w:rFonts w:ascii="Athiti" w:eastAsia="Athiti" w:hAnsi="Athiti" w:cs="Athiti"/>
      </w:rPr>
      <w:instrText>PAGE</w:instrText>
    </w:r>
    <w:r>
      <w:rPr>
        <w:rFonts w:ascii="Athiti" w:eastAsia="Athiti" w:hAnsi="Athiti" w:cs="Athiti"/>
      </w:rPr>
      <w:fldChar w:fldCharType="separate"/>
    </w:r>
    <w:r w:rsidR="003B42F4">
      <w:rPr>
        <w:rFonts w:ascii="Athiti" w:eastAsia="Athiti" w:hAnsi="Athiti" w:cs="Athiti"/>
        <w:noProof/>
      </w:rPr>
      <w:t>7</w:t>
    </w:r>
    <w:r>
      <w:rPr>
        <w:rFonts w:ascii="Athiti" w:eastAsia="Athiti" w:hAnsi="Athiti" w:cs="Athiti"/>
      </w:rPr>
      <w:fldChar w:fldCharType="end"/>
    </w:r>
  </w:p>
  <w:p w:rsidR="00632AE5" w:rsidRDefault="00A96356">
    <w:pPr>
      <w:pStyle w:val="normal"/>
      <w:tabs>
        <w:tab w:val="center" w:pos="4677"/>
        <w:tab w:val="right" w:pos="9355"/>
      </w:tabs>
      <w:spacing w:after="0" w:line="240" w:lineRule="auto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96356" w:rsidRDefault="00A96356" w:rsidP="003710FB">
      <w:pPr>
        <w:spacing w:after="0" w:line="240" w:lineRule="auto"/>
      </w:pPr>
      <w:r>
        <w:separator/>
      </w:r>
    </w:p>
  </w:footnote>
  <w:footnote w:type="continuationSeparator" w:id="1">
    <w:p w:rsidR="00A96356" w:rsidRDefault="00A96356" w:rsidP="003710F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32AE5" w:rsidRDefault="008D75A1">
    <w:pPr>
      <w:pStyle w:val="normal"/>
    </w:pPr>
    <w:r>
      <w:rPr>
        <w:noProof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page">
            <wp:posOffset>-19043</wp:posOffset>
          </wp:positionH>
          <wp:positionV relativeFrom="page">
            <wp:posOffset>-19043</wp:posOffset>
          </wp:positionV>
          <wp:extent cx="128100" cy="10766100"/>
          <wp:effectExtent l="0" t="0" r="0" b="0"/>
          <wp:wrapSquare wrapText="bothSides" distT="0" distB="0" distL="114300" distR="114300"/>
          <wp:docPr id="13" name="image3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3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28100" cy="107661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32AE5" w:rsidRDefault="008D75A1">
    <w:pPr>
      <w:pStyle w:val="normal"/>
    </w:pPr>
    <w:r>
      <w:rPr>
        <w:noProof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page">
            <wp:posOffset>-19043</wp:posOffset>
          </wp:positionH>
          <wp:positionV relativeFrom="page">
            <wp:posOffset>-19043</wp:posOffset>
          </wp:positionV>
          <wp:extent cx="128100" cy="10766100"/>
          <wp:effectExtent l="0" t="0" r="0" b="0"/>
          <wp:wrapNone/>
          <wp:docPr id="12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28100" cy="107661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2BF3343"/>
    <w:multiLevelType w:val="multilevel"/>
    <w:tmpl w:val="7B46B96E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">
    <w:nsid w:val="231B7114"/>
    <w:multiLevelType w:val="multilevel"/>
    <w:tmpl w:val="DD68585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nsid w:val="255B540E"/>
    <w:multiLevelType w:val="multilevel"/>
    <w:tmpl w:val="A52C33D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>
    <w:nsid w:val="25974A68"/>
    <w:multiLevelType w:val="multilevel"/>
    <w:tmpl w:val="82F69DD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>
    <w:nsid w:val="35B63D57"/>
    <w:multiLevelType w:val="multilevel"/>
    <w:tmpl w:val="092EA26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>
    <w:nsid w:val="4CBA373E"/>
    <w:multiLevelType w:val="multilevel"/>
    <w:tmpl w:val="01D8345C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6">
    <w:nsid w:val="5DF67887"/>
    <w:multiLevelType w:val="multilevel"/>
    <w:tmpl w:val="63A2A38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7">
    <w:nsid w:val="5E3C7B7A"/>
    <w:multiLevelType w:val="multilevel"/>
    <w:tmpl w:val="737E46D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8">
    <w:nsid w:val="61FF4356"/>
    <w:multiLevelType w:val="multilevel"/>
    <w:tmpl w:val="032E50E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9">
    <w:nsid w:val="638401F1"/>
    <w:multiLevelType w:val="multilevel"/>
    <w:tmpl w:val="76A6180C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0">
    <w:nsid w:val="7C0B14A2"/>
    <w:multiLevelType w:val="multilevel"/>
    <w:tmpl w:val="7194962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1">
    <w:nsid w:val="7C133198"/>
    <w:multiLevelType w:val="multilevel"/>
    <w:tmpl w:val="BCD6F70E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2">
    <w:nsid w:val="7C620136"/>
    <w:multiLevelType w:val="multilevel"/>
    <w:tmpl w:val="5EEC16F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6"/>
  </w:num>
  <w:num w:numId="2">
    <w:abstractNumId w:val="12"/>
  </w:num>
  <w:num w:numId="3">
    <w:abstractNumId w:val="7"/>
  </w:num>
  <w:num w:numId="4">
    <w:abstractNumId w:val="4"/>
  </w:num>
  <w:num w:numId="5">
    <w:abstractNumId w:val="3"/>
  </w:num>
  <w:num w:numId="6">
    <w:abstractNumId w:val="11"/>
  </w:num>
  <w:num w:numId="7">
    <w:abstractNumId w:val="5"/>
  </w:num>
  <w:num w:numId="8">
    <w:abstractNumId w:val="10"/>
  </w:num>
  <w:num w:numId="9">
    <w:abstractNumId w:val="1"/>
  </w:num>
  <w:num w:numId="10">
    <w:abstractNumId w:val="9"/>
  </w:num>
  <w:num w:numId="11">
    <w:abstractNumId w:val="8"/>
  </w:num>
  <w:num w:numId="12">
    <w:abstractNumId w:val="2"/>
  </w:num>
  <w:num w:numId="1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8D75A1"/>
    <w:rsid w:val="001B565C"/>
    <w:rsid w:val="001F0902"/>
    <w:rsid w:val="00267770"/>
    <w:rsid w:val="003710FB"/>
    <w:rsid w:val="003B42F4"/>
    <w:rsid w:val="005811F2"/>
    <w:rsid w:val="008D75A1"/>
    <w:rsid w:val="009D0A5F"/>
    <w:rsid w:val="00A96356"/>
    <w:rsid w:val="00B01FD2"/>
    <w:rsid w:val="00B06DB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8D75A1"/>
    <w:pPr>
      <w:spacing w:after="160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styleId="Nadpis1">
    <w:name w:val="heading 1"/>
    <w:basedOn w:val="normal"/>
    <w:next w:val="normal"/>
    <w:link w:val="Nadpis1Char"/>
    <w:rsid w:val="008D75A1"/>
    <w:pPr>
      <w:keepNext/>
      <w:keepLines/>
      <w:spacing w:before="360" w:after="240"/>
      <w:outlineLvl w:val="0"/>
    </w:pPr>
    <w:rPr>
      <w:rFonts w:ascii="Calibri" w:eastAsia="Calibri" w:hAnsi="Calibri" w:cs="Calibri"/>
      <w:b/>
      <w:sz w:val="36"/>
      <w:szCs w:val="36"/>
    </w:rPr>
  </w:style>
  <w:style w:type="paragraph" w:styleId="Nadpis3">
    <w:name w:val="heading 3"/>
    <w:basedOn w:val="normal"/>
    <w:next w:val="normal"/>
    <w:link w:val="Nadpis3Char"/>
    <w:rsid w:val="008D75A1"/>
    <w:pPr>
      <w:keepNext/>
      <w:keepLines/>
      <w:spacing w:before="40" w:after="200"/>
      <w:outlineLvl w:val="2"/>
    </w:pPr>
    <w:rPr>
      <w:rFonts w:ascii="Calibri" w:eastAsia="Calibri" w:hAnsi="Calibri" w:cs="Calibri"/>
    </w:rPr>
  </w:style>
  <w:style w:type="paragraph" w:styleId="Nadpis4">
    <w:name w:val="heading 4"/>
    <w:basedOn w:val="normal"/>
    <w:next w:val="normal"/>
    <w:link w:val="Nadpis4Char"/>
    <w:rsid w:val="008D75A1"/>
    <w:pPr>
      <w:keepNext/>
      <w:keepLines/>
      <w:spacing w:before="240" w:after="40"/>
      <w:outlineLvl w:val="3"/>
    </w:pPr>
    <w:rPr>
      <w:b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8D75A1"/>
    <w:rPr>
      <w:rFonts w:ascii="Calibri" w:eastAsia="Calibri" w:hAnsi="Calibri" w:cs="Calibri"/>
      <w:b/>
      <w:sz w:val="36"/>
      <w:szCs w:val="36"/>
    </w:rPr>
  </w:style>
  <w:style w:type="character" w:customStyle="1" w:styleId="Nadpis3Char">
    <w:name w:val="Nadpis 3 Char"/>
    <w:basedOn w:val="Standardnpsmoodstavce"/>
    <w:link w:val="Nadpis3"/>
    <w:rsid w:val="008D75A1"/>
    <w:rPr>
      <w:rFonts w:ascii="Calibri" w:eastAsia="Calibri" w:hAnsi="Calibri" w:cs="Calibri"/>
      <w:sz w:val="24"/>
      <w:szCs w:val="24"/>
    </w:rPr>
  </w:style>
  <w:style w:type="character" w:customStyle="1" w:styleId="Nadpis4Char">
    <w:name w:val="Nadpis 4 Char"/>
    <w:basedOn w:val="Standardnpsmoodstavce"/>
    <w:link w:val="Nadpis4"/>
    <w:rsid w:val="008D75A1"/>
    <w:rPr>
      <w:rFonts w:ascii="Times New Roman" w:eastAsia="Times New Roman" w:hAnsi="Times New Roman" w:cs="Times New Roman"/>
      <w:b/>
      <w:sz w:val="24"/>
      <w:szCs w:val="24"/>
    </w:rPr>
  </w:style>
  <w:style w:type="paragraph" w:styleId="Nzev">
    <w:name w:val="Title"/>
    <w:basedOn w:val="normal"/>
    <w:next w:val="normal"/>
    <w:link w:val="NzevChar"/>
    <w:rsid w:val="008D75A1"/>
    <w:pPr>
      <w:keepNext/>
      <w:keepLines/>
      <w:spacing w:before="480" w:after="120"/>
    </w:pPr>
    <w:rPr>
      <w:b/>
      <w:sz w:val="72"/>
      <w:szCs w:val="72"/>
    </w:rPr>
  </w:style>
  <w:style w:type="character" w:customStyle="1" w:styleId="NzevChar">
    <w:name w:val="Název Char"/>
    <w:basedOn w:val="Standardnpsmoodstavce"/>
    <w:link w:val="Nzev"/>
    <w:rsid w:val="008D75A1"/>
    <w:rPr>
      <w:rFonts w:ascii="Times New Roman" w:eastAsia="Times New Roman" w:hAnsi="Times New Roman" w:cs="Times New Roman"/>
      <w:b/>
      <w:sz w:val="72"/>
      <w:szCs w:val="72"/>
    </w:rPr>
  </w:style>
  <w:style w:type="paragraph" w:customStyle="1" w:styleId="normal">
    <w:name w:val="normal"/>
    <w:rsid w:val="008D75A1"/>
    <w:pPr>
      <w:spacing w:after="160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8D75A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D75A1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8</Pages>
  <Words>1845</Words>
  <Characters>10520</Characters>
  <Application>Microsoft Office Word</Application>
  <DocSecurity>0</DocSecurity>
  <Lines>87</Lines>
  <Paragraphs>24</Paragraphs>
  <ScaleCrop>false</ScaleCrop>
  <Company/>
  <LinksUpToDate>false</LinksUpToDate>
  <CharactersWithSpaces>12341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Zman Kesef</dc:creator>
  <cp:lastModifiedBy>Zman Kesef</cp:lastModifiedBy>
  <cp:revision>2</cp:revision>
  <dcterms:created xsi:type="dcterms:W3CDTF">2025-07-28T22:41:00Z</dcterms:created>
  <dcterms:modified xsi:type="dcterms:W3CDTF">2025-07-30T17:47:00Z</dcterms:modified>
</cp:coreProperties>
</file>