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17C6" w:rsidRPr="00DF17C6" w:rsidRDefault="00DF17C6" w:rsidP="00DF17C6">
      <w:pPr>
        <w:pStyle w:val="Nzev"/>
        <w:keepNext w:val="0"/>
        <w:keepLines w:val="0"/>
        <w:widowControl w:val="0"/>
        <w:spacing w:before="0" w:after="0"/>
        <w:rPr>
          <w:rFonts w:ascii="Athiti" w:eastAsia="Athiti" w:hAnsi="Athiti" w:cs="Athiti"/>
          <w:b w:val="0"/>
          <w:sz w:val="18"/>
          <w:szCs w:val="18"/>
          <w:highlight w:val="yellow"/>
          <w:lang w:val="cs-CZ"/>
        </w:rPr>
      </w:pPr>
      <w:bookmarkStart w:id="0" w:name="_heading=h.l79du0hx25jr" w:colFirst="0" w:colLast="0"/>
      <w:bookmarkEnd w:id="0"/>
    </w:p>
    <w:p w:rsidR="00DF17C6" w:rsidRPr="00DF17C6" w:rsidRDefault="00DF17C6" w:rsidP="00DF17C6">
      <w:pPr>
        <w:pStyle w:val="Nzev"/>
        <w:keepNext w:val="0"/>
        <w:keepLines w:val="0"/>
        <w:widowControl w:val="0"/>
        <w:spacing w:before="0" w:after="0"/>
        <w:rPr>
          <w:rFonts w:ascii="Athiti" w:eastAsia="Athiti" w:hAnsi="Athiti" w:cs="Athiti"/>
          <w:b w:val="0"/>
          <w:sz w:val="18"/>
          <w:szCs w:val="18"/>
          <w:highlight w:val="yellow"/>
          <w:lang w:val="cs-CZ"/>
        </w:rPr>
      </w:pPr>
      <w:bookmarkStart w:id="1" w:name="_heading=h.6hmko09gw3jw" w:colFirst="0" w:colLast="0"/>
      <w:bookmarkEnd w:id="1"/>
    </w:p>
    <w:p w:rsidR="00DF17C6" w:rsidRPr="00DF17C6" w:rsidRDefault="00DF17C6" w:rsidP="00DF17C6">
      <w:pPr>
        <w:pStyle w:val="Nzev"/>
        <w:keepNext w:val="0"/>
        <w:keepLines w:val="0"/>
        <w:widowControl w:val="0"/>
        <w:spacing w:before="0" w:after="0"/>
        <w:rPr>
          <w:rFonts w:ascii="Athiti" w:eastAsia="Athiti" w:hAnsi="Athiti" w:cs="Athiti"/>
          <w:b w:val="0"/>
          <w:sz w:val="18"/>
          <w:szCs w:val="18"/>
          <w:highlight w:val="yellow"/>
          <w:lang w:val="cs-CZ"/>
        </w:rPr>
      </w:pPr>
      <w:bookmarkStart w:id="2" w:name="_heading=h.m1lsepsbrrkh" w:colFirst="0" w:colLast="0"/>
      <w:bookmarkEnd w:id="2"/>
    </w:p>
    <w:p w:rsidR="00DF17C6" w:rsidRPr="00DF17C6" w:rsidRDefault="00DF17C6" w:rsidP="00DF17C6">
      <w:pPr>
        <w:pStyle w:val="Nzev"/>
        <w:keepNext w:val="0"/>
        <w:keepLines w:val="0"/>
        <w:widowControl w:val="0"/>
        <w:spacing w:before="0" w:after="0"/>
        <w:rPr>
          <w:rFonts w:ascii="Athiti" w:eastAsia="Athiti" w:hAnsi="Athiti" w:cs="Athiti"/>
          <w:b w:val="0"/>
          <w:sz w:val="18"/>
          <w:szCs w:val="18"/>
          <w:highlight w:val="yellow"/>
          <w:lang w:val="cs-CZ"/>
        </w:rPr>
      </w:pPr>
      <w:bookmarkStart w:id="3" w:name="_heading=h.knqfi46ieyo5" w:colFirst="0" w:colLast="0"/>
      <w:bookmarkEnd w:id="3"/>
    </w:p>
    <w:p w:rsidR="00DF17C6" w:rsidRPr="00DF17C6" w:rsidRDefault="00DF17C6" w:rsidP="00DF17C6">
      <w:pPr>
        <w:pStyle w:val="Nzev"/>
        <w:keepNext w:val="0"/>
        <w:keepLines w:val="0"/>
        <w:widowControl w:val="0"/>
        <w:spacing w:before="0" w:after="0"/>
        <w:rPr>
          <w:rFonts w:ascii="Athiti" w:eastAsia="Athiti" w:hAnsi="Athiti" w:cs="Athiti"/>
          <w:b w:val="0"/>
          <w:sz w:val="18"/>
          <w:szCs w:val="18"/>
          <w:highlight w:val="yellow"/>
          <w:lang w:val="cs-CZ"/>
        </w:rPr>
      </w:pPr>
      <w:bookmarkStart w:id="4" w:name="_heading=h.1er7i21vgr5p" w:colFirst="0" w:colLast="0"/>
      <w:bookmarkEnd w:id="4"/>
    </w:p>
    <w:p w:rsidR="00DF17C6" w:rsidRPr="00DF17C6" w:rsidRDefault="00DF17C6" w:rsidP="00DF17C6">
      <w:pPr>
        <w:pStyle w:val="normal"/>
        <w:rPr>
          <w:rFonts w:ascii="Athiti" w:eastAsia="Athiti" w:hAnsi="Athiti" w:cs="Athiti"/>
          <w:b/>
          <w:color w:val="44546A"/>
          <w:sz w:val="48"/>
          <w:szCs w:val="48"/>
          <w:lang w:val="cs-CZ"/>
        </w:rPr>
      </w:pPr>
      <w:bookmarkStart w:id="5" w:name="_heading=h.pksdeoga8ghp" w:colFirst="0" w:colLast="0"/>
      <w:bookmarkStart w:id="6" w:name="_heading=h.udupbdaeb5h1" w:colFirst="0" w:colLast="0"/>
      <w:bookmarkStart w:id="7" w:name="_heading=h.8dvo4inpgm8o" w:colFirst="0" w:colLast="0"/>
      <w:bookmarkEnd w:id="5"/>
      <w:bookmarkEnd w:id="6"/>
      <w:bookmarkEnd w:id="7"/>
    </w:p>
    <w:p w:rsidR="00DF17C6" w:rsidRPr="00DF17C6" w:rsidRDefault="00DF17C6" w:rsidP="00DF17C6">
      <w:pPr>
        <w:pStyle w:val="normal"/>
        <w:rPr>
          <w:rFonts w:ascii="Athiti" w:eastAsia="Athiti" w:hAnsi="Athiti" w:cs="Athiti"/>
          <w:b/>
          <w:color w:val="44546A"/>
          <w:sz w:val="48"/>
          <w:szCs w:val="48"/>
          <w:lang w:val="cs-CZ"/>
        </w:rPr>
      </w:pPr>
    </w:p>
    <w:p w:rsidR="00DF17C6" w:rsidRPr="00DF17C6" w:rsidRDefault="00DF17C6" w:rsidP="00DF17C6">
      <w:pPr>
        <w:pStyle w:val="normal"/>
        <w:rPr>
          <w:rFonts w:ascii="Athiti" w:eastAsia="Athiti" w:hAnsi="Athiti" w:cs="Athiti"/>
          <w:b/>
          <w:sz w:val="48"/>
          <w:szCs w:val="48"/>
          <w:lang w:val="cs-CZ"/>
        </w:rPr>
      </w:pPr>
    </w:p>
    <w:p w:rsidR="00DF17C6" w:rsidRPr="00DF17C6" w:rsidRDefault="00DF17C6" w:rsidP="00DF17C6">
      <w:pPr>
        <w:pStyle w:val="normal"/>
        <w:rPr>
          <w:rFonts w:ascii="Athiti" w:eastAsia="Athiti" w:hAnsi="Athiti" w:cs="Athiti"/>
          <w:b/>
          <w:sz w:val="48"/>
          <w:szCs w:val="48"/>
          <w:lang w:val="cs-CZ"/>
        </w:rPr>
      </w:pPr>
      <w:r w:rsidRPr="00DF17C6">
        <w:rPr>
          <w:rFonts w:ascii="Athiti" w:eastAsia="Athiti" w:hAnsi="Athiti" w:cs="Athiti"/>
          <w:b/>
          <w:sz w:val="48"/>
          <w:szCs w:val="48"/>
          <w:lang w:val="cs-CZ"/>
        </w:rPr>
        <w:t>Postup pro oddělení kryptoměn a finančních prostředků klientů</w:t>
      </w:r>
    </w:p>
    <w:p w:rsidR="00DF17C6" w:rsidRPr="00DF17C6" w:rsidRDefault="00DF17C6" w:rsidP="00DF17C6">
      <w:pPr>
        <w:pStyle w:val="normal"/>
        <w:rPr>
          <w:rFonts w:ascii="Athiti" w:eastAsia="Athiti" w:hAnsi="Athiti" w:cs="Athiti"/>
          <w:b/>
          <w:sz w:val="48"/>
          <w:szCs w:val="48"/>
          <w:lang w:val="cs-CZ"/>
        </w:rPr>
      </w:pPr>
    </w:p>
    <w:p w:rsidR="00DF17C6" w:rsidRPr="00DF17C6" w:rsidRDefault="00DF17C6" w:rsidP="00DF17C6">
      <w:pPr>
        <w:pStyle w:val="normal"/>
        <w:rPr>
          <w:rFonts w:ascii="Athiti" w:eastAsia="Athiti" w:hAnsi="Athiti" w:cs="Athiti"/>
          <w:b/>
          <w:color w:val="44546A"/>
          <w:sz w:val="48"/>
          <w:szCs w:val="48"/>
          <w:lang w:val="cs-CZ"/>
        </w:rPr>
      </w:pPr>
      <w:bookmarkStart w:id="8" w:name="_heading=h.wxzpvxfe9a17" w:colFirst="0" w:colLast="0"/>
      <w:bookmarkEnd w:id="8"/>
    </w:p>
    <w:p w:rsidR="00DF17C6" w:rsidRPr="00DF17C6" w:rsidRDefault="00DF17C6" w:rsidP="00DF17C6">
      <w:pPr>
        <w:pStyle w:val="normal"/>
        <w:spacing w:before="240" w:after="240" w:line="240" w:lineRule="auto"/>
        <w:rPr>
          <w:rFonts w:ascii="Athiti" w:eastAsia="Athiti" w:hAnsi="Athiti" w:cs="Athiti"/>
          <w:color w:val="444444"/>
          <w:lang w:val="cs-CZ"/>
        </w:rPr>
      </w:pPr>
    </w:p>
    <w:tbl>
      <w:tblPr>
        <w:tblpPr w:leftFromText="180" w:rightFromText="180" w:topFromText="180" w:bottomFromText="180" w:vertAnchor="text" w:horzAnchor="page" w:tblpX="5661" w:tblpY="3059"/>
        <w:tblW w:w="58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149"/>
        <w:gridCol w:w="2746"/>
      </w:tblGrid>
      <w:tr w:rsidR="00DF17C6" w:rsidRPr="00DF17C6" w:rsidTr="00EC189B">
        <w:trPr>
          <w:cantSplit/>
          <w:trHeight w:val="354"/>
          <w:tblHeader/>
        </w:trPr>
        <w:tc>
          <w:tcPr>
            <w:tcW w:w="3149" w:type="dxa"/>
            <w:shd w:val="clear" w:color="auto" w:fill="EFEFEF"/>
          </w:tcPr>
          <w:p w:rsidR="00DF17C6" w:rsidRPr="00DF17C6" w:rsidRDefault="00DF17C6" w:rsidP="00EC189B">
            <w:pPr>
              <w:pStyle w:val="normal"/>
              <w:widowControl w:val="0"/>
              <w:tabs>
                <w:tab w:val="left" w:pos="9356"/>
              </w:tabs>
              <w:spacing w:before="64" w:after="0" w:line="240" w:lineRule="auto"/>
              <w:ind w:left="105"/>
              <w:rPr>
                <w:rFonts w:ascii="Athiti" w:eastAsia="Athiti" w:hAnsi="Athiti" w:cs="Athiti"/>
                <w:b/>
                <w:sz w:val="20"/>
                <w:szCs w:val="20"/>
                <w:lang w:val="cs-CZ"/>
              </w:rPr>
            </w:pPr>
            <w:r w:rsidRPr="00DF17C6">
              <w:rPr>
                <w:rFonts w:ascii="Athiti" w:eastAsia="Athiti" w:hAnsi="Athiti" w:cs="Athiti"/>
                <w:b/>
                <w:sz w:val="20"/>
                <w:szCs w:val="20"/>
                <w:lang w:val="cs-CZ"/>
              </w:rPr>
              <w:t>Verze:</w:t>
            </w:r>
          </w:p>
        </w:tc>
        <w:tc>
          <w:tcPr>
            <w:tcW w:w="2746" w:type="dxa"/>
          </w:tcPr>
          <w:p w:rsidR="00DF17C6" w:rsidRPr="00DF17C6" w:rsidRDefault="00DF17C6" w:rsidP="00EC189B">
            <w:pPr>
              <w:pStyle w:val="normal"/>
              <w:widowControl w:val="0"/>
              <w:tabs>
                <w:tab w:val="left" w:pos="9356"/>
              </w:tabs>
              <w:spacing w:before="71" w:after="0" w:line="240" w:lineRule="auto"/>
              <w:ind w:right="94"/>
              <w:rPr>
                <w:rFonts w:ascii="Athiti" w:eastAsia="Athiti" w:hAnsi="Athiti" w:cs="Athiti"/>
                <w:sz w:val="20"/>
                <w:szCs w:val="20"/>
                <w:lang w:val="cs-CZ"/>
              </w:rPr>
            </w:pPr>
            <w:r w:rsidRPr="00DF17C6">
              <w:rPr>
                <w:rFonts w:ascii="Athiti" w:eastAsia="Athiti" w:hAnsi="Athiti" w:cs="Athiti"/>
                <w:sz w:val="20"/>
                <w:szCs w:val="20"/>
                <w:lang w:val="cs-CZ"/>
              </w:rPr>
              <w:t>1.0</w:t>
            </w:r>
          </w:p>
        </w:tc>
      </w:tr>
      <w:tr w:rsidR="00DF17C6" w:rsidRPr="00DF17C6" w:rsidTr="00EC189B">
        <w:trPr>
          <w:cantSplit/>
          <w:trHeight w:val="354"/>
          <w:tblHeader/>
        </w:trPr>
        <w:tc>
          <w:tcPr>
            <w:tcW w:w="3149" w:type="dxa"/>
            <w:shd w:val="clear" w:color="auto" w:fill="EFEFEF"/>
          </w:tcPr>
          <w:p w:rsidR="00DF17C6" w:rsidRPr="00DF17C6" w:rsidRDefault="00DF17C6" w:rsidP="00EC189B">
            <w:pPr>
              <w:pStyle w:val="normal"/>
              <w:widowControl w:val="0"/>
              <w:tabs>
                <w:tab w:val="left" w:pos="9356"/>
              </w:tabs>
              <w:spacing w:before="64" w:after="0" w:line="240" w:lineRule="auto"/>
              <w:ind w:left="105"/>
              <w:rPr>
                <w:rFonts w:ascii="Athiti" w:eastAsia="Athiti" w:hAnsi="Athiti" w:cs="Athiti"/>
                <w:b/>
                <w:sz w:val="20"/>
                <w:szCs w:val="20"/>
                <w:lang w:val="cs-CZ"/>
              </w:rPr>
            </w:pPr>
            <w:r w:rsidRPr="00DF17C6">
              <w:rPr>
                <w:rFonts w:ascii="Athiti" w:eastAsia="Athiti" w:hAnsi="Athiti" w:cs="Athiti"/>
                <w:b/>
                <w:sz w:val="20"/>
                <w:szCs w:val="20"/>
                <w:lang w:val="cs-CZ"/>
              </w:rPr>
              <w:t>Schváleno dne:</w:t>
            </w:r>
          </w:p>
        </w:tc>
        <w:tc>
          <w:tcPr>
            <w:tcW w:w="2746" w:type="dxa"/>
          </w:tcPr>
          <w:p w:rsidR="00DF17C6" w:rsidRPr="00DF17C6" w:rsidRDefault="004E150B" w:rsidP="00EC189B">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r w:rsidR="00DF17C6" w:rsidRPr="00DF17C6" w:rsidTr="00EC189B">
        <w:trPr>
          <w:cantSplit/>
          <w:trHeight w:val="354"/>
          <w:tblHeader/>
        </w:trPr>
        <w:tc>
          <w:tcPr>
            <w:tcW w:w="3149" w:type="dxa"/>
            <w:shd w:val="clear" w:color="auto" w:fill="EFEFEF"/>
          </w:tcPr>
          <w:p w:rsidR="00DF17C6" w:rsidRPr="00DF17C6" w:rsidRDefault="00DF17C6" w:rsidP="00EC189B">
            <w:pPr>
              <w:pStyle w:val="normal"/>
              <w:widowControl w:val="0"/>
              <w:tabs>
                <w:tab w:val="left" w:pos="9356"/>
              </w:tabs>
              <w:spacing w:before="64" w:after="0" w:line="240" w:lineRule="auto"/>
              <w:ind w:left="105"/>
              <w:rPr>
                <w:rFonts w:ascii="Athiti" w:eastAsia="Athiti" w:hAnsi="Athiti" w:cs="Athiti"/>
                <w:b/>
                <w:sz w:val="20"/>
                <w:szCs w:val="20"/>
                <w:lang w:val="cs-CZ"/>
              </w:rPr>
            </w:pPr>
            <w:r w:rsidRPr="00DF17C6">
              <w:rPr>
                <w:rFonts w:ascii="Athiti" w:eastAsia="Athiti" w:hAnsi="Athiti" w:cs="Athiti"/>
                <w:b/>
                <w:sz w:val="20"/>
                <w:szCs w:val="20"/>
                <w:lang w:val="cs-CZ"/>
              </w:rPr>
              <w:t>Schváleno oddělením:</w:t>
            </w:r>
          </w:p>
        </w:tc>
        <w:tc>
          <w:tcPr>
            <w:tcW w:w="2746" w:type="dxa"/>
          </w:tcPr>
          <w:p w:rsidR="00DF17C6" w:rsidRPr="00DF17C6" w:rsidRDefault="00DF17C6" w:rsidP="00EC189B">
            <w:pPr>
              <w:pStyle w:val="normal"/>
              <w:widowControl w:val="0"/>
              <w:tabs>
                <w:tab w:val="left" w:pos="9356"/>
              </w:tabs>
              <w:spacing w:before="71" w:after="0" w:line="240" w:lineRule="auto"/>
              <w:ind w:right="94"/>
              <w:rPr>
                <w:rFonts w:ascii="Athiti" w:eastAsia="Athiti" w:hAnsi="Athiti" w:cs="Athiti"/>
                <w:sz w:val="20"/>
                <w:szCs w:val="20"/>
                <w:lang w:val="cs-CZ"/>
              </w:rPr>
            </w:pPr>
            <w:r w:rsidRPr="00DF17C6">
              <w:rPr>
                <w:rFonts w:ascii="Athiti" w:eastAsia="Athiti" w:hAnsi="Athiti" w:cs="Athiti"/>
                <w:sz w:val="20"/>
                <w:szCs w:val="20"/>
                <w:lang w:val="cs-CZ"/>
              </w:rPr>
              <w:t>Compliance</w:t>
            </w:r>
          </w:p>
        </w:tc>
      </w:tr>
      <w:tr w:rsidR="00DF17C6" w:rsidRPr="00DF17C6" w:rsidTr="00EC189B">
        <w:trPr>
          <w:cantSplit/>
          <w:trHeight w:val="354"/>
          <w:tblHeader/>
        </w:trPr>
        <w:tc>
          <w:tcPr>
            <w:tcW w:w="3149" w:type="dxa"/>
            <w:shd w:val="clear" w:color="auto" w:fill="EFEFEF"/>
          </w:tcPr>
          <w:p w:rsidR="00DF17C6" w:rsidRPr="00DF17C6" w:rsidRDefault="00DF17C6" w:rsidP="00EC189B">
            <w:pPr>
              <w:pStyle w:val="normal"/>
              <w:widowControl w:val="0"/>
              <w:tabs>
                <w:tab w:val="left" w:pos="9356"/>
              </w:tabs>
              <w:spacing w:before="64" w:after="0" w:line="240" w:lineRule="auto"/>
              <w:ind w:left="105"/>
              <w:rPr>
                <w:rFonts w:ascii="Athiti" w:eastAsia="Athiti" w:hAnsi="Athiti" w:cs="Athiti"/>
                <w:b/>
                <w:sz w:val="20"/>
                <w:szCs w:val="20"/>
                <w:lang w:val="cs-CZ"/>
              </w:rPr>
            </w:pPr>
            <w:r w:rsidRPr="00DF17C6">
              <w:rPr>
                <w:rFonts w:ascii="Athiti" w:eastAsia="Athiti" w:hAnsi="Athiti" w:cs="Athiti"/>
                <w:b/>
                <w:sz w:val="20"/>
                <w:szCs w:val="20"/>
                <w:lang w:val="cs-CZ"/>
              </w:rPr>
              <w:t>Naposledy aktualizováno:</w:t>
            </w:r>
          </w:p>
        </w:tc>
        <w:tc>
          <w:tcPr>
            <w:tcW w:w="2746" w:type="dxa"/>
          </w:tcPr>
          <w:p w:rsidR="00DF17C6" w:rsidRPr="00DF17C6" w:rsidRDefault="004E150B" w:rsidP="00EC189B">
            <w:pPr>
              <w:pStyle w:val="normal"/>
              <w:widowControl w:val="0"/>
              <w:tabs>
                <w:tab w:val="left" w:pos="9356"/>
              </w:tabs>
              <w:spacing w:before="71" w:after="0" w:line="240" w:lineRule="auto"/>
              <w:ind w:right="94"/>
              <w:rPr>
                <w:rFonts w:ascii="Athiti" w:eastAsia="Athiti" w:hAnsi="Athiti" w:cs="Athiti"/>
                <w:sz w:val="20"/>
                <w:szCs w:val="20"/>
                <w:lang w:val="cs-CZ"/>
              </w:rPr>
            </w:pPr>
            <w:r>
              <w:rPr>
                <w:rFonts w:ascii="Athiti" w:eastAsia="Athiti" w:hAnsi="Athiti" w:cs="Athiti"/>
                <w:sz w:val="20"/>
                <w:szCs w:val="20"/>
                <w:lang w:val="cs-CZ"/>
              </w:rPr>
              <w:t>25.07.2025</w:t>
            </w:r>
          </w:p>
        </w:tc>
      </w:tr>
    </w:tbl>
    <w:p w:rsidR="00DF17C6" w:rsidRPr="00DF17C6" w:rsidRDefault="00DF17C6" w:rsidP="00DF17C6">
      <w:pPr>
        <w:pStyle w:val="normal"/>
        <w:widowControl w:val="0"/>
        <w:tabs>
          <w:tab w:val="left" w:pos="9356"/>
        </w:tabs>
        <w:spacing w:before="6" w:after="0" w:line="240" w:lineRule="auto"/>
        <w:rPr>
          <w:rFonts w:ascii="Athiti" w:eastAsia="Athiti" w:hAnsi="Athiti" w:cs="Athiti"/>
          <w:sz w:val="18"/>
          <w:szCs w:val="18"/>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sz w:val="20"/>
          <w:szCs w:val="20"/>
          <w:lang w:val="cs-CZ"/>
        </w:rPr>
      </w:pPr>
    </w:p>
    <w:p w:rsidR="00DF17C6" w:rsidRPr="00DF17C6" w:rsidRDefault="00DF17C6" w:rsidP="00DF17C6">
      <w:pPr>
        <w:pStyle w:val="normal"/>
        <w:keepNext/>
        <w:keepLines/>
        <w:spacing w:before="360" w:after="240"/>
        <w:rPr>
          <w:rFonts w:ascii="Athiti" w:eastAsia="Athiti" w:hAnsi="Athiti" w:cs="Athiti"/>
          <w:b/>
          <w:sz w:val="22"/>
          <w:szCs w:val="22"/>
          <w:lang w:val="cs-CZ"/>
        </w:rPr>
      </w:pPr>
      <w:r w:rsidRPr="00DF17C6">
        <w:rPr>
          <w:rFonts w:ascii="Athiti" w:eastAsia="Athiti" w:hAnsi="Athiti" w:cs="Athiti"/>
          <w:b/>
          <w:sz w:val="36"/>
          <w:szCs w:val="36"/>
          <w:lang w:val="cs-CZ"/>
        </w:rPr>
        <w:t>Obsah</w:t>
      </w:r>
    </w:p>
    <w:sdt>
      <w:sdtPr>
        <w:rPr>
          <w:lang w:val="cs-CZ"/>
        </w:rPr>
        <w:id w:val="2085074234"/>
        <w:docPartObj>
          <w:docPartGallery w:val="Table of Contents"/>
          <w:docPartUnique/>
        </w:docPartObj>
      </w:sdtPr>
      <w:sdtContent>
        <w:p w:rsidR="00DF17C6" w:rsidRPr="00DF17C6" w:rsidRDefault="00C95E1B" w:rsidP="00DF17C6">
          <w:pPr>
            <w:pStyle w:val="normal"/>
            <w:widowControl w:val="0"/>
            <w:tabs>
              <w:tab w:val="right" w:leader="dot" w:pos="12000"/>
            </w:tabs>
            <w:spacing w:before="60" w:after="0" w:line="240" w:lineRule="auto"/>
            <w:jc w:val="left"/>
            <w:rPr>
              <w:rFonts w:ascii="Athiti" w:eastAsia="Athiti" w:hAnsi="Athiti" w:cs="Athiti"/>
              <w:b/>
              <w:color w:val="000000"/>
              <w:sz w:val="22"/>
              <w:szCs w:val="22"/>
              <w:lang w:val="cs-CZ"/>
            </w:rPr>
          </w:pPr>
          <w:r w:rsidRPr="00DF17C6">
            <w:rPr>
              <w:lang w:val="cs-CZ"/>
            </w:rPr>
            <w:fldChar w:fldCharType="begin"/>
          </w:r>
          <w:r w:rsidR="00DF17C6" w:rsidRPr="00DF17C6">
            <w:rPr>
              <w:lang w:val="cs-CZ"/>
            </w:rPr>
            <w:instrText xml:space="preserve"> TOC \h \u \z \t "Heading 1,1,Heading 2,2,Heading 3,3,Heading 4,4,Heading 5,5,Heading 6,6,"</w:instrText>
          </w:r>
          <w:r w:rsidRPr="00DF17C6">
            <w:rPr>
              <w:lang w:val="cs-CZ"/>
            </w:rPr>
            <w:fldChar w:fldCharType="separate"/>
          </w:r>
          <w:hyperlink w:anchor="_heading=h.wt28obxti9rb">
            <w:r w:rsidR="00DF17C6" w:rsidRPr="00DF17C6">
              <w:rPr>
                <w:rFonts w:ascii="Athiti" w:eastAsia="Athiti" w:hAnsi="Athiti" w:cs="Athiti"/>
                <w:b/>
                <w:color w:val="000000"/>
                <w:sz w:val="22"/>
                <w:szCs w:val="22"/>
                <w:lang w:val="cs-CZ"/>
              </w:rPr>
              <w:t>1. Účel</w:t>
            </w:r>
            <w:r w:rsidR="00DF17C6" w:rsidRPr="00DF17C6">
              <w:rPr>
                <w:rFonts w:ascii="Athiti" w:eastAsia="Athiti" w:hAnsi="Athiti" w:cs="Athiti"/>
                <w:b/>
                <w:color w:val="000000"/>
                <w:sz w:val="22"/>
                <w:szCs w:val="22"/>
                <w:lang w:val="cs-CZ"/>
              </w:rPr>
              <w:tab/>
              <w:t>4</w:t>
            </w:r>
          </w:hyperlink>
        </w:p>
        <w:p w:rsidR="00DF17C6" w:rsidRPr="00DF17C6" w:rsidRDefault="00C95E1B" w:rsidP="00DF17C6">
          <w:pPr>
            <w:pStyle w:val="normal"/>
            <w:widowControl w:val="0"/>
            <w:tabs>
              <w:tab w:val="right" w:leader="dot" w:pos="12000"/>
            </w:tabs>
            <w:spacing w:before="60" w:after="0" w:line="240" w:lineRule="auto"/>
            <w:jc w:val="left"/>
            <w:rPr>
              <w:rFonts w:ascii="Athiti" w:eastAsia="Athiti" w:hAnsi="Athiti" w:cs="Athiti"/>
              <w:b/>
              <w:color w:val="000000"/>
              <w:sz w:val="22"/>
              <w:szCs w:val="22"/>
              <w:lang w:val="cs-CZ"/>
            </w:rPr>
          </w:pPr>
          <w:hyperlink w:anchor="_heading=h.5n8svzb7w6iz">
            <w:r w:rsidR="00DF17C6" w:rsidRPr="00DF17C6">
              <w:rPr>
                <w:rFonts w:ascii="Athiti" w:eastAsia="Athiti" w:hAnsi="Athiti" w:cs="Athiti"/>
                <w:b/>
                <w:color w:val="000000"/>
                <w:sz w:val="22"/>
                <w:szCs w:val="22"/>
                <w:lang w:val="cs-CZ"/>
              </w:rPr>
              <w:t>2. Oddělení kryptoaktiv</w:t>
            </w:r>
            <w:r w:rsidR="00DF17C6" w:rsidRPr="00DF17C6">
              <w:rPr>
                <w:rFonts w:ascii="Athiti" w:eastAsia="Athiti" w:hAnsi="Athiti" w:cs="Athiti"/>
                <w:b/>
                <w:color w:val="000000"/>
                <w:sz w:val="22"/>
                <w:szCs w:val="22"/>
                <w:lang w:val="cs-CZ"/>
              </w:rPr>
              <w:tab/>
              <w:t>4</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86d2dmvfimfc">
            <w:r w:rsidR="00DF17C6" w:rsidRPr="00DF17C6">
              <w:rPr>
                <w:rFonts w:ascii="Athiti" w:eastAsia="Athiti" w:hAnsi="Athiti" w:cs="Athiti"/>
                <w:color w:val="000000"/>
                <w:sz w:val="22"/>
                <w:szCs w:val="22"/>
                <w:lang w:val="cs-CZ"/>
              </w:rPr>
              <w:t>2.1 Peněženky</w:t>
            </w:r>
            <w:r w:rsidR="00DF17C6" w:rsidRPr="00DF17C6">
              <w:rPr>
                <w:rFonts w:ascii="Athiti" w:eastAsia="Athiti" w:hAnsi="Athiti" w:cs="Athiti"/>
                <w:color w:val="000000"/>
                <w:sz w:val="22"/>
                <w:szCs w:val="22"/>
                <w:lang w:val="cs-CZ"/>
              </w:rPr>
              <w:tab/>
              <w:t>4</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1vlal9brcldm">
            <w:r w:rsidR="00DF17C6" w:rsidRPr="00DF17C6">
              <w:rPr>
                <w:rFonts w:ascii="Athiti" w:eastAsia="Athiti" w:hAnsi="Athiti" w:cs="Athiti"/>
                <w:color w:val="000000"/>
                <w:sz w:val="22"/>
                <w:szCs w:val="22"/>
                <w:lang w:val="cs-CZ"/>
              </w:rPr>
              <w:t>2.2 Označování transakcí a smíření</w:t>
            </w:r>
            <w:r w:rsidR="00DF17C6" w:rsidRPr="00DF17C6">
              <w:rPr>
                <w:rFonts w:ascii="Athiti" w:eastAsia="Athiti" w:hAnsi="Athiti" w:cs="Athiti"/>
                <w:color w:val="000000"/>
                <w:sz w:val="22"/>
                <w:szCs w:val="22"/>
                <w:lang w:val="cs-CZ"/>
              </w:rPr>
              <w:tab/>
              <w:t>5</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yl4cywnak497">
            <w:r w:rsidR="00DF17C6" w:rsidRPr="00DF17C6">
              <w:rPr>
                <w:rFonts w:ascii="Athiti" w:eastAsia="Athiti" w:hAnsi="Athiti" w:cs="Athiti"/>
                <w:color w:val="000000"/>
                <w:sz w:val="22"/>
                <w:szCs w:val="22"/>
                <w:lang w:val="cs-CZ"/>
              </w:rPr>
              <w:t>2.3 Externí úschova u třetích stran</w:t>
            </w:r>
            <w:r w:rsidR="00DF17C6" w:rsidRPr="00DF17C6">
              <w:rPr>
                <w:rFonts w:ascii="Athiti" w:eastAsia="Athiti" w:hAnsi="Athiti" w:cs="Athiti"/>
                <w:color w:val="000000"/>
                <w:sz w:val="22"/>
                <w:szCs w:val="22"/>
                <w:lang w:val="cs-CZ"/>
              </w:rPr>
              <w:tab/>
              <w:t>5</w:t>
            </w:r>
          </w:hyperlink>
        </w:p>
        <w:p w:rsidR="00DF17C6" w:rsidRPr="00DF17C6" w:rsidRDefault="00C95E1B" w:rsidP="00DF17C6">
          <w:pPr>
            <w:pStyle w:val="normal"/>
            <w:widowControl w:val="0"/>
            <w:tabs>
              <w:tab w:val="right" w:leader="dot" w:pos="12000"/>
            </w:tabs>
            <w:spacing w:before="60" w:after="0" w:line="240" w:lineRule="auto"/>
            <w:jc w:val="left"/>
            <w:rPr>
              <w:rFonts w:ascii="Athiti" w:eastAsia="Athiti" w:hAnsi="Athiti" w:cs="Athiti"/>
              <w:b/>
              <w:color w:val="000000"/>
              <w:sz w:val="22"/>
              <w:szCs w:val="22"/>
              <w:lang w:val="cs-CZ"/>
            </w:rPr>
          </w:pPr>
          <w:hyperlink w:anchor="_heading=h.1vg5b2ysi9hg">
            <w:r w:rsidR="00DF17C6" w:rsidRPr="00DF17C6">
              <w:rPr>
                <w:rFonts w:ascii="Athiti" w:eastAsia="Athiti" w:hAnsi="Athiti" w:cs="Athiti"/>
                <w:b/>
                <w:color w:val="000000"/>
                <w:sz w:val="22"/>
                <w:szCs w:val="22"/>
                <w:lang w:val="cs-CZ"/>
              </w:rPr>
              <w:t>3. Oddělení finančních prostředků (fiat měny)</w:t>
            </w:r>
            <w:r w:rsidR="00DF17C6" w:rsidRPr="00DF17C6">
              <w:rPr>
                <w:rFonts w:ascii="Athiti" w:eastAsia="Athiti" w:hAnsi="Athiti" w:cs="Athiti"/>
                <w:b/>
                <w:color w:val="000000"/>
                <w:sz w:val="22"/>
                <w:szCs w:val="22"/>
                <w:lang w:val="cs-CZ"/>
              </w:rPr>
              <w:tab/>
              <w:t>5</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whu61rb5ghz">
            <w:r w:rsidR="00DF17C6" w:rsidRPr="00DF17C6">
              <w:rPr>
                <w:rFonts w:ascii="Athiti" w:eastAsia="Athiti" w:hAnsi="Athiti" w:cs="Athiti"/>
                <w:color w:val="000000"/>
                <w:sz w:val="22"/>
                <w:szCs w:val="22"/>
                <w:lang w:val="cs-CZ"/>
              </w:rPr>
              <w:t>3.1 Vyhrazené účty klientů</w:t>
            </w:r>
            <w:r w:rsidR="00DF17C6" w:rsidRPr="00DF17C6">
              <w:rPr>
                <w:rFonts w:ascii="Athiti" w:eastAsia="Athiti" w:hAnsi="Athiti" w:cs="Athiti"/>
                <w:color w:val="000000"/>
                <w:sz w:val="22"/>
                <w:szCs w:val="22"/>
                <w:lang w:val="cs-CZ"/>
              </w:rPr>
              <w:tab/>
              <w:t>6</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auz344j126mb">
            <w:r w:rsidR="00DF17C6" w:rsidRPr="00DF17C6">
              <w:rPr>
                <w:rFonts w:ascii="Athiti" w:eastAsia="Athiti" w:hAnsi="Athiti" w:cs="Athiti"/>
                <w:color w:val="000000"/>
                <w:sz w:val="22"/>
                <w:szCs w:val="22"/>
                <w:lang w:val="cs-CZ"/>
              </w:rPr>
              <w:t>3.2 Zákaz zápočtu a zástavního práva</w:t>
            </w:r>
            <w:r w:rsidR="00DF17C6" w:rsidRPr="00DF17C6">
              <w:rPr>
                <w:rFonts w:ascii="Athiti" w:eastAsia="Athiti" w:hAnsi="Athiti" w:cs="Athiti"/>
                <w:color w:val="000000"/>
                <w:sz w:val="22"/>
                <w:szCs w:val="22"/>
                <w:lang w:val="cs-CZ"/>
              </w:rPr>
              <w:tab/>
              <w:t>6</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idj5mzwbi6lh">
            <w:r w:rsidR="00DF17C6" w:rsidRPr="00DF17C6">
              <w:rPr>
                <w:rFonts w:ascii="Athiti" w:eastAsia="Athiti" w:hAnsi="Athiti" w:cs="Athiti"/>
                <w:color w:val="000000"/>
                <w:sz w:val="22"/>
                <w:szCs w:val="22"/>
                <w:lang w:val="cs-CZ"/>
              </w:rPr>
              <w:t>3.3 Účetní zpracování</w:t>
            </w:r>
            <w:r w:rsidR="00DF17C6" w:rsidRPr="00DF17C6">
              <w:rPr>
                <w:rFonts w:ascii="Athiti" w:eastAsia="Athiti" w:hAnsi="Athiti" w:cs="Athiti"/>
                <w:color w:val="000000"/>
                <w:sz w:val="22"/>
                <w:szCs w:val="22"/>
                <w:lang w:val="cs-CZ"/>
              </w:rPr>
              <w:tab/>
              <w:t>6</w:t>
            </w:r>
          </w:hyperlink>
        </w:p>
        <w:p w:rsidR="00DF17C6" w:rsidRPr="00DF17C6" w:rsidRDefault="00C95E1B" w:rsidP="00DF17C6">
          <w:pPr>
            <w:pStyle w:val="normal"/>
            <w:widowControl w:val="0"/>
            <w:tabs>
              <w:tab w:val="right" w:leader="dot" w:pos="12000"/>
            </w:tabs>
            <w:spacing w:before="60" w:after="0" w:line="240" w:lineRule="auto"/>
            <w:jc w:val="left"/>
            <w:rPr>
              <w:rFonts w:ascii="Athiti" w:eastAsia="Athiti" w:hAnsi="Athiti" w:cs="Athiti"/>
              <w:b/>
              <w:color w:val="000000"/>
              <w:sz w:val="22"/>
              <w:szCs w:val="22"/>
              <w:lang w:val="cs-CZ"/>
            </w:rPr>
          </w:pPr>
          <w:hyperlink w:anchor="_heading=h.ta84p47ivezf">
            <w:r w:rsidR="00DF17C6" w:rsidRPr="00DF17C6">
              <w:rPr>
                <w:rFonts w:ascii="Athiti" w:eastAsia="Athiti" w:hAnsi="Athiti" w:cs="Athiti"/>
                <w:b/>
                <w:color w:val="000000"/>
                <w:sz w:val="22"/>
                <w:szCs w:val="22"/>
                <w:lang w:val="cs-CZ"/>
              </w:rPr>
              <w:t>4. Kontroly a monitoring</w:t>
            </w:r>
            <w:r w:rsidR="00DF17C6" w:rsidRPr="00DF17C6">
              <w:rPr>
                <w:rFonts w:ascii="Athiti" w:eastAsia="Athiti" w:hAnsi="Athiti" w:cs="Athiti"/>
                <w:b/>
                <w:color w:val="000000"/>
                <w:sz w:val="22"/>
                <w:szCs w:val="22"/>
                <w:lang w:val="cs-CZ"/>
              </w:rPr>
              <w:tab/>
              <w:t>7</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ivdh7pq3q3r6">
            <w:r w:rsidR="00DF17C6" w:rsidRPr="00DF17C6">
              <w:rPr>
                <w:rFonts w:ascii="Athiti" w:eastAsia="Athiti" w:hAnsi="Athiti" w:cs="Athiti"/>
                <w:color w:val="000000"/>
                <w:sz w:val="22"/>
                <w:szCs w:val="22"/>
                <w:lang w:val="cs-CZ"/>
              </w:rPr>
              <w:t>4.1 Řízení přístupu</w:t>
            </w:r>
            <w:r w:rsidR="00DF17C6" w:rsidRPr="00DF17C6">
              <w:rPr>
                <w:rFonts w:ascii="Athiti" w:eastAsia="Athiti" w:hAnsi="Athiti" w:cs="Athiti"/>
                <w:color w:val="000000"/>
                <w:sz w:val="22"/>
                <w:szCs w:val="22"/>
                <w:lang w:val="cs-CZ"/>
              </w:rPr>
              <w:tab/>
              <w:t>7</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7titex9sbzg3">
            <w:r w:rsidR="00DF17C6" w:rsidRPr="00DF17C6">
              <w:rPr>
                <w:rFonts w:ascii="Athiti" w:eastAsia="Athiti" w:hAnsi="Athiti" w:cs="Athiti"/>
                <w:color w:val="000000"/>
                <w:sz w:val="22"/>
                <w:szCs w:val="22"/>
                <w:lang w:val="cs-CZ"/>
              </w:rPr>
              <w:t>4.2 Denní smíření</w:t>
            </w:r>
            <w:r w:rsidR="00DF17C6" w:rsidRPr="00DF17C6">
              <w:rPr>
                <w:rFonts w:ascii="Athiti" w:eastAsia="Athiti" w:hAnsi="Athiti" w:cs="Athiti"/>
                <w:color w:val="000000"/>
                <w:sz w:val="22"/>
                <w:szCs w:val="22"/>
                <w:lang w:val="cs-CZ"/>
              </w:rPr>
              <w:tab/>
              <w:t>7</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2cu7hy8gkbwo">
            <w:r w:rsidR="00DF17C6" w:rsidRPr="00DF17C6">
              <w:rPr>
                <w:rFonts w:ascii="Athiti" w:eastAsia="Athiti" w:hAnsi="Athiti" w:cs="Athiti"/>
                <w:color w:val="000000"/>
                <w:sz w:val="22"/>
                <w:szCs w:val="22"/>
                <w:lang w:val="cs-CZ"/>
              </w:rPr>
              <w:t>4.3 Auditní stopa a reporting</w:t>
            </w:r>
            <w:r w:rsidR="00DF17C6" w:rsidRPr="00DF17C6">
              <w:rPr>
                <w:rFonts w:ascii="Athiti" w:eastAsia="Athiti" w:hAnsi="Athiti" w:cs="Athiti"/>
                <w:color w:val="000000"/>
                <w:sz w:val="22"/>
                <w:szCs w:val="22"/>
                <w:lang w:val="cs-CZ"/>
              </w:rPr>
              <w:tab/>
              <w:t>8</w:t>
            </w:r>
          </w:hyperlink>
        </w:p>
        <w:p w:rsidR="00DF17C6" w:rsidRPr="00DF17C6" w:rsidRDefault="00C95E1B" w:rsidP="00DF17C6">
          <w:pPr>
            <w:pStyle w:val="normal"/>
            <w:widowControl w:val="0"/>
            <w:tabs>
              <w:tab w:val="right" w:leader="dot" w:pos="12000"/>
            </w:tabs>
            <w:spacing w:before="60" w:after="0" w:line="240" w:lineRule="auto"/>
            <w:jc w:val="left"/>
            <w:rPr>
              <w:rFonts w:ascii="Athiti" w:eastAsia="Athiti" w:hAnsi="Athiti" w:cs="Athiti"/>
              <w:b/>
              <w:color w:val="000000"/>
              <w:sz w:val="22"/>
              <w:szCs w:val="22"/>
              <w:lang w:val="cs-CZ"/>
            </w:rPr>
          </w:pPr>
          <w:hyperlink w:anchor="_heading=h.sj1aymj5rfr1">
            <w:r w:rsidR="00DF17C6" w:rsidRPr="00DF17C6">
              <w:rPr>
                <w:rFonts w:ascii="Athiti" w:eastAsia="Athiti" w:hAnsi="Athiti" w:cs="Athiti"/>
                <w:b/>
                <w:color w:val="000000"/>
                <w:sz w:val="22"/>
                <w:szCs w:val="22"/>
                <w:lang w:val="cs-CZ"/>
              </w:rPr>
              <w:t>5. Informování klienta</w:t>
            </w:r>
            <w:r w:rsidR="00DF17C6" w:rsidRPr="00DF17C6">
              <w:rPr>
                <w:rFonts w:ascii="Athiti" w:eastAsia="Athiti" w:hAnsi="Athiti" w:cs="Athiti"/>
                <w:b/>
                <w:color w:val="000000"/>
                <w:sz w:val="22"/>
                <w:szCs w:val="22"/>
                <w:lang w:val="cs-CZ"/>
              </w:rPr>
              <w:tab/>
              <w:t>9</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akd2wzqvv4vg">
            <w:r w:rsidR="00DF17C6" w:rsidRPr="00DF17C6">
              <w:rPr>
                <w:rFonts w:ascii="Athiti" w:eastAsia="Athiti" w:hAnsi="Athiti" w:cs="Athiti"/>
                <w:color w:val="000000"/>
                <w:sz w:val="22"/>
                <w:szCs w:val="22"/>
                <w:lang w:val="cs-CZ"/>
              </w:rPr>
              <w:t>5.1 Struktura úschovy a typ peněženek</w:t>
            </w:r>
            <w:r w:rsidR="00DF17C6" w:rsidRPr="00DF17C6">
              <w:rPr>
                <w:rFonts w:ascii="Athiti" w:eastAsia="Athiti" w:hAnsi="Athiti" w:cs="Athiti"/>
                <w:color w:val="000000"/>
                <w:sz w:val="22"/>
                <w:szCs w:val="22"/>
                <w:lang w:val="cs-CZ"/>
              </w:rPr>
              <w:tab/>
              <w:t>9</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a1m8r1kcff5c">
            <w:r w:rsidR="00DF17C6" w:rsidRPr="00DF17C6">
              <w:rPr>
                <w:rFonts w:ascii="Athiti" w:eastAsia="Athiti" w:hAnsi="Athiti" w:cs="Athiti"/>
                <w:color w:val="000000"/>
                <w:sz w:val="22"/>
                <w:szCs w:val="22"/>
                <w:lang w:val="cs-CZ"/>
              </w:rPr>
              <w:t>5.2 Riziko nevrácení majetku v případě platební neschopnosti</w:t>
            </w:r>
            <w:r w:rsidR="00DF17C6" w:rsidRPr="00DF17C6">
              <w:rPr>
                <w:rFonts w:ascii="Athiti" w:eastAsia="Athiti" w:hAnsi="Athiti" w:cs="Athiti"/>
                <w:color w:val="000000"/>
                <w:sz w:val="22"/>
                <w:szCs w:val="22"/>
                <w:lang w:val="cs-CZ"/>
              </w:rPr>
              <w:tab/>
              <w:t>9</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5izyt14pz470">
            <w:r w:rsidR="00DF17C6" w:rsidRPr="00DF17C6">
              <w:rPr>
                <w:rFonts w:ascii="Athiti" w:eastAsia="Athiti" w:hAnsi="Athiti" w:cs="Athiti"/>
                <w:color w:val="000000"/>
                <w:sz w:val="22"/>
                <w:szCs w:val="22"/>
                <w:lang w:val="cs-CZ"/>
              </w:rPr>
              <w:t>5.3 Právní postavení klienta vůči drženým aktivům</w:t>
            </w:r>
            <w:r w:rsidR="00DF17C6" w:rsidRPr="00DF17C6">
              <w:rPr>
                <w:rFonts w:ascii="Athiti" w:eastAsia="Athiti" w:hAnsi="Athiti" w:cs="Athiti"/>
                <w:color w:val="000000"/>
                <w:sz w:val="22"/>
                <w:szCs w:val="22"/>
                <w:lang w:val="cs-CZ"/>
              </w:rPr>
              <w:tab/>
              <w:t>10</w:t>
            </w:r>
          </w:hyperlink>
        </w:p>
        <w:p w:rsidR="00DF17C6" w:rsidRPr="00DF17C6" w:rsidRDefault="00C95E1B" w:rsidP="00DF17C6">
          <w:pPr>
            <w:pStyle w:val="normal"/>
            <w:widowControl w:val="0"/>
            <w:tabs>
              <w:tab w:val="right" w:leader="dot" w:pos="12000"/>
            </w:tabs>
            <w:spacing w:before="60" w:after="0" w:line="240" w:lineRule="auto"/>
            <w:jc w:val="left"/>
            <w:rPr>
              <w:rFonts w:ascii="Athiti" w:eastAsia="Athiti" w:hAnsi="Athiti" w:cs="Athiti"/>
              <w:b/>
              <w:color w:val="000000"/>
              <w:sz w:val="22"/>
              <w:szCs w:val="22"/>
              <w:lang w:val="cs-CZ"/>
            </w:rPr>
          </w:pPr>
          <w:hyperlink w:anchor="_heading=h.uosf4ftdurrv">
            <w:r w:rsidR="00DF17C6" w:rsidRPr="00DF17C6">
              <w:rPr>
                <w:rFonts w:ascii="Athiti" w:eastAsia="Athiti" w:hAnsi="Athiti" w:cs="Athiti"/>
                <w:b/>
                <w:color w:val="000000"/>
                <w:sz w:val="22"/>
                <w:szCs w:val="22"/>
                <w:lang w:val="cs-CZ"/>
              </w:rPr>
              <w:t>6. Připravenost na insolvenční situace</w:t>
            </w:r>
            <w:r w:rsidR="00DF17C6" w:rsidRPr="00DF17C6">
              <w:rPr>
                <w:rFonts w:ascii="Athiti" w:eastAsia="Athiti" w:hAnsi="Athiti" w:cs="Athiti"/>
                <w:b/>
                <w:color w:val="000000"/>
                <w:sz w:val="22"/>
                <w:szCs w:val="22"/>
                <w:lang w:val="cs-CZ"/>
              </w:rPr>
              <w:tab/>
              <w:t>10</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xroph1awu0tg">
            <w:r w:rsidR="00DF17C6" w:rsidRPr="00DF17C6">
              <w:rPr>
                <w:rFonts w:ascii="Athiti" w:eastAsia="Athiti" w:hAnsi="Athiti" w:cs="Athiti"/>
                <w:color w:val="000000"/>
                <w:sz w:val="22"/>
                <w:szCs w:val="22"/>
                <w:lang w:val="cs-CZ"/>
              </w:rPr>
              <w:t>6.1 Sledovatelnost aktiv a oddělené záznamy</w:t>
            </w:r>
            <w:r w:rsidR="00DF17C6" w:rsidRPr="00DF17C6">
              <w:rPr>
                <w:rFonts w:ascii="Athiti" w:eastAsia="Athiti" w:hAnsi="Athiti" w:cs="Athiti"/>
                <w:color w:val="000000"/>
                <w:sz w:val="22"/>
                <w:szCs w:val="22"/>
                <w:lang w:val="cs-CZ"/>
              </w:rPr>
              <w:tab/>
              <w:t>10</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2khi93hv8aon">
            <w:r w:rsidR="00DF17C6" w:rsidRPr="00DF17C6">
              <w:rPr>
                <w:rFonts w:ascii="Athiti" w:eastAsia="Athiti" w:hAnsi="Athiti" w:cs="Athiti"/>
                <w:color w:val="000000"/>
                <w:sz w:val="22"/>
                <w:szCs w:val="22"/>
                <w:lang w:val="cs-CZ"/>
              </w:rPr>
              <w:t>6.2 Zajištění kontinuity úschovy</w:t>
            </w:r>
            <w:r w:rsidR="00DF17C6" w:rsidRPr="00DF17C6">
              <w:rPr>
                <w:rFonts w:ascii="Athiti" w:eastAsia="Athiti" w:hAnsi="Athiti" w:cs="Athiti"/>
                <w:color w:val="000000"/>
                <w:sz w:val="22"/>
                <w:szCs w:val="22"/>
                <w:lang w:val="cs-CZ"/>
              </w:rPr>
              <w:tab/>
              <w:t>10</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x51cvoj4srvw">
            <w:r w:rsidR="00DF17C6" w:rsidRPr="00DF17C6">
              <w:rPr>
                <w:rFonts w:ascii="Athiti" w:eastAsia="Athiti" w:hAnsi="Athiti" w:cs="Athiti"/>
                <w:color w:val="000000"/>
                <w:sz w:val="22"/>
                <w:szCs w:val="22"/>
                <w:lang w:val="cs-CZ"/>
              </w:rPr>
              <w:t>6.3 Plány obnovy a řešení (RRP)</w:t>
            </w:r>
            <w:r w:rsidR="00DF17C6" w:rsidRPr="00DF17C6">
              <w:rPr>
                <w:rFonts w:ascii="Athiti" w:eastAsia="Athiti" w:hAnsi="Athiti" w:cs="Athiti"/>
                <w:color w:val="000000"/>
                <w:sz w:val="22"/>
                <w:szCs w:val="22"/>
                <w:lang w:val="cs-CZ"/>
              </w:rPr>
              <w:tab/>
              <w:t>11</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h08nitzfxdxj">
            <w:r w:rsidR="00DF17C6" w:rsidRPr="00DF17C6">
              <w:rPr>
                <w:rFonts w:ascii="Athiti" w:eastAsia="Athiti" w:hAnsi="Athiti" w:cs="Athiti"/>
                <w:color w:val="000000"/>
                <w:sz w:val="22"/>
                <w:szCs w:val="22"/>
                <w:lang w:val="cs-CZ"/>
              </w:rPr>
              <w:t>6.4 Právní nástroje ochrany aktiv</w:t>
            </w:r>
            <w:r w:rsidR="00DF17C6" w:rsidRPr="00DF17C6">
              <w:rPr>
                <w:rFonts w:ascii="Athiti" w:eastAsia="Athiti" w:hAnsi="Athiti" w:cs="Athiti"/>
                <w:color w:val="000000"/>
                <w:sz w:val="22"/>
                <w:szCs w:val="22"/>
                <w:lang w:val="cs-CZ"/>
              </w:rPr>
              <w:tab/>
              <w:t>11</w:t>
            </w:r>
          </w:hyperlink>
        </w:p>
        <w:p w:rsidR="00DF17C6" w:rsidRPr="00DF17C6" w:rsidRDefault="00C95E1B" w:rsidP="00DF17C6">
          <w:pPr>
            <w:pStyle w:val="normal"/>
            <w:widowControl w:val="0"/>
            <w:tabs>
              <w:tab w:val="right" w:leader="dot" w:pos="12000"/>
            </w:tabs>
            <w:spacing w:before="60" w:after="0" w:line="240" w:lineRule="auto"/>
            <w:ind w:left="360"/>
            <w:jc w:val="left"/>
            <w:rPr>
              <w:rFonts w:ascii="Athiti" w:eastAsia="Athiti" w:hAnsi="Athiti" w:cs="Athiti"/>
              <w:color w:val="000000"/>
              <w:sz w:val="22"/>
              <w:szCs w:val="22"/>
              <w:lang w:val="cs-CZ"/>
            </w:rPr>
          </w:pPr>
          <w:hyperlink w:anchor="_heading=h.n5jpkbwd9kzf">
            <w:r w:rsidR="00DF17C6" w:rsidRPr="00DF17C6">
              <w:rPr>
                <w:rFonts w:ascii="Athiti" w:eastAsia="Athiti" w:hAnsi="Athiti" w:cs="Athiti"/>
                <w:color w:val="000000"/>
                <w:sz w:val="22"/>
                <w:szCs w:val="22"/>
                <w:lang w:val="cs-CZ"/>
              </w:rPr>
              <w:t>6.5 Oznámení a komunikace s klienty</w:t>
            </w:r>
            <w:r w:rsidR="00DF17C6" w:rsidRPr="00DF17C6">
              <w:rPr>
                <w:rFonts w:ascii="Athiti" w:eastAsia="Athiti" w:hAnsi="Athiti" w:cs="Athiti"/>
                <w:color w:val="000000"/>
                <w:sz w:val="22"/>
                <w:szCs w:val="22"/>
                <w:lang w:val="cs-CZ"/>
              </w:rPr>
              <w:tab/>
              <w:t>11</w:t>
            </w:r>
          </w:hyperlink>
          <w:r w:rsidRPr="00DF17C6">
            <w:rPr>
              <w:lang w:val="cs-CZ"/>
            </w:rPr>
            <w:fldChar w:fldCharType="end"/>
          </w:r>
        </w:p>
      </w:sdtContent>
    </w:sdt>
    <w:p w:rsidR="00DF17C6" w:rsidRPr="00DF17C6" w:rsidRDefault="00DF17C6" w:rsidP="00DF17C6">
      <w:pPr>
        <w:pStyle w:val="normal"/>
        <w:spacing w:before="240" w:after="240"/>
        <w:rPr>
          <w:rFonts w:ascii="Athiti" w:eastAsia="Athiti" w:hAnsi="Athiti" w:cs="Athiti"/>
          <w:sz w:val="22"/>
          <w:szCs w:val="22"/>
          <w:lang w:val="cs-CZ"/>
        </w:rPr>
      </w:pPr>
    </w:p>
    <w:p w:rsidR="00DF17C6" w:rsidRPr="00DF17C6" w:rsidRDefault="00DF17C6" w:rsidP="00DF17C6">
      <w:pPr>
        <w:pStyle w:val="normal"/>
        <w:spacing w:before="240" w:after="240"/>
        <w:rPr>
          <w:rFonts w:ascii="Athiti" w:eastAsia="Athiti" w:hAnsi="Athiti" w:cs="Athiti"/>
          <w:sz w:val="22"/>
          <w:szCs w:val="22"/>
          <w:lang w:val="cs-CZ"/>
        </w:rPr>
      </w:pPr>
    </w:p>
    <w:p w:rsidR="00DF17C6" w:rsidRPr="00DF17C6" w:rsidRDefault="00DF17C6" w:rsidP="00DF17C6">
      <w:pPr>
        <w:pStyle w:val="normal"/>
        <w:spacing w:before="240" w:after="240"/>
        <w:rPr>
          <w:rFonts w:ascii="Athiti" w:eastAsia="Athiti" w:hAnsi="Athiti" w:cs="Athiti"/>
          <w:sz w:val="22"/>
          <w:szCs w:val="22"/>
          <w:lang w:val="cs-CZ"/>
        </w:rPr>
      </w:pPr>
    </w:p>
    <w:tbl>
      <w:tblPr>
        <w:tblW w:w="9360" w:type="dxa"/>
        <w:tblBorders>
          <w:top w:val="single" w:sz="4" w:space="0" w:color="FF9900"/>
          <w:left w:val="single" w:sz="4" w:space="0" w:color="FF9900"/>
          <w:bottom w:val="single" w:sz="4" w:space="0" w:color="FF9900"/>
          <w:right w:val="single" w:sz="4" w:space="0" w:color="FF9900"/>
          <w:insideH w:val="single" w:sz="4" w:space="0" w:color="FF9900"/>
          <w:insideV w:val="single" w:sz="4" w:space="0" w:color="FF9900"/>
        </w:tblBorders>
        <w:tblLayout w:type="fixed"/>
        <w:tblLook w:val="0600"/>
      </w:tblPr>
      <w:tblGrid>
        <w:gridCol w:w="3483"/>
        <w:gridCol w:w="5877"/>
      </w:tblGrid>
      <w:tr w:rsidR="00DF17C6" w:rsidRPr="00DF17C6" w:rsidTr="00EC189B">
        <w:trPr>
          <w:cantSplit/>
          <w:trHeight w:val="51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Pojem</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Definice</w:t>
            </w:r>
          </w:p>
        </w:tc>
      </w:tr>
      <w:tr w:rsidR="00DF17C6" w:rsidRPr="00DF17C6" w:rsidTr="00EC189B">
        <w:trPr>
          <w:cantSplit/>
          <w:trHeight w:val="1070"/>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CASP</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Poskytovatel služeb v oblasti kryptoaktiv – subjekt, který poskytuje úschovu nebo související služby týkající se kryptoaktiv a/nebo fiat měn klientů.</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Oddělení (Segregation)</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Proces oddělení majetku klientů od majetku CASP a majetku ostatních klientů.</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Fiat měny (Fiat Funds)</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Tradiční státem vydaná měna (např. EUR, CZK) držená ve prospěch klientů.</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Kryptoaktiva (Crypto-assets)</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Digitální aktiva, jako jsou kryptoměny, držená v peněženkách ve správě CASP.</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Peněženka (Wallet)</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Blockchainová adresa nebo úložiště používané k držení kryptoaktiv.</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Hromadná peněženka (Omnibus Wallet)</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Jedna peněženka, která obsahuje aktiva více klientů, s interním vedením evidence pro jejich oddělení.</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Individuálně oddělená peněženka (Individually Segregated Wallet)</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Peněženka přiřazená konkrétnímu klientovi, která drží pouze jeho aktiva.</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Třetí strana – depozitář (Third-party Custodian)</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Externí regulovaný subjekt pověřený CASP k držení klientských kryptoaktiv.</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Smíření (Reconciliation)</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Proces porovnávání záznamů (např. blockchain nebo bankovní účty) s interními účetními knihami za účelem zajištění správnosti.</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lastRenderedPageBreak/>
              <w:t>Auditní stopa (Audit Trail)</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Bezpečný, chronologický záznam systémových činností a transakcí.</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Řízení přístupu (Access Control)</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Bezpečnostní opatření omezující přístup k systémům a prostředkům pouze oprávněným osobám.</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Účet klientských prostředků (Client Funds Account)</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Oddělený bankovní účet určený výhradně pro držení fiat prostředků klientů.</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Zápočet pohledávek (Set-off Right)</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Právní nárok banky na započtení klientských prostředků proti dluhům – podle této politiky zakázáno.</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Plán obnovy a řešení krizí (Recovery and Resolution Plan, RRP)</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Dokumentovaná strategie popisující kroky k obnovení provozu nebo vrácení aktiv v případě selhání.</w:t>
            </w:r>
          </w:p>
        </w:tc>
      </w:tr>
      <w:tr w:rsidR="00DF17C6" w:rsidRPr="00DF17C6" w:rsidTr="00EC189B">
        <w:trPr>
          <w:cantSplit/>
          <w:trHeight w:val="1070"/>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Plán kontinuity provozu a obnovy po havárii (BCP/DRP)</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Plány pro zajištění nepřerušeného poskytování služeb úschovy během výpadků nebo mimořádných událostí.</w:t>
            </w:r>
          </w:p>
        </w:tc>
      </w:tr>
      <w:tr w:rsidR="00DF17C6" w:rsidRPr="00DF17C6" w:rsidTr="00EC189B">
        <w:trPr>
          <w:cantSplit/>
          <w:trHeight w:val="51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KYC (Know Your Customer)</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Proces ověřování identity klienta.</w:t>
            </w:r>
          </w:p>
        </w:tc>
      </w:tr>
      <w:tr w:rsidR="00DF17C6" w:rsidRPr="00DF17C6" w:rsidTr="00EC189B">
        <w:trPr>
          <w:cantSplit/>
          <w:trHeight w:val="1070"/>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DORA</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Nařízení o digitální provozní odolnosti – předpis EU upravující řízení ICT rizik a provozní kontinuitu.</w:t>
            </w:r>
          </w:p>
        </w:tc>
      </w:tr>
      <w:tr w:rsidR="00DF17C6" w:rsidRPr="00DF17C6" w:rsidTr="00EC189B">
        <w:trPr>
          <w:cantSplit/>
          <w:trHeight w:val="785"/>
          <w:tblHeader/>
        </w:trPr>
        <w:tc>
          <w:tcPr>
            <w:tcW w:w="3483"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b/>
                <w:sz w:val="22"/>
                <w:szCs w:val="22"/>
                <w:lang w:val="cs-CZ"/>
              </w:rPr>
              <w:t>MiCA</w:t>
            </w:r>
          </w:p>
        </w:tc>
        <w:tc>
          <w:tcPr>
            <w:tcW w:w="5876" w:type="dxa"/>
            <w:tcBorders>
              <w:top w:val="single" w:sz="4" w:space="0" w:color="FF9900"/>
              <w:left w:val="single" w:sz="4" w:space="0" w:color="FF9900"/>
              <w:bottom w:val="single" w:sz="4" w:space="0" w:color="FF9900"/>
              <w:right w:val="single" w:sz="4" w:space="0" w:color="FF9900"/>
            </w:tcBorders>
            <w:tcMar>
              <w:top w:w="100" w:type="dxa"/>
              <w:left w:w="100" w:type="dxa"/>
              <w:bottom w:w="100" w:type="dxa"/>
              <w:right w:w="100" w:type="dxa"/>
            </w:tcMar>
          </w:tcPr>
          <w:p w:rsidR="00DF17C6" w:rsidRPr="00DF17C6" w:rsidRDefault="00DF17C6" w:rsidP="00EC189B">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Nařízení o trzích s kryptoaktivy – právní rámec EU upravující poskytovatele služeb v oblasti kryptoaktiv.</w:t>
            </w:r>
          </w:p>
        </w:tc>
      </w:tr>
    </w:tbl>
    <w:p w:rsidR="00DF17C6" w:rsidRPr="00DF17C6" w:rsidRDefault="00DF17C6" w:rsidP="00DF17C6">
      <w:pPr>
        <w:pStyle w:val="Nadpis3"/>
        <w:keepNext w:val="0"/>
        <w:keepLines w:val="0"/>
        <w:spacing w:before="280" w:after="80"/>
        <w:ind w:left="720"/>
        <w:rPr>
          <w:rFonts w:ascii="Athiti" w:eastAsia="Athiti" w:hAnsi="Athiti" w:cs="Athiti"/>
          <w:b/>
          <w:sz w:val="26"/>
          <w:szCs w:val="26"/>
          <w:lang w:val="cs-CZ"/>
        </w:rPr>
      </w:pPr>
      <w:bookmarkStart w:id="9" w:name="_heading=h.wt28obxti9rb" w:colFirst="0" w:colLast="0"/>
      <w:bookmarkEnd w:id="9"/>
      <w:r w:rsidRPr="00DF17C6">
        <w:rPr>
          <w:rFonts w:ascii="Athiti" w:eastAsia="Athiti" w:hAnsi="Athiti" w:cs="Athiti"/>
          <w:b/>
          <w:sz w:val="26"/>
          <w:szCs w:val="26"/>
          <w:lang w:val="cs-CZ"/>
        </w:rPr>
        <w:t>1. Účel</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Cílem tohoto postupu je nastavit pevný rámec pro oddělení kryptoaktiv a fiat měn držených klienty od majetk</w:t>
      </w:r>
      <w:r w:rsidR="004E150B">
        <w:rPr>
          <w:rFonts w:ascii="Athiti" w:eastAsia="Athiti" w:hAnsi="Athiti" w:cs="Athiti"/>
          <w:sz w:val="22"/>
          <w:szCs w:val="22"/>
          <w:lang w:val="cs-CZ"/>
        </w:rPr>
        <w:t>u společnosti ZMAN – KESEF s.r.o.</w:t>
      </w:r>
      <w:r w:rsidRPr="00DF17C6">
        <w:rPr>
          <w:rFonts w:ascii="Athiti" w:eastAsia="Athiti" w:hAnsi="Athiti" w:cs="Athiti"/>
          <w:sz w:val="22"/>
          <w:szCs w:val="22"/>
          <w:lang w:val="cs-CZ"/>
        </w:rPr>
        <w:t xml:space="preserve"> (dále jen „CASP“), a to jak od jejího vlastního majetku, tak od majetku ostatních klientů. Toto oddělení má za cíl chránit majetek klientů před zneužitím, zastavením či jiným zatížením ze strany CASP, zajistit jednoznačnou identifikaci a rychlé navrácení klientského majetku v případě úpadku či řešení krize společnosti, zachovat důvěru klientů a naplnit povinnosti vyplývající z čl. 62 odst. 2 písm. k) nařízení (EU) 2023/1114 (MiCA) o trzích s kryptoaktivy. Dále podporuje principy </w:t>
      </w:r>
      <w:r w:rsidRPr="00DF17C6">
        <w:rPr>
          <w:rFonts w:ascii="Athiti" w:eastAsia="Athiti" w:hAnsi="Athiti" w:cs="Athiti"/>
          <w:sz w:val="22"/>
          <w:szCs w:val="22"/>
          <w:lang w:val="cs-CZ"/>
        </w:rPr>
        <w:lastRenderedPageBreak/>
        <w:t>transparentnosti, odpovědnosti a provozní odolnosti při správě klientského majetku. Tento postup se vztahuje na všechny obchodní aktivity společnosti, které zahrnují úschovu nebo kontrolu nad kryptoaktivy či fiat měnami klientů, a to jak při přímém poskytování služeb, tak i prostřednictvím třetích stran.</w:t>
      </w:r>
    </w:p>
    <w:p w:rsidR="00DF17C6" w:rsidRPr="00DF17C6" w:rsidRDefault="00DF17C6" w:rsidP="00DF17C6">
      <w:pPr>
        <w:pStyle w:val="Nadpis3"/>
        <w:keepNext w:val="0"/>
        <w:keepLines w:val="0"/>
        <w:spacing w:before="280" w:after="80"/>
        <w:ind w:left="720"/>
        <w:rPr>
          <w:rFonts w:ascii="Athiti" w:eastAsia="Athiti" w:hAnsi="Athiti" w:cs="Athiti"/>
          <w:b/>
          <w:sz w:val="26"/>
          <w:szCs w:val="26"/>
          <w:lang w:val="cs-CZ"/>
        </w:rPr>
      </w:pPr>
      <w:bookmarkStart w:id="10" w:name="_heading=h.5n8svzb7w6iz" w:colFirst="0" w:colLast="0"/>
      <w:bookmarkEnd w:id="10"/>
      <w:r w:rsidRPr="00DF17C6">
        <w:rPr>
          <w:rFonts w:ascii="Athiti" w:eastAsia="Athiti" w:hAnsi="Athiti" w:cs="Athiti"/>
          <w:b/>
          <w:sz w:val="26"/>
          <w:szCs w:val="26"/>
          <w:lang w:val="cs-CZ"/>
        </w:rPr>
        <w:t>2. Oddělení kryptoaktiv</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11" w:name="_heading=h.86d2dmvfimfc" w:colFirst="0" w:colLast="0"/>
      <w:bookmarkEnd w:id="11"/>
      <w:r w:rsidRPr="00DF17C6">
        <w:rPr>
          <w:rFonts w:ascii="Athiti" w:eastAsia="Athiti" w:hAnsi="Athiti" w:cs="Athiti"/>
          <w:sz w:val="22"/>
          <w:szCs w:val="22"/>
          <w:lang w:val="cs-CZ"/>
        </w:rPr>
        <w:t>2.1 Peněženky</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využívá architekturu peněženek zajišťující logické nebo fyzické oddělení majetku jednotlivých klientů. Každému klientovi je přiřazena buď samostatná adresa (nebo sada adres) pod správou CASP, nebo je zařazen do struktury podúčtů v rámci hromadné peněženky, kde je oddělení zajištěno pomocí interní evidence. Peněženky jsou spravovány prostřednictvím podnikových nástrojů pro správu kryptografických klíčů, zejména HSM modulů, MPC technologií nebo specializovaných platforem třetích stran. Každá peněženka je interně propojena s klientským profilem pomocí metadat obsahujících identifikátor klienta, typ aktiva, časové údaje o vkladech a výběrech a auditní záznamy o pohybech. Provozní efektivitu a řízení rizik zajišťuje CASP rozdělením úschovy do vrstev (hot, warm, cold), přičemž zásada oddělení je zachována ve všech vrstvách.</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12" w:name="_heading=h.1vlal9brcldm" w:colFirst="0" w:colLast="0"/>
      <w:bookmarkEnd w:id="12"/>
      <w:r w:rsidRPr="00DF17C6">
        <w:rPr>
          <w:rFonts w:ascii="Athiti" w:eastAsia="Athiti" w:hAnsi="Athiti" w:cs="Athiti"/>
          <w:sz w:val="22"/>
          <w:szCs w:val="22"/>
          <w:lang w:val="cs-CZ"/>
        </w:rPr>
        <w:t>2.2 Označování transakcí a smíření</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Každá blockchainová transakce, ať už jde o vklad, výběr nebo interní převod, je označena a propojena s účetním systémem společnosti. Tím je zajištěna dohledatelnost a přesná návaznost mezi záznamy na blockchainu, klientskou evidencí zůstatků a provozními informacemi, včetně údajů o identitě (KYC) a původu prostředků. Denně je prováděna automatizovaná smíření mezi zůstatky peněženek na blockchainu a interní evidencí, a to po jednotlivých aktivech a klientech. Doplňkově probíhají týdenní a měsíční kontroly ze strany finančního nebo provozního týmu. Veškeré zjištěné nesrovnalosti jsou neprodleně eskalovány a šetřeny dle Postupu pro řízení incidentů. Auditní stopa všech transakcí je uchovávána minimálně po dobu 5 let.</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13" w:name="_heading=h.yl4cywnak497" w:colFirst="0" w:colLast="0"/>
      <w:bookmarkEnd w:id="13"/>
      <w:r w:rsidRPr="00DF17C6">
        <w:rPr>
          <w:rFonts w:ascii="Athiti" w:eastAsia="Athiti" w:hAnsi="Athiti" w:cs="Athiti"/>
          <w:sz w:val="22"/>
          <w:szCs w:val="22"/>
          <w:lang w:val="cs-CZ"/>
        </w:rPr>
        <w:t>2.3 Externí úschova u třetích stran</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Pokud CASP využívá licencovaného externího depozitáře, např. poskytovatele úschovy kryptoaktiv, trustovou společnost nebo institucionální platformu, musí být smluvně zajištěno, že nedochází ke slučování klientských aktiv s aktivy depozitáře, že klientská aktiva nejsou opětovně využívána (rehypotekována) a že na ně nejsou uvalována zástavní práva. Depozitář vystupuje jako správce nebo tzv. „bare trustee“ výhradně ve prospěch klienta (nebo CASP jako zástupce) a je povinen vést podrobnou evidenci na úrovni podúčtů nebo peněženek za každého jednotlivého klienta. CASP si vymínuje právo na nezávislý audit těchto systémů. Společnost pravidelně přezkoumává provozní kontrolní mechanismy depozitáře, jeho certifikace (např. SOC 2, ISO 27001) a finanční stabilitu. Součástí interních opatření je i krizový plán pro případ ukončení spolupráce, který zahrnuje postupy pro převedení peněženek a zajištění rychlého vrácení klientských aktiv.</w:t>
      </w:r>
    </w:p>
    <w:p w:rsidR="00DF17C6" w:rsidRPr="00DF17C6" w:rsidRDefault="00DF17C6" w:rsidP="00DF17C6">
      <w:pPr>
        <w:pStyle w:val="Nadpis3"/>
        <w:keepNext w:val="0"/>
        <w:keepLines w:val="0"/>
        <w:spacing w:before="280" w:after="80"/>
        <w:ind w:left="720"/>
        <w:rPr>
          <w:rFonts w:ascii="Athiti" w:eastAsia="Athiti" w:hAnsi="Athiti" w:cs="Athiti"/>
          <w:b/>
          <w:sz w:val="26"/>
          <w:szCs w:val="26"/>
          <w:lang w:val="cs-CZ"/>
        </w:rPr>
      </w:pPr>
      <w:bookmarkStart w:id="14" w:name="_heading=h.1vg5b2ysi9hg" w:colFirst="0" w:colLast="0"/>
      <w:bookmarkEnd w:id="14"/>
      <w:r w:rsidRPr="00DF17C6">
        <w:rPr>
          <w:rFonts w:ascii="Athiti" w:eastAsia="Athiti" w:hAnsi="Athiti" w:cs="Athiti"/>
          <w:b/>
          <w:sz w:val="26"/>
          <w:szCs w:val="26"/>
          <w:lang w:val="cs-CZ"/>
        </w:rPr>
        <w:t>3. Oddělení finančních prostředků (fiat měny)</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15" w:name="_heading=h.whu61rb5ghz" w:colFirst="0" w:colLast="0"/>
      <w:bookmarkEnd w:id="15"/>
      <w:r w:rsidRPr="00DF17C6">
        <w:rPr>
          <w:rFonts w:ascii="Athiti" w:eastAsia="Athiti" w:hAnsi="Athiti" w:cs="Athiti"/>
          <w:sz w:val="22"/>
          <w:szCs w:val="22"/>
          <w:lang w:val="cs-CZ"/>
        </w:rPr>
        <w:t>3.1 Vyhrazené účty klientů</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 xml:space="preserve">Veškeré fiat měny přijaté od klientů za účelem transakcí s kryptoaktivy, služeb úschovy nebo doplňkových služeb jsou ukládány na oddělené bankovní účty vedené u licencovaných úvěrových nebo platebních institucí se sídlem v EU. Tyto účty jsou otevřeny buď na jméno CASP s jasným označením „Účet klientských prostředků“ (či ekvivalentním názvem), nebo – pokud to provozní model umožňuje – přímo na jméno </w:t>
      </w:r>
      <w:r w:rsidRPr="00DF17C6">
        <w:rPr>
          <w:rFonts w:ascii="Athiti" w:eastAsia="Athiti" w:hAnsi="Athiti" w:cs="Athiti"/>
          <w:sz w:val="22"/>
          <w:szCs w:val="22"/>
          <w:lang w:val="cs-CZ"/>
        </w:rPr>
        <w:lastRenderedPageBreak/>
        <w:t>klienta, přičemž CASP zde vystupuje jako oprávněný provozovatel nebo zprostředkovatel. Názvy účtů i způsob jejich evidence v účetním systému společnosti zajišťují jednoznačné oddělení od provozních a pokladních účtů CASP, které slouží výhradně k vedení vlastních výnosů, nákladů a kapitálových operací. V závislosti na objemu a složitosti obchodního modelu může být veden samostatný účet podle měny (např. EUR, CZK, USD) nebo podle jednotlivých klientů. CASP současně udržuje v reálném čase interní účetní knihu, která každému příchozímu a odchozímu převodu přiřazuje konkrétního klienta, včetně údajů o původu platby, účelu transakce a identitě klienta dle KYC.</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16" w:name="_heading=h.auz344j126mb" w:colFirst="0" w:colLast="0"/>
      <w:bookmarkEnd w:id="16"/>
      <w:r w:rsidRPr="00DF17C6">
        <w:rPr>
          <w:rFonts w:ascii="Athiti" w:eastAsia="Athiti" w:hAnsi="Athiti" w:cs="Athiti"/>
          <w:sz w:val="22"/>
          <w:szCs w:val="22"/>
          <w:lang w:val="cs-CZ"/>
        </w:rPr>
        <w:t>3.2 Zákaz zápočtu a zástavního práva</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sjednává s bankami a poskytovateli platebních služeb smluvní ujednání, která výslovně zakazují jakékoli uplatnění práva na zápočet, protinárok, zástavu nebo jiné zajišťovací právo k účtu klientských prostředků ve vztahu k dluhům, přečerpání nebo závazkům CASP. Dotčená finanční instituce je povinna smluvně uznat a zacházet s těmito prostředky jako s majetkem klientů, drženým ve prospěch třetích osob, nikoliv jako s aktivy CASP. Kopie těchto ujednání jsou archivovány v rámci dokumentace z prověrky dodavatelů a jsou minimálně jednou ročně přezkoumávány. V jurisdikcích, kde zákonná ochrana klientských prostředků není automaticky uznávána, CASP využívá dodatečná právní opatření, například zvláštní smluvní ujednání nebo úschovní struktury (escrow), které poskytují ekvivalentní úroveň ochrany.</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17" w:name="_heading=h.idj5mzwbi6lh" w:colFirst="0" w:colLast="0"/>
      <w:bookmarkEnd w:id="17"/>
      <w:r w:rsidRPr="00DF17C6">
        <w:rPr>
          <w:rFonts w:ascii="Athiti" w:eastAsia="Athiti" w:hAnsi="Athiti" w:cs="Athiti"/>
          <w:sz w:val="22"/>
          <w:szCs w:val="22"/>
          <w:lang w:val="cs-CZ"/>
        </w:rPr>
        <w:t>3.3 Účetní zpracování</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Fiat prostředky klientů jsou v účetnictví CASP vedeny odděleně a nejsou nikdy zahrnuty do výnosů, kapitálu ani provozních peněžních toků společnosti. Evidence může být vedena jako závazky mimo rozvahu nebo v podrozvahových účtech, pokud je využíván externí účetní software. Interní účetní osnova i finanční výkazy obsahují specifická označení jako např. „Klientské fiat prostředky – ve svěřenecké správě“, „Závazky vůči klientům“ nebo „Oddělené zůstatky na bankovních účtech“. Měsíční smíření účetních údajů ověřuje, že souhrnný zůstatek evidovaný v účetní knize klientů odpovídá skutečnému zůstatku na účtech klientských prostředků. Jakýkoliv rozdíl (například z důvodu časových rozdílů nebo chyb v platbě) je neprodleně identifikován, vyšetřen a napraven. Externí auditor společnosti každoročně provádí audit zabezpečení klientských prostředků, jehož součástí je ověření správné klasifikace a zacházení s prostředky klientů, včetně dostatečnosti oddělení účtů, podpůrné dokumentace a bankovních potvrzení.</w:t>
      </w:r>
    </w:p>
    <w:p w:rsidR="00DF17C6" w:rsidRPr="00DF17C6" w:rsidRDefault="00DF17C6" w:rsidP="00DF17C6">
      <w:pPr>
        <w:pStyle w:val="Nadpis3"/>
        <w:keepNext w:val="0"/>
        <w:keepLines w:val="0"/>
        <w:spacing w:before="280" w:after="80"/>
        <w:ind w:left="1440" w:hanging="360"/>
        <w:rPr>
          <w:rFonts w:ascii="Athiti" w:eastAsia="Athiti" w:hAnsi="Athiti" w:cs="Athiti"/>
          <w:b/>
          <w:sz w:val="26"/>
          <w:szCs w:val="26"/>
          <w:lang w:val="cs-CZ"/>
        </w:rPr>
      </w:pPr>
      <w:bookmarkStart w:id="18" w:name="_heading=h.ta84p47ivezf" w:colFirst="0" w:colLast="0"/>
      <w:bookmarkEnd w:id="18"/>
      <w:r w:rsidRPr="00DF17C6">
        <w:rPr>
          <w:rFonts w:ascii="Athiti" w:eastAsia="Athiti" w:hAnsi="Athiti" w:cs="Athiti"/>
          <w:b/>
          <w:sz w:val="26"/>
          <w:szCs w:val="26"/>
          <w:lang w:val="cs-CZ"/>
        </w:rPr>
        <w:t>4. Kontroly a monitoring</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Za účelem zajištění účinnosti, spolehlivosti a transparentnosti rámce oddělení klientských aktiv udržuje CASP soubor vnitřních kontrolních mechanismů, procesů smíření a dohledových funkcí. Tyto prvky jsou nedílnou součástí každodenních operací a spadají pod širší systém řízení rizik a compliance.</w:t>
      </w:r>
    </w:p>
    <w:p w:rsidR="00DF17C6" w:rsidRPr="00DF17C6" w:rsidRDefault="00DF17C6" w:rsidP="00DF17C6">
      <w:pPr>
        <w:pStyle w:val="Nadpis4"/>
        <w:keepNext w:val="0"/>
        <w:keepLines w:val="0"/>
        <w:ind w:left="1440" w:hanging="360"/>
        <w:rPr>
          <w:rFonts w:ascii="Athiti" w:eastAsia="Athiti" w:hAnsi="Athiti" w:cs="Athiti"/>
          <w:sz w:val="22"/>
          <w:szCs w:val="22"/>
          <w:lang w:val="cs-CZ"/>
        </w:rPr>
      </w:pPr>
      <w:bookmarkStart w:id="19" w:name="_heading=h.ivdh7pq3q3r6" w:colFirst="0" w:colLast="0"/>
      <w:bookmarkEnd w:id="19"/>
      <w:r w:rsidRPr="00DF17C6">
        <w:rPr>
          <w:rFonts w:ascii="Athiti" w:eastAsia="Athiti" w:hAnsi="Athiti" w:cs="Athiti"/>
          <w:sz w:val="22"/>
          <w:szCs w:val="22"/>
          <w:lang w:val="cs-CZ"/>
        </w:rPr>
        <w:t>4.1 Řízení přístupu</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uplatňuje přísná pravidla pro řízení přístupu ke všem systémům, rozhraním a účtům souvisejícím se správou klientských kryptoaktiv a fiat prostředků. Přístup mají pouze určené osoby, které prošly prověrkou ze strany HR a bezpečnostním screeningem. Mezi tyto systémy patří:</w:t>
      </w:r>
    </w:p>
    <w:p w:rsidR="00DF17C6" w:rsidRPr="00DF17C6" w:rsidRDefault="00DF17C6" w:rsidP="00DF17C6">
      <w:pPr>
        <w:pStyle w:val="normal"/>
        <w:numPr>
          <w:ilvl w:val="0"/>
          <w:numId w:val="5"/>
        </w:numPr>
        <w:spacing w:before="240" w:after="0"/>
        <w:rPr>
          <w:rFonts w:ascii="Athiti" w:eastAsia="Athiti" w:hAnsi="Athiti" w:cs="Athiti"/>
          <w:sz w:val="22"/>
          <w:szCs w:val="22"/>
          <w:lang w:val="cs-CZ"/>
        </w:rPr>
      </w:pPr>
      <w:r w:rsidRPr="00DF17C6">
        <w:rPr>
          <w:rFonts w:ascii="Athiti" w:eastAsia="Athiti" w:hAnsi="Athiti" w:cs="Athiti"/>
          <w:sz w:val="22"/>
          <w:szCs w:val="22"/>
          <w:lang w:val="cs-CZ"/>
        </w:rPr>
        <w:t>konzole pro správu peněženek (interně hostované nebo u externího správce),</w:t>
      </w:r>
      <w:r w:rsidRPr="00DF17C6">
        <w:rPr>
          <w:rFonts w:ascii="Athiti" w:eastAsia="Athiti" w:hAnsi="Athiti" w:cs="Athiti"/>
          <w:sz w:val="22"/>
          <w:szCs w:val="22"/>
          <w:lang w:val="cs-CZ"/>
        </w:rPr>
        <w:br/>
      </w:r>
    </w:p>
    <w:p w:rsidR="00DF17C6" w:rsidRPr="00DF17C6" w:rsidRDefault="00DF17C6" w:rsidP="00DF17C6">
      <w:pPr>
        <w:pStyle w:val="normal"/>
        <w:numPr>
          <w:ilvl w:val="0"/>
          <w:numId w:val="5"/>
        </w:numPr>
        <w:spacing w:after="0"/>
        <w:rPr>
          <w:rFonts w:ascii="Athiti" w:eastAsia="Athiti" w:hAnsi="Athiti" w:cs="Athiti"/>
          <w:sz w:val="22"/>
          <w:szCs w:val="22"/>
          <w:lang w:val="cs-CZ"/>
        </w:rPr>
      </w:pPr>
      <w:r w:rsidRPr="00DF17C6">
        <w:rPr>
          <w:rFonts w:ascii="Athiti" w:eastAsia="Athiti" w:hAnsi="Athiti" w:cs="Athiti"/>
          <w:sz w:val="22"/>
          <w:szCs w:val="22"/>
          <w:lang w:val="cs-CZ"/>
        </w:rPr>
        <w:t>platformy pro správu klientských účtů a core banking systémy,</w:t>
      </w:r>
      <w:r w:rsidRPr="00DF17C6">
        <w:rPr>
          <w:rFonts w:ascii="Athiti" w:eastAsia="Athiti" w:hAnsi="Athiti" w:cs="Athiti"/>
          <w:sz w:val="22"/>
          <w:szCs w:val="22"/>
          <w:lang w:val="cs-CZ"/>
        </w:rPr>
        <w:br/>
      </w:r>
    </w:p>
    <w:p w:rsidR="00DF17C6" w:rsidRPr="00DF17C6" w:rsidRDefault="00DF17C6" w:rsidP="00DF17C6">
      <w:pPr>
        <w:pStyle w:val="normal"/>
        <w:numPr>
          <w:ilvl w:val="0"/>
          <w:numId w:val="5"/>
        </w:numPr>
        <w:spacing w:after="240"/>
        <w:rPr>
          <w:rFonts w:ascii="Athiti" w:eastAsia="Athiti" w:hAnsi="Athiti" w:cs="Athiti"/>
          <w:sz w:val="22"/>
          <w:szCs w:val="22"/>
          <w:lang w:val="cs-CZ"/>
        </w:rPr>
      </w:pPr>
      <w:r w:rsidRPr="00DF17C6">
        <w:rPr>
          <w:rFonts w:ascii="Athiti" w:eastAsia="Athiti" w:hAnsi="Athiti" w:cs="Athiti"/>
          <w:sz w:val="22"/>
          <w:szCs w:val="22"/>
          <w:lang w:val="cs-CZ"/>
        </w:rPr>
        <w:t>interní nástroje pro evidenci a smíření dat.</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lastRenderedPageBreak/>
        <w:t>Všechna přístupová práva odpovídají zásadě minimálních oprávnění (princip „least privilege“) a jsou přiřazována na základě rolí (RBAC), pravidelně přezkoumávána (minimálně čtvrtletně) a automaticky rušena při ukončení pracovního poměru nebo změně role. Pro odchozí transakce (fiat i krypto), změny údajů účtu (např. cílová peněženka nebo IBAN) a zakládání nových peněženek nebo klientských účtů je vždy vyžadována dvojitá autorizace (princip „čtyř očí“). Přístup v nouzových situacích („break-glass“ přístup) je jasně dokumentován a monitorován, přičemž následné vyhodnocení vždy provádí CISO a Compliance Officer.</w:t>
      </w:r>
    </w:p>
    <w:p w:rsidR="00DF17C6" w:rsidRPr="00DF17C6" w:rsidRDefault="00DF17C6" w:rsidP="00DF17C6">
      <w:pPr>
        <w:pStyle w:val="Nadpis4"/>
        <w:keepNext w:val="0"/>
        <w:keepLines w:val="0"/>
        <w:ind w:left="1440" w:hanging="360"/>
        <w:rPr>
          <w:rFonts w:ascii="Athiti" w:eastAsia="Athiti" w:hAnsi="Athiti" w:cs="Athiti"/>
          <w:sz w:val="22"/>
          <w:szCs w:val="22"/>
          <w:lang w:val="cs-CZ"/>
        </w:rPr>
      </w:pPr>
      <w:bookmarkStart w:id="20" w:name="_heading=h.7titex9sbzg3" w:colFirst="0" w:colLast="0"/>
      <w:bookmarkEnd w:id="20"/>
      <w:r w:rsidRPr="00DF17C6">
        <w:rPr>
          <w:rFonts w:ascii="Athiti" w:eastAsia="Athiti" w:hAnsi="Athiti" w:cs="Athiti"/>
          <w:sz w:val="22"/>
          <w:szCs w:val="22"/>
          <w:lang w:val="cs-CZ"/>
        </w:rPr>
        <w:t>4.2 Denní smíření</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provádí automatizované denní smíření zůstatků jak v oblasti fiat měn, tak i kryptoaktiv, a to porovnáním:</w:t>
      </w:r>
    </w:p>
    <w:p w:rsidR="00DF17C6" w:rsidRPr="00DF17C6" w:rsidRDefault="00DF17C6" w:rsidP="00DF17C6">
      <w:pPr>
        <w:pStyle w:val="normal"/>
        <w:numPr>
          <w:ilvl w:val="0"/>
          <w:numId w:val="4"/>
        </w:numPr>
        <w:spacing w:before="240" w:after="0"/>
        <w:rPr>
          <w:rFonts w:ascii="Athiti" w:eastAsia="Athiti" w:hAnsi="Athiti" w:cs="Athiti"/>
          <w:sz w:val="22"/>
          <w:szCs w:val="22"/>
          <w:lang w:val="cs-CZ"/>
        </w:rPr>
      </w:pPr>
      <w:r w:rsidRPr="00DF17C6">
        <w:rPr>
          <w:rFonts w:ascii="Athiti" w:eastAsia="Athiti" w:hAnsi="Athiti" w:cs="Athiti"/>
          <w:sz w:val="22"/>
          <w:szCs w:val="22"/>
          <w:lang w:val="cs-CZ"/>
        </w:rPr>
        <w:t>zůstatků na blockchainových peněženkách s interní evidencí klientských zůstatků,</w:t>
      </w:r>
      <w:r w:rsidRPr="00DF17C6">
        <w:rPr>
          <w:rFonts w:ascii="Athiti" w:eastAsia="Athiti" w:hAnsi="Athiti" w:cs="Athiti"/>
          <w:sz w:val="22"/>
          <w:szCs w:val="22"/>
          <w:lang w:val="cs-CZ"/>
        </w:rPr>
        <w:br/>
      </w:r>
    </w:p>
    <w:p w:rsidR="00DF17C6" w:rsidRPr="00DF17C6" w:rsidRDefault="00DF17C6" w:rsidP="00DF17C6">
      <w:pPr>
        <w:pStyle w:val="normal"/>
        <w:numPr>
          <w:ilvl w:val="0"/>
          <w:numId w:val="4"/>
        </w:numPr>
        <w:spacing w:after="240"/>
        <w:rPr>
          <w:rFonts w:ascii="Athiti" w:eastAsia="Athiti" w:hAnsi="Athiti" w:cs="Athiti"/>
          <w:sz w:val="22"/>
          <w:szCs w:val="22"/>
          <w:lang w:val="cs-CZ"/>
        </w:rPr>
      </w:pPr>
      <w:r w:rsidRPr="00DF17C6">
        <w:rPr>
          <w:rFonts w:ascii="Athiti" w:eastAsia="Athiti" w:hAnsi="Athiti" w:cs="Athiti"/>
          <w:sz w:val="22"/>
          <w:szCs w:val="22"/>
          <w:lang w:val="cs-CZ"/>
        </w:rPr>
        <w:t>zůstatků na bankovních účtech (na základě výpisů MT940 nebo API napojení) s interní evidencí fiat prostředků klientů.</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Smíření zahrnuje párování jednotlivých aktiv, ověřování zůstatků po jednotlivých klientech a vyhodnocení případných odchylek vůči stanoveným tolerancím. Pokud dojde k nesrovnalosti (např. chybějící transakce, nezpracovaný vklad, chybná částka), je incident:</w:t>
      </w:r>
    </w:p>
    <w:p w:rsidR="00DF17C6" w:rsidRPr="00DF17C6" w:rsidRDefault="00DF17C6" w:rsidP="00DF17C6">
      <w:pPr>
        <w:pStyle w:val="normal"/>
        <w:numPr>
          <w:ilvl w:val="0"/>
          <w:numId w:val="1"/>
        </w:numPr>
        <w:spacing w:before="240" w:after="0"/>
        <w:rPr>
          <w:rFonts w:ascii="Athiti" w:eastAsia="Athiti" w:hAnsi="Athiti" w:cs="Athiti"/>
          <w:sz w:val="22"/>
          <w:szCs w:val="22"/>
          <w:lang w:val="cs-CZ"/>
        </w:rPr>
      </w:pPr>
      <w:r w:rsidRPr="00DF17C6">
        <w:rPr>
          <w:rFonts w:ascii="Athiti" w:eastAsia="Athiti" w:hAnsi="Athiti" w:cs="Athiti"/>
          <w:sz w:val="22"/>
          <w:szCs w:val="22"/>
          <w:lang w:val="cs-CZ"/>
        </w:rPr>
        <w:t>zaznamenán do systému pro řízení incidentů,</w:t>
      </w:r>
      <w:r w:rsidRPr="00DF17C6">
        <w:rPr>
          <w:rFonts w:ascii="Athiti" w:eastAsia="Athiti" w:hAnsi="Athiti" w:cs="Athiti"/>
          <w:sz w:val="22"/>
          <w:szCs w:val="22"/>
          <w:lang w:val="cs-CZ"/>
        </w:rPr>
        <w:br/>
      </w:r>
    </w:p>
    <w:p w:rsidR="00DF17C6" w:rsidRPr="00DF17C6" w:rsidRDefault="00DF17C6" w:rsidP="00DF17C6">
      <w:pPr>
        <w:pStyle w:val="normal"/>
        <w:numPr>
          <w:ilvl w:val="0"/>
          <w:numId w:val="1"/>
        </w:numPr>
        <w:spacing w:after="0"/>
        <w:rPr>
          <w:rFonts w:ascii="Athiti" w:eastAsia="Athiti" w:hAnsi="Athiti" w:cs="Athiti"/>
          <w:sz w:val="22"/>
          <w:szCs w:val="22"/>
          <w:lang w:val="cs-CZ"/>
        </w:rPr>
      </w:pPr>
      <w:r w:rsidRPr="00DF17C6">
        <w:rPr>
          <w:rFonts w:ascii="Athiti" w:eastAsia="Athiti" w:hAnsi="Athiti" w:cs="Athiti"/>
          <w:sz w:val="22"/>
          <w:szCs w:val="22"/>
          <w:lang w:val="cs-CZ"/>
        </w:rPr>
        <w:t>prošetřen týmem Operations do 24 hodin,</w:t>
      </w:r>
      <w:r w:rsidRPr="00DF17C6">
        <w:rPr>
          <w:rFonts w:ascii="Athiti" w:eastAsia="Athiti" w:hAnsi="Athiti" w:cs="Athiti"/>
          <w:sz w:val="22"/>
          <w:szCs w:val="22"/>
          <w:lang w:val="cs-CZ"/>
        </w:rPr>
        <w:br/>
      </w:r>
    </w:p>
    <w:p w:rsidR="00DF17C6" w:rsidRPr="00DF17C6" w:rsidRDefault="00DF17C6" w:rsidP="00DF17C6">
      <w:pPr>
        <w:pStyle w:val="normal"/>
        <w:numPr>
          <w:ilvl w:val="0"/>
          <w:numId w:val="1"/>
        </w:numPr>
        <w:spacing w:after="240"/>
        <w:rPr>
          <w:rFonts w:ascii="Athiti" w:eastAsia="Athiti" w:hAnsi="Athiti" w:cs="Athiti"/>
          <w:sz w:val="22"/>
          <w:szCs w:val="22"/>
          <w:lang w:val="cs-CZ"/>
        </w:rPr>
      </w:pPr>
      <w:r w:rsidRPr="00DF17C6">
        <w:rPr>
          <w:rFonts w:ascii="Athiti" w:eastAsia="Athiti" w:hAnsi="Athiti" w:cs="Athiti"/>
          <w:sz w:val="22"/>
          <w:szCs w:val="22"/>
          <w:lang w:val="cs-CZ"/>
        </w:rPr>
        <w:t>následné nápravné opatření je schváleno týmem Finance nebo Compliance.</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Výstupy ze smíření jsou elektronicky podepisovány, archivovány a evidovány v rámci systému řízení verzí, a slouží jako podklad pro interní i regulatorní audit.</w:t>
      </w:r>
    </w:p>
    <w:p w:rsidR="00DF17C6" w:rsidRPr="00DF17C6" w:rsidRDefault="00DF17C6" w:rsidP="00DF17C6">
      <w:pPr>
        <w:pStyle w:val="Nadpis4"/>
        <w:keepNext w:val="0"/>
        <w:keepLines w:val="0"/>
        <w:ind w:left="1440" w:hanging="360"/>
        <w:rPr>
          <w:rFonts w:ascii="Athiti" w:eastAsia="Athiti" w:hAnsi="Athiti" w:cs="Athiti"/>
          <w:sz w:val="22"/>
          <w:szCs w:val="22"/>
          <w:lang w:val="cs-CZ"/>
        </w:rPr>
      </w:pPr>
      <w:bookmarkStart w:id="21" w:name="_heading=h.2cu7hy8gkbwo" w:colFirst="0" w:colLast="0"/>
      <w:bookmarkEnd w:id="21"/>
      <w:r w:rsidRPr="00DF17C6">
        <w:rPr>
          <w:rFonts w:ascii="Athiti" w:eastAsia="Athiti" w:hAnsi="Athiti" w:cs="Athiti"/>
          <w:sz w:val="22"/>
          <w:szCs w:val="22"/>
          <w:lang w:val="cs-CZ"/>
        </w:rPr>
        <w:t>4.3 Auditní stopa a reporting</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udržuje úplnou a nezměnitelnou auditní stopu všech transakcí, přístupů do systémů, schvalovacích procesů a smíření spojených s úschovou klientských aktiv. Každý záznam o fiat nebo krypto transakci obsahuje:</w:t>
      </w:r>
    </w:p>
    <w:p w:rsidR="00DF17C6" w:rsidRPr="00DF17C6" w:rsidRDefault="00DF17C6" w:rsidP="00DF17C6">
      <w:pPr>
        <w:pStyle w:val="normal"/>
        <w:numPr>
          <w:ilvl w:val="0"/>
          <w:numId w:val="2"/>
        </w:numPr>
        <w:spacing w:before="240" w:after="0"/>
        <w:rPr>
          <w:rFonts w:ascii="Athiti" w:eastAsia="Athiti" w:hAnsi="Athiti" w:cs="Athiti"/>
          <w:sz w:val="22"/>
          <w:szCs w:val="22"/>
          <w:lang w:val="cs-CZ"/>
        </w:rPr>
      </w:pPr>
      <w:r w:rsidRPr="00DF17C6">
        <w:rPr>
          <w:rFonts w:ascii="Athiti" w:eastAsia="Athiti" w:hAnsi="Athiti" w:cs="Athiti"/>
          <w:sz w:val="22"/>
          <w:szCs w:val="22"/>
          <w:lang w:val="cs-CZ"/>
        </w:rPr>
        <w:t>časové razítko (UTC),</w:t>
      </w:r>
    </w:p>
    <w:p w:rsidR="00DF17C6" w:rsidRPr="00DF17C6" w:rsidRDefault="00DF17C6" w:rsidP="00DF17C6">
      <w:pPr>
        <w:pStyle w:val="normal"/>
        <w:numPr>
          <w:ilvl w:val="0"/>
          <w:numId w:val="2"/>
        </w:numPr>
        <w:spacing w:after="0"/>
        <w:rPr>
          <w:rFonts w:ascii="Athiti" w:eastAsia="Athiti" w:hAnsi="Athiti" w:cs="Athiti"/>
          <w:sz w:val="22"/>
          <w:szCs w:val="22"/>
          <w:lang w:val="cs-CZ"/>
        </w:rPr>
      </w:pPr>
      <w:r w:rsidRPr="00DF17C6">
        <w:rPr>
          <w:rFonts w:ascii="Athiti" w:eastAsia="Athiti" w:hAnsi="Athiti" w:cs="Athiti"/>
          <w:sz w:val="22"/>
          <w:szCs w:val="22"/>
          <w:lang w:val="cs-CZ"/>
        </w:rPr>
        <w:t>ID uživatele a roli zadavatele i schvalovatele,</w:t>
      </w:r>
    </w:p>
    <w:p w:rsidR="00DF17C6" w:rsidRPr="00DF17C6" w:rsidRDefault="00DF17C6" w:rsidP="00DF17C6">
      <w:pPr>
        <w:pStyle w:val="normal"/>
        <w:numPr>
          <w:ilvl w:val="0"/>
          <w:numId w:val="2"/>
        </w:numPr>
        <w:spacing w:after="0"/>
        <w:rPr>
          <w:rFonts w:ascii="Athiti" w:eastAsia="Athiti" w:hAnsi="Athiti" w:cs="Athiti"/>
          <w:sz w:val="22"/>
          <w:szCs w:val="22"/>
          <w:lang w:val="cs-CZ"/>
        </w:rPr>
      </w:pPr>
      <w:r w:rsidRPr="00DF17C6">
        <w:rPr>
          <w:rFonts w:ascii="Athiti" w:eastAsia="Athiti" w:hAnsi="Athiti" w:cs="Athiti"/>
          <w:sz w:val="22"/>
          <w:szCs w:val="22"/>
          <w:lang w:val="cs-CZ"/>
        </w:rPr>
        <w:t>zdrojový a cílový účet nebo peněženku,</w:t>
      </w:r>
    </w:p>
    <w:p w:rsidR="00DF17C6" w:rsidRPr="00DF17C6" w:rsidRDefault="00DF17C6" w:rsidP="00DF17C6">
      <w:pPr>
        <w:pStyle w:val="normal"/>
        <w:numPr>
          <w:ilvl w:val="0"/>
          <w:numId w:val="2"/>
        </w:numPr>
        <w:spacing w:after="0"/>
        <w:rPr>
          <w:rFonts w:ascii="Athiti" w:eastAsia="Athiti" w:hAnsi="Athiti" w:cs="Athiti"/>
          <w:sz w:val="22"/>
          <w:szCs w:val="22"/>
          <w:lang w:val="cs-CZ"/>
        </w:rPr>
      </w:pPr>
      <w:r w:rsidRPr="00DF17C6">
        <w:rPr>
          <w:rFonts w:ascii="Athiti" w:eastAsia="Athiti" w:hAnsi="Athiti" w:cs="Athiti"/>
          <w:sz w:val="22"/>
          <w:szCs w:val="22"/>
          <w:lang w:val="cs-CZ"/>
        </w:rPr>
        <w:t>typ a výši aktiva,</w:t>
      </w:r>
    </w:p>
    <w:p w:rsidR="00DF17C6" w:rsidRPr="00DF17C6" w:rsidRDefault="00DF17C6" w:rsidP="00DF17C6">
      <w:pPr>
        <w:pStyle w:val="normal"/>
        <w:numPr>
          <w:ilvl w:val="0"/>
          <w:numId w:val="2"/>
        </w:numPr>
        <w:spacing w:after="0"/>
        <w:rPr>
          <w:rFonts w:ascii="Athiti" w:eastAsia="Athiti" w:hAnsi="Athiti" w:cs="Athiti"/>
          <w:sz w:val="22"/>
          <w:szCs w:val="22"/>
          <w:lang w:val="cs-CZ"/>
        </w:rPr>
      </w:pPr>
      <w:r w:rsidRPr="00DF17C6">
        <w:rPr>
          <w:rFonts w:ascii="Athiti" w:eastAsia="Athiti" w:hAnsi="Athiti" w:cs="Athiti"/>
          <w:sz w:val="22"/>
          <w:szCs w:val="22"/>
          <w:lang w:val="cs-CZ"/>
        </w:rPr>
        <w:t>účel transakce nebo její odůvodnění,</w:t>
      </w:r>
    </w:p>
    <w:p w:rsidR="00DF17C6" w:rsidRPr="00DF17C6" w:rsidRDefault="00DF17C6" w:rsidP="00DF17C6">
      <w:pPr>
        <w:pStyle w:val="normal"/>
        <w:numPr>
          <w:ilvl w:val="0"/>
          <w:numId w:val="2"/>
        </w:numPr>
        <w:spacing w:after="240"/>
        <w:rPr>
          <w:rFonts w:ascii="Athiti" w:eastAsia="Athiti" w:hAnsi="Athiti" w:cs="Athiti"/>
          <w:sz w:val="22"/>
          <w:szCs w:val="22"/>
          <w:lang w:val="cs-CZ"/>
        </w:rPr>
      </w:pPr>
      <w:r w:rsidRPr="00DF17C6">
        <w:rPr>
          <w:rFonts w:ascii="Athiti" w:eastAsia="Athiti" w:hAnsi="Athiti" w:cs="Athiti"/>
          <w:sz w:val="22"/>
          <w:szCs w:val="22"/>
          <w:lang w:val="cs-CZ"/>
        </w:rPr>
        <w:t>připojené dokumenty (např. žádost o výběr, fakturu, systémové upozornění).</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Auditní logy jsou zabezpečeny v souladu s Informační bezpečnostní politikou společnosti, uchovávány po dobu nejméně pěti let, denně kontrolovány z hlediska integrity (např. pomocí hashování) a ukládány v prostředí s detekcí neoprávněných zásahů. Pravidelné interní reporty jsou předávány následujícím útvarům:</w:t>
      </w:r>
    </w:p>
    <w:p w:rsidR="00DF17C6" w:rsidRPr="00DF17C6" w:rsidRDefault="00DF17C6" w:rsidP="00DF17C6">
      <w:pPr>
        <w:pStyle w:val="normal"/>
        <w:numPr>
          <w:ilvl w:val="0"/>
          <w:numId w:val="3"/>
        </w:numPr>
        <w:spacing w:before="240" w:after="0"/>
        <w:rPr>
          <w:rFonts w:ascii="Athiti" w:eastAsia="Athiti" w:hAnsi="Athiti" w:cs="Athiti"/>
          <w:sz w:val="22"/>
          <w:szCs w:val="22"/>
          <w:lang w:val="cs-CZ"/>
        </w:rPr>
      </w:pPr>
      <w:r w:rsidRPr="00DF17C6">
        <w:rPr>
          <w:rFonts w:ascii="Athiti" w:eastAsia="Athiti" w:hAnsi="Athiti" w:cs="Athiti"/>
          <w:sz w:val="22"/>
          <w:szCs w:val="22"/>
          <w:lang w:val="cs-CZ"/>
        </w:rPr>
        <w:t>Compliance: ověřuje dodržování pravidel pro oddělení majetku a zaznamenává výjimky,</w:t>
      </w:r>
    </w:p>
    <w:p w:rsidR="00DF17C6" w:rsidRPr="00DF17C6" w:rsidRDefault="00DF17C6" w:rsidP="00DF17C6">
      <w:pPr>
        <w:pStyle w:val="normal"/>
        <w:numPr>
          <w:ilvl w:val="0"/>
          <w:numId w:val="3"/>
        </w:numPr>
        <w:spacing w:after="0"/>
        <w:rPr>
          <w:rFonts w:ascii="Athiti" w:eastAsia="Athiti" w:hAnsi="Athiti" w:cs="Athiti"/>
          <w:sz w:val="22"/>
          <w:szCs w:val="22"/>
          <w:lang w:val="cs-CZ"/>
        </w:rPr>
      </w:pPr>
      <w:r w:rsidRPr="00DF17C6">
        <w:rPr>
          <w:rFonts w:ascii="Athiti" w:eastAsia="Athiti" w:hAnsi="Athiti" w:cs="Athiti"/>
          <w:sz w:val="22"/>
          <w:szCs w:val="22"/>
          <w:lang w:val="cs-CZ"/>
        </w:rPr>
        <w:t>Řízení rizik: hodnotí systémové nebo opakující se problémy při smíření,</w:t>
      </w:r>
    </w:p>
    <w:p w:rsidR="00DF17C6" w:rsidRPr="00DF17C6" w:rsidRDefault="00DF17C6" w:rsidP="00DF17C6">
      <w:pPr>
        <w:pStyle w:val="normal"/>
        <w:numPr>
          <w:ilvl w:val="0"/>
          <w:numId w:val="3"/>
        </w:numPr>
        <w:spacing w:after="240"/>
        <w:rPr>
          <w:rFonts w:ascii="Athiti" w:eastAsia="Athiti" w:hAnsi="Athiti" w:cs="Athiti"/>
          <w:sz w:val="22"/>
          <w:szCs w:val="22"/>
          <w:lang w:val="cs-CZ"/>
        </w:rPr>
      </w:pPr>
      <w:r w:rsidRPr="00DF17C6">
        <w:rPr>
          <w:rFonts w:ascii="Athiti" w:eastAsia="Athiti" w:hAnsi="Athiti" w:cs="Athiti"/>
          <w:sz w:val="22"/>
          <w:szCs w:val="22"/>
          <w:lang w:val="cs-CZ"/>
        </w:rPr>
        <w:lastRenderedPageBreak/>
        <w:t>Interní audit: ověřuje účinnost kontrolních opatření v rámci plánovaných auditů.</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Každé závažné porušení pravidel nebo selhání při smíření je neprodleně oznámeno vedení společnosti a v případě potřeby rovněž příslušnému dozorovému orgánu dle čl. 63 nařízení MiCA. Incident je dále zaznamenán v čtvrtletním souhrnu interních kontrol.</w:t>
      </w:r>
    </w:p>
    <w:p w:rsidR="00DF17C6" w:rsidRPr="00DF17C6" w:rsidRDefault="00DF17C6" w:rsidP="00DF17C6">
      <w:pPr>
        <w:pStyle w:val="Nadpis3"/>
        <w:keepNext w:val="0"/>
        <w:keepLines w:val="0"/>
        <w:spacing w:before="280" w:after="80"/>
        <w:ind w:left="720"/>
        <w:rPr>
          <w:rFonts w:ascii="Athiti" w:eastAsia="Athiti" w:hAnsi="Athiti" w:cs="Athiti"/>
          <w:b/>
          <w:sz w:val="26"/>
          <w:szCs w:val="26"/>
          <w:lang w:val="cs-CZ"/>
        </w:rPr>
      </w:pPr>
      <w:bookmarkStart w:id="22" w:name="_heading=h.sj1aymj5rfr1" w:colFirst="0" w:colLast="0"/>
      <w:bookmarkEnd w:id="22"/>
      <w:r w:rsidRPr="00DF17C6">
        <w:rPr>
          <w:rFonts w:ascii="Athiti" w:eastAsia="Athiti" w:hAnsi="Athiti" w:cs="Athiti"/>
          <w:b/>
          <w:sz w:val="26"/>
          <w:szCs w:val="26"/>
          <w:lang w:val="cs-CZ"/>
        </w:rPr>
        <w:t>5. Informování klienta</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zajišťuje, aby všichni klienti obdrželi před zahájením spolupráce a před uzavřením jakékoli smlouvy týkající se úschovy nebo správy kryptoaktiv či fiat prostředků jasné a písemné informace o povaze, struktuře a právním režimu majetku drženého prostřednictvím CASP. Cílem těchto informací je umožnit klientům činit plně informovaná rozhodnutí o využití služeb CASP a porozumět souvisejícím právním a provozním rizikům.</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23" w:name="_heading=h.akd2wzqvv4vg" w:colFirst="0" w:colLast="0"/>
      <w:bookmarkEnd w:id="23"/>
      <w:r w:rsidRPr="00DF17C6">
        <w:rPr>
          <w:rFonts w:ascii="Athiti" w:eastAsia="Athiti" w:hAnsi="Athiti" w:cs="Athiti"/>
          <w:sz w:val="22"/>
          <w:szCs w:val="22"/>
          <w:lang w:val="cs-CZ"/>
        </w:rPr>
        <w:t>5.1 Struktura úschovy a typ peněženek</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Klienti jsou předem informováni o tom, zda CASP používá individuálně oddělené peněženky, v nichž jsou aktiva každého klienta vedena na jedinečné adrese přiřazené výlučně danému klientovi, nebo zda jsou využívány hromadné peněženky s interním účetním oddělením klientských podílů, kdy jsou aktiva více klientů sdílena na blockchainu, ale oddělena v interní evidenci CASP. V případech, kdy jsou služby úschovy zajišťovány prostřednictvím třetích stran, je klientům sdělena identita daného depozitáře, včetně základního popisu jeho role a odpovědností, jurisdikce, v níž působí, a jeho regulačního statusu. Klienti současně obdrží informace o technologických a organizačních opatřeních přijatých za účelem zajištění průběžného oddělení, dohledatelnosti a bezpečnosti jejich aktiv.</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24" w:name="_heading=h.a1m8r1kcff5c" w:colFirst="0" w:colLast="0"/>
      <w:bookmarkEnd w:id="24"/>
      <w:r w:rsidRPr="00DF17C6">
        <w:rPr>
          <w:rFonts w:ascii="Athiti" w:eastAsia="Athiti" w:hAnsi="Athiti" w:cs="Athiti"/>
          <w:sz w:val="22"/>
          <w:szCs w:val="22"/>
          <w:lang w:val="cs-CZ"/>
        </w:rPr>
        <w:t>5.2 Riziko nevrácení majetku v případě platební neschopnosti</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Klienti jsou výslovně upozorněni, že jejich kryptoaktiva a fiat prostředky držené jménem klienta nejsou součástí majetku CASP. Zároveň jsou však informováni, že v případě platební neschopnosti, likvidace nebo restrukturalizace společnosti může být navrácení klientského majetku zpožděno nebo komplikováno právními a správními postupy. Klienti jsou rovněž seznámeni s konkrétními riziky, mezi které patří například možné ztráty vzniklé v důsledku provozních chyb, kybernetických útoků nebo podvodného jednání, nutnost aktivně se účastnit insolvenčního řízení pro účely uplatnění nároku na svá aktiva, rozdílné právní režimy úpadku pro fiat měny a kryptoaktiva podle práva EU a členských států a skutečnost, že na kryptoaktiva se obvykle nevztahují systémy pojištění vkladů nebo kompenzací investorů (pokud takový národní režim není výslovně zaveden a použitelný). Pokud jsou aktiva držena prostřednictvím třetí strany, klienti jsou dále upozorněni na přítomnost dodatečných rizik v případě selhání tohoto depozitáře.</w:t>
      </w:r>
    </w:p>
    <w:p w:rsidR="00DF17C6" w:rsidRPr="00DF17C6" w:rsidRDefault="00DF17C6" w:rsidP="00DF17C6">
      <w:pPr>
        <w:pStyle w:val="Nadpis4"/>
        <w:keepNext w:val="0"/>
        <w:keepLines w:val="0"/>
        <w:ind w:left="720"/>
        <w:rPr>
          <w:rFonts w:ascii="Athiti" w:eastAsia="Athiti" w:hAnsi="Athiti" w:cs="Athiti"/>
          <w:sz w:val="22"/>
          <w:szCs w:val="22"/>
          <w:lang w:val="cs-CZ"/>
        </w:rPr>
      </w:pPr>
      <w:bookmarkStart w:id="25" w:name="_heading=h.5izyt14pz470" w:colFirst="0" w:colLast="0"/>
      <w:bookmarkEnd w:id="25"/>
      <w:r w:rsidRPr="00DF17C6">
        <w:rPr>
          <w:rFonts w:ascii="Athiti" w:eastAsia="Athiti" w:hAnsi="Athiti" w:cs="Athiti"/>
          <w:sz w:val="22"/>
          <w:szCs w:val="22"/>
          <w:lang w:val="cs-CZ"/>
        </w:rPr>
        <w:t>5.3 Právní postavení klienta vůči drženým aktivům</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klientům sděluje, že zachovávají právní vlastnictví nebo majetkový prospěch (podle příslušného právního režimu) ke kryptoaktivům a fiat měnám drženým jejich jménem. Zároveň je jednoznačně uvedeno, že tato aktiva jsou vedena v režimu úschovy nebo svěřenské správy a nemohou být zastavena, zapůjčena nebo jinak dále použita bez výslovného souhlasu klienta (pokud je takové použití vůbec smluvně umožněno). CASP tato aktiva nezahrnuje do svého účetnictví jako vlastní aktiva ani je nevyužívá pro provozní či kapitálové účely. Klienti mají právo kdykoli požadovat výběr nebo převod svých prostředků, a to za předpokladu splnění příslušných AML/CFT a bezpečnostních požadavků.</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 xml:space="preserve">Vše výše uvedené je zakotveno ve smluvních podmínkách poskytování služeb, které upravují rámec poskytování služeb úschovy a ochrany aktiv, obsahují shrnutí práv klienta v případě ukončení smlouvy, </w:t>
      </w:r>
      <w:r w:rsidRPr="00DF17C6">
        <w:rPr>
          <w:rFonts w:ascii="Athiti" w:eastAsia="Athiti" w:hAnsi="Athiti" w:cs="Athiti"/>
          <w:sz w:val="22"/>
          <w:szCs w:val="22"/>
          <w:lang w:val="cs-CZ"/>
        </w:rPr>
        <w:lastRenderedPageBreak/>
        <w:t>sporu nebo úpadku CASP, a rovněž odkazují na postup pro podávání stížností. Klienti jsou navíc informováni o možnosti obrátit se v případě nevyřešených stížností na příslušný dozorový orgán, jak stanovuje článek 96 nařízení MiCA.</w:t>
      </w:r>
    </w:p>
    <w:p w:rsidR="00DF17C6" w:rsidRPr="00DF17C6" w:rsidRDefault="00DF17C6" w:rsidP="00DF17C6">
      <w:pPr>
        <w:pStyle w:val="Nadpis3"/>
        <w:keepNext w:val="0"/>
        <w:keepLines w:val="0"/>
        <w:spacing w:before="280" w:after="80"/>
        <w:rPr>
          <w:rFonts w:ascii="Athiti" w:eastAsia="Athiti" w:hAnsi="Athiti" w:cs="Athiti"/>
          <w:b/>
          <w:sz w:val="26"/>
          <w:szCs w:val="26"/>
          <w:lang w:val="cs-CZ"/>
        </w:rPr>
      </w:pPr>
      <w:bookmarkStart w:id="26" w:name="_heading=h.uosf4ftdurrv" w:colFirst="0" w:colLast="0"/>
      <w:bookmarkEnd w:id="26"/>
      <w:r w:rsidRPr="00DF17C6">
        <w:rPr>
          <w:rFonts w:ascii="Athiti" w:eastAsia="Athiti" w:hAnsi="Athiti" w:cs="Athiti"/>
          <w:b/>
          <w:sz w:val="26"/>
          <w:szCs w:val="26"/>
          <w:lang w:val="cs-CZ"/>
        </w:rPr>
        <w:t>6. Připravenost na insolvenční situace</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má zavedeny důkladné postupy a dokumentaci, které zajišťují, že v případě insolvence lze klientská aktiva – ať už kryptoaktiva nebo fiat měny – bezodkladně identifikovat, ochránit před nároky věřitelů a vrátit jejich oprávněným vlastníkům. Tento rámec je nedílnou součástí strategie řízení rizik a ochrany klientů a odpovídá požadavkům na ochranu aktiv stanoveným v článku 62 odst. 2 písm. k) nařízení MiCA, jakož i zásadám digitální provozní odolnosti podle nařízení DORA (EU) 2022/2554.</w:t>
      </w:r>
    </w:p>
    <w:p w:rsidR="00DF17C6" w:rsidRPr="00DF17C6" w:rsidRDefault="00DF17C6" w:rsidP="00DF17C6">
      <w:pPr>
        <w:pStyle w:val="Nadpis4"/>
        <w:keepNext w:val="0"/>
        <w:keepLines w:val="0"/>
        <w:rPr>
          <w:rFonts w:ascii="Athiti" w:eastAsia="Athiti" w:hAnsi="Athiti" w:cs="Athiti"/>
          <w:sz w:val="22"/>
          <w:szCs w:val="22"/>
          <w:lang w:val="cs-CZ"/>
        </w:rPr>
      </w:pPr>
      <w:bookmarkStart w:id="27" w:name="_heading=h.xroph1awu0tg" w:colFirst="0" w:colLast="0"/>
      <w:bookmarkEnd w:id="27"/>
      <w:r w:rsidRPr="00DF17C6">
        <w:rPr>
          <w:rFonts w:ascii="Athiti" w:eastAsia="Athiti" w:hAnsi="Athiti" w:cs="Athiti"/>
          <w:sz w:val="22"/>
          <w:szCs w:val="22"/>
          <w:lang w:val="cs-CZ"/>
        </w:rPr>
        <w:t>6.1 Sledovatelnost aktiv a oddělené záznamy</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vede v reálném čase záznamy na úrovni jednotlivých klientů, které umožňují úplnou sledovatelnost všech aktiv v úschově. Tyto záznamy zahrnují historii transakcí, údaje o vlastnictví (navázané na ověřenou identitu klienta dle KYC), aktuální zůstatky včetně fiat i kryptoaktiv a identifikátory úschovních účtů, jako jsou adresy peněženek či čísla bankovních účtů (IBAN). Všechny peněženky i bankovní účty jsou jednoznačně označeny tak, aby bylo zřejmé, že jde o majetek klienta, a dále umožňují rozlišení mezi jednotlivými klienty. V případě vyhlášení insolvence tyto záznamy slouží jako hlavní důkazní materiál pro identifikaci oprávněných vlastníků jednotlivých typů aktiv. Společnost pravidelně (minimálně čtvrtletně) provádí simulace (tzv. tabletop exercises), které testují spolehlivost a rychlost identifikace a návratu aktiv.</w:t>
      </w:r>
    </w:p>
    <w:p w:rsidR="00DF17C6" w:rsidRPr="00DF17C6" w:rsidRDefault="00DF17C6" w:rsidP="00DF17C6">
      <w:pPr>
        <w:pStyle w:val="Nadpis4"/>
        <w:keepNext w:val="0"/>
        <w:keepLines w:val="0"/>
        <w:rPr>
          <w:rFonts w:ascii="Athiti" w:eastAsia="Athiti" w:hAnsi="Athiti" w:cs="Athiti"/>
          <w:sz w:val="22"/>
          <w:szCs w:val="22"/>
          <w:lang w:val="cs-CZ"/>
        </w:rPr>
      </w:pPr>
      <w:bookmarkStart w:id="28" w:name="_heading=h.2khi93hv8aon" w:colFirst="0" w:colLast="0"/>
      <w:bookmarkEnd w:id="28"/>
      <w:r w:rsidRPr="00DF17C6">
        <w:rPr>
          <w:rFonts w:ascii="Athiti" w:eastAsia="Athiti" w:hAnsi="Athiti" w:cs="Athiti"/>
          <w:sz w:val="22"/>
          <w:szCs w:val="22"/>
          <w:lang w:val="cs-CZ"/>
        </w:rPr>
        <w:t>6.2 Zajištění kontinuity úschovy</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Plán kontinuity činností a obnovy po havárii (BCP/DRP) CASP obsahuje opatření, která zajišťují zachování přístupu ke klientským prostředkům a peněženkám, uchování klíčových záznamů a kryptografických klíčů a také nouzovou komunikaci s klienty, regulátory a depozitáři. Plán je v souladu s články 11–15 nařízení DORA a zahrnuje zálohování soukromých klíčů a dat o klientech v geograficky oddělených bezpečných lokalitách, přepínací mechanismy (failover) pro peněženky a klíčové systémy a předem definované role a odpovědnosti krizového týmu.</w:t>
      </w:r>
    </w:p>
    <w:p w:rsidR="00DF17C6" w:rsidRPr="00DF17C6" w:rsidRDefault="00DF17C6" w:rsidP="00DF17C6">
      <w:pPr>
        <w:pStyle w:val="Nadpis4"/>
        <w:keepNext w:val="0"/>
        <w:keepLines w:val="0"/>
        <w:rPr>
          <w:rFonts w:ascii="Athiti" w:eastAsia="Athiti" w:hAnsi="Athiti" w:cs="Athiti"/>
          <w:sz w:val="22"/>
          <w:szCs w:val="22"/>
          <w:lang w:val="cs-CZ"/>
        </w:rPr>
      </w:pPr>
      <w:bookmarkStart w:id="29" w:name="_heading=h.x51cvoj4srvw" w:colFirst="0" w:colLast="0"/>
      <w:bookmarkEnd w:id="29"/>
      <w:r w:rsidRPr="00DF17C6">
        <w:rPr>
          <w:rFonts w:ascii="Athiti" w:eastAsia="Athiti" w:hAnsi="Athiti" w:cs="Athiti"/>
          <w:sz w:val="22"/>
          <w:szCs w:val="22"/>
          <w:lang w:val="cs-CZ"/>
        </w:rPr>
        <w:t>6.3 Plány obnovy a řešení (RRP)</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má zpracovaný plán obnovy a řešení (Recovery and Resolution Plan), který odpovídá jeho obchodnímu modelu, rizikovému profilu a infrastruktuře úschovy. Tento plán identifikuje možné spouštěče krizí (finanční, provozní, kybernetické), definuje nástroje obnovy a zdroje likvidity pro stabilizaci provozu a stanovuje strategii řešení, která minimalizuje dopad na klienty a klíčové služby. Mezi klíčové prvky plánu patří identifikace kritických činností (např. úschova a vypořádání transakcí), mapování závislostí na třetích stranách (depozitáři, banky, IT poskytovatelé) a varianty rychlého převodu klientských aktiv k jinému regulovanému subjektu. Plán je přezkoumáván nejméně jednou ročně a v případě potřeby předkládán příslušnému dozorovému orgánu.</w:t>
      </w:r>
    </w:p>
    <w:p w:rsidR="00DF17C6" w:rsidRPr="00DF17C6" w:rsidRDefault="00DF17C6" w:rsidP="00DF17C6">
      <w:pPr>
        <w:pStyle w:val="Nadpis4"/>
        <w:keepNext w:val="0"/>
        <w:keepLines w:val="0"/>
        <w:rPr>
          <w:rFonts w:ascii="Athiti" w:eastAsia="Athiti" w:hAnsi="Athiti" w:cs="Athiti"/>
          <w:sz w:val="22"/>
          <w:szCs w:val="22"/>
          <w:lang w:val="cs-CZ"/>
        </w:rPr>
      </w:pPr>
      <w:bookmarkStart w:id="30" w:name="_heading=h.h08nitzfxdxj" w:colFirst="0" w:colLast="0"/>
      <w:bookmarkEnd w:id="30"/>
      <w:r w:rsidRPr="00DF17C6">
        <w:rPr>
          <w:rFonts w:ascii="Athiti" w:eastAsia="Athiti" w:hAnsi="Athiti" w:cs="Athiti"/>
          <w:sz w:val="22"/>
          <w:szCs w:val="22"/>
          <w:lang w:val="cs-CZ"/>
        </w:rPr>
        <w:t>6.4 Právní nástroje ochrany aktiv</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CASP zajišťuje, že smlouvy s klienty i třetími stranami výslovně uznávají, že klientská aktiva nejsou součástí majetku společnosti, nemohou být použita k uspokojení jejích závazků a že klienti mají v insolvenčním řízení přednostní postavení. Pokud to umožňuje příslušné národní právo, CASP využívá struktury svěřenské správy (trust), úschovy (escrow) nebo fiduciární uspořádání k posílení právní ochrany klientských aktiv.</w:t>
      </w:r>
    </w:p>
    <w:p w:rsidR="00DF17C6" w:rsidRPr="00DF17C6" w:rsidRDefault="00DF17C6" w:rsidP="00DF17C6">
      <w:pPr>
        <w:pStyle w:val="Nadpis4"/>
        <w:keepNext w:val="0"/>
        <w:keepLines w:val="0"/>
        <w:rPr>
          <w:rFonts w:ascii="Athiti" w:eastAsia="Athiti" w:hAnsi="Athiti" w:cs="Athiti"/>
          <w:sz w:val="22"/>
          <w:szCs w:val="22"/>
          <w:lang w:val="cs-CZ"/>
        </w:rPr>
      </w:pPr>
      <w:bookmarkStart w:id="31" w:name="_heading=h.n5jpkbwd9kzf" w:colFirst="0" w:colLast="0"/>
      <w:bookmarkEnd w:id="31"/>
      <w:r w:rsidRPr="00DF17C6">
        <w:rPr>
          <w:rFonts w:ascii="Athiti" w:eastAsia="Athiti" w:hAnsi="Athiti" w:cs="Athiti"/>
          <w:sz w:val="22"/>
          <w:szCs w:val="22"/>
          <w:lang w:val="cs-CZ"/>
        </w:rPr>
        <w:lastRenderedPageBreak/>
        <w:t>6.5 Oznámení a komunikace s klienty</w:t>
      </w:r>
    </w:p>
    <w:p w:rsidR="00DF17C6" w:rsidRPr="00DF17C6" w:rsidRDefault="00DF17C6" w:rsidP="00DF17C6">
      <w:pPr>
        <w:pStyle w:val="normal"/>
        <w:spacing w:before="240" w:after="240"/>
        <w:rPr>
          <w:rFonts w:ascii="Athiti" w:eastAsia="Athiti" w:hAnsi="Athiti" w:cs="Athiti"/>
          <w:sz w:val="22"/>
          <w:szCs w:val="22"/>
          <w:lang w:val="cs-CZ"/>
        </w:rPr>
      </w:pPr>
      <w:r w:rsidRPr="00DF17C6">
        <w:rPr>
          <w:rFonts w:ascii="Athiti" w:eastAsia="Athiti" w:hAnsi="Athiti" w:cs="Athiti"/>
          <w:sz w:val="22"/>
          <w:szCs w:val="22"/>
          <w:lang w:val="cs-CZ"/>
        </w:rPr>
        <w:t>V případě vyhlášení insolvence nebo jejího reálného rizika CASP bez zbytečného odkladu informuje příslušný dozorový orgán a současně jasně a srozumitelně komunikuje se všemi dotčenými klienty. Klientům poskytne instrukce pro podání žádosti o výběr prostředků nebo zahájení uplatnění nároku a zřídí specializovaný komunikační kanál pro dotazy související s řešením situace.</w:t>
      </w:r>
    </w:p>
    <w:p w:rsidR="00B06DB5" w:rsidRPr="00DF17C6" w:rsidRDefault="00B06DB5">
      <w:pPr>
        <w:rPr>
          <w:lang w:val="cs-CZ"/>
        </w:rPr>
      </w:pPr>
    </w:p>
    <w:sectPr w:rsidR="00B06DB5" w:rsidRPr="00DF17C6" w:rsidSect="006E4A9D">
      <w:headerReference w:type="default" r:id="rId7"/>
      <w:footerReference w:type="default" r:id="rId8"/>
      <w:headerReference w:type="first" r:id="rId9"/>
      <w:pgSz w:w="11906" w:h="16838"/>
      <w:pgMar w:top="1134" w:right="1134" w:bottom="1134" w:left="1134" w:header="709" w:footer="709" w:gutter="0"/>
      <w:pgNumType w:start="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14FC" w:rsidRDefault="005414FC" w:rsidP="00C95E1B">
      <w:pPr>
        <w:spacing w:after="0" w:line="240" w:lineRule="auto"/>
      </w:pPr>
      <w:r>
        <w:separator/>
      </w:r>
    </w:p>
  </w:endnote>
  <w:endnote w:type="continuationSeparator" w:id="1">
    <w:p w:rsidR="005414FC" w:rsidRDefault="005414FC" w:rsidP="00C95E1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thiti">
    <w:altName w:val="Times New Roman"/>
    <w:charset w:val="00"/>
    <w:family w:val="auto"/>
    <w:pitch w:val="default"/>
    <w:sig w:usb0="00000000" w:usb1="00000000" w:usb2="00000000" w:usb3="00000000" w:csb0="00000000"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9D" w:rsidRDefault="00B9520C">
    <w:pPr>
      <w:pStyle w:val="normal"/>
      <w:tabs>
        <w:tab w:val="center" w:pos="4677"/>
        <w:tab w:val="right" w:pos="9355"/>
      </w:tabs>
      <w:spacing w:after="0" w:line="240" w:lineRule="auto"/>
      <w:jc w:val="center"/>
    </w:pPr>
    <w:r>
      <w:rPr>
        <w:noProof/>
      </w:rPr>
      <w:drawing>
        <wp:inline distT="0" distB="0" distL="0" distR="0">
          <wp:extent cx="5524500" cy="102235"/>
          <wp:effectExtent l="0" t="0" r="0" b="0"/>
          <wp:docPr id="14" name="image1.png" descr="Light horizontal"/>
          <wp:cNvGraphicFramePr/>
          <a:graphic xmlns:a="http://schemas.openxmlformats.org/drawingml/2006/main">
            <a:graphicData uri="http://schemas.openxmlformats.org/drawingml/2006/picture">
              <pic:pic xmlns:pic="http://schemas.openxmlformats.org/drawingml/2006/picture">
                <pic:nvPicPr>
                  <pic:cNvPr id="0" name="image1.png" descr="Light horizontal"/>
                  <pic:cNvPicPr preferRelativeResize="0"/>
                </pic:nvPicPr>
                <pic:blipFill>
                  <a:blip r:embed="rId1"/>
                  <a:srcRect/>
                  <a:stretch>
                    <a:fillRect/>
                  </a:stretch>
                </pic:blipFill>
                <pic:spPr>
                  <a:xfrm>
                    <a:off x="0" y="0"/>
                    <a:ext cx="5524500" cy="102235"/>
                  </a:xfrm>
                  <a:prstGeom prst="rect">
                    <a:avLst/>
                  </a:prstGeom>
                  <a:ln/>
                </pic:spPr>
              </pic:pic>
            </a:graphicData>
          </a:graphic>
        </wp:inline>
      </w:drawing>
    </w:r>
  </w:p>
  <w:p w:rsidR="006E4A9D" w:rsidRDefault="00C95E1B">
    <w:pPr>
      <w:pStyle w:val="normal"/>
      <w:tabs>
        <w:tab w:val="center" w:pos="4677"/>
        <w:tab w:val="right" w:pos="9355"/>
      </w:tabs>
      <w:spacing w:after="0" w:line="240" w:lineRule="auto"/>
      <w:jc w:val="center"/>
      <w:rPr>
        <w:rFonts w:ascii="Athiti" w:eastAsia="Athiti" w:hAnsi="Athiti" w:cs="Athiti"/>
      </w:rPr>
    </w:pPr>
    <w:r>
      <w:rPr>
        <w:rFonts w:ascii="Athiti" w:eastAsia="Athiti" w:hAnsi="Athiti" w:cs="Athiti"/>
      </w:rPr>
      <w:fldChar w:fldCharType="begin"/>
    </w:r>
    <w:r w:rsidR="00B9520C">
      <w:rPr>
        <w:rFonts w:ascii="Athiti" w:eastAsia="Athiti" w:hAnsi="Athiti" w:cs="Athiti"/>
      </w:rPr>
      <w:instrText>PAGE</w:instrText>
    </w:r>
    <w:r>
      <w:rPr>
        <w:rFonts w:ascii="Athiti" w:eastAsia="Athiti" w:hAnsi="Athiti" w:cs="Athiti"/>
      </w:rPr>
      <w:fldChar w:fldCharType="separate"/>
    </w:r>
    <w:r w:rsidR="004E150B">
      <w:rPr>
        <w:rFonts w:ascii="Athiti" w:eastAsia="Athiti" w:hAnsi="Athiti" w:cs="Athiti"/>
        <w:noProof/>
      </w:rPr>
      <w:t>3</w:t>
    </w:r>
    <w:r>
      <w:rPr>
        <w:rFonts w:ascii="Athiti" w:eastAsia="Athiti" w:hAnsi="Athiti" w:cs="Athiti"/>
      </w:rPr>
      <w:fldChar w:fldCharType="end"/>
    </w:r>
  </w:p>
  <w:p w:rsidR="006E4A9D" w:rsidRDefault="005414FC">
    <w:pPr>
      <w:pStyle w:val="normal"/>
      <w:tabs>
        <w:tab w:val="center" w:pos="4677"/>
        <w:tab w:val="right" w:pos="9355"/>
      </w:tabs>
      <w:spacing w:after="0" w:line="240" w:lineRule="auto"/>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14FC" w:rsidRDefault="005414FC" w:rsidP="00C95E1B">
      <w:pPr>
        <w:spacing w:after="0" w:line="240" w:lineRule="auto"/>
      </w:pPr>
      <w:r>
        <w:separator/>
      </w:r>
    </w:p>
  </w:footnote>
  <w:footnote w:type="continuationSeparator" w:id="1">
    <w:p w:rsidR="005414FC" w:rsidRDefault="005414FC" w:rsidP="00C95E1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9D" w:rsidRDefault="00B9520C">
    <w:pPr>
      <w:pStyle w:val="normal"/>
    </w:pPr>
    <w:r>
      <w:rPr>
        <w:noProof/>
      </w:rPr>
      <w:drawing>
        <wp:anchor distT="0" distB="0" distL="114300" distR="114300" simplePos="0" relativeHeight="251659264" behindDoc="0" locked="0" layoutInCell="1" allowOverlap="1">
          <wp:simplePos x="0" y="0"/>
          <wp:positionH relativeFrom="page">
            <wp:posOffset>-23803</wp:posOffset>
          </wp:positionH>
          <wp:positionV relativeFrom="page">
            <wp:posOffset>-23803</wp:posOffset>
          </wp:positionV>
          <wp:extent cx="137625" cy="10775625"/>
          <wp:effectExtent l="0" t="0" r="0" b="0"/>
          <wp:wrapSquare wrapText="bothSides" distT="0" distB="0" distL="114300" distR="114300"/>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137625" cy="10775625"/>
                  </a:xfrm>
                  <a:prstGeom prst="rect">
                    <a:avLst/>
                  </a:prstGeom>
                  <a:ln/>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4A9D" w:rsidRDefault="00B9520C">
    <w:pPr>
      <w:pStyle w:val="normal"/>
    </w:pPr>
    <w:r>
      <w:rPr>
        <w:noProof/>
      </w:rPr>
      <w:drawing>
        <wp:anchor distT="0" distB="0" distL="114300" distR="114300" simplePos="0" relativeHeight="251660288" behindDoc="0" locked="0" layoutInCell="1" allowOverlap="1">
          <wp:simplePos x="0" y="0"/>
          <wp:positionH relativeFrom="page">
            <wp:posOffset>-23803</wp:posOffset>
          </wp:positionH>
          <wp:positionV relativeFrom="page">
            <wp:posOffset>-23803</wp:posOffset>
          </wp:positionV>
          <wp:extent cx="137625" cy="10775625"/>
          <wp:effectExtent l="0" t="0" r="0" b="0"/>
          <wp:wrapNone/>
          <wp:docPr id="15"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37625" cy="10775625"/>
                  </a:xfrm>
                  <a:prstGeom prst="rect">
                    <a:avLst/>
                  </a:prstGeom>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6C0A4C"/>
    <w:multiLevelType w:val="multilevel"/>
    <w:tmpl w:val="C7A22D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nsid w:val="43E4552E"/>
    <w:multiLevelType w:val="multilevel"/>
    <w:tmpl w:val="10A26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6BA0D58"/>
    <w:multiLevelType w:val="multilevel"/>
    <w:tmpl w:val="20D28F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nsid w:val="60B41348"/>
    <w:multiLevelType w:val="multilevel"/>
    <w:tmpl w:val="D39E146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6A616B9A"/>
    <w:multiLevelType w:val="multilevel"/>
    <w:tmpl w:val="9BE08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2"/>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F17C6"/>
    <w:rsid w:val="001F0902"/>
    <w:rsid w:val="00267770"/>
    <w:rsid w:val="004E150B"/>
    <w:rsid w:val="005414FC"/>
    <w:rsid w:val="005811F2"/>
    <w:rsid w:val="008E437E"/>
    <w:rsid w:val="009D0A5F"/>
    <w:rsid w:val="00B01FD2"/>
    <w:rsid w:val="00B06DB5"/>
    <w:rsid w:val="00B9520C"/>
    <w:rsid w:val="00C95E1B"/>
    <w:rsid w:val="00DF17C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F17C6"/>
    <w:pPr>
      <w:spacing w:after="160"/>
      <w:jc w:val="both"/>
    </w:pPr>
    <w:rPr>
      <w:rFonts w:ascii="Times New Roman" w:eastAsia="Times New Roman" w:hAnsi="Times New Roman" w:cs="Times New Roman"/>
      <w:sz w:val="24"/>
      <w:szCs w:val="24"/>
    </w:rPr>
  </w:style>
  <w:style w:type="paragraph" w:styleId="Nadpis3">
    <w:name w:val="heading 3"/>
    <w:basedOn w:val="normal"/>
    <w:next w:val="normal"/>
    <w:link w:val="Nadpis3Char"/>
    <w:rsid w:val="00DF17C6"/>
    <w:pPr>
      <w:keepNext/>
      <w:keepLines/>
      <w:spacing w:before="40" w:after="200"/>
      <w:outlineLvl w:val="2"/>
    </w:pPr>
    <w:rPr>
      <w:rFonts w:ascii="Calibri" w:eastAsia="Calibri" w:hAnsi="Calibri" w:cs="Calibri"/>
    </w:rPr>
  </w:style>
  <w:style w:type="paragraph" w:styleId="Nadpis4">
    <w:name w:val="heading 4"/>
    <w:basedOn w:val="normal"/>
    <w:next w:val="normal"/>
    <w:link w:val="Nadpis4Char"/>
    <w:rsid w:val="00DF17C6"/>
    <w:pPr>
      <w:keepNext/>
      <w:keepLines/>
      <w:spacing w:before="240" w:after="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3Char">
    <w:name w:val="Nadpis 3 Char"/>
    <w:basedOn w:val="Standardnpsmoodstavce"/>
    <w:link w:val="Nadpis3"/>
    <w:rsid w:val="00DF17C6"/>
    <w:rPr>
      <w:rFonts w:ascii="Calibri" w:eastAsia="Calibri" w:hAnsi="Calibri" w:cs="Calibri"/>
      <w:sz w:val="24"/>
      <w:szCs w:val="24"/>
    </w:rPr>
  </w:style>
  <w:style w:type="character" w:customStyle="1" w:styleId="Nadpis4Char">
    <w:name w:val="Nadpis 4 Char"/>
    <w:basedOn w:val="Standardnpsmoodstavce"/>
    <w:link w:val="Nadpis4"/>
    <w:rsid w:val="00DF17C6"/>
    <w:rPr>
      <w:rFonts w:ascii="Times New Roman" w:eastAsia="Times New Roman" w:hAnsi="Times New Roman" w:cs="Times New Roman"/>
      <w:b/>
      <w:sz w:val="24"/>
      <w:szCs w:val="24"/>
    </w:rPr>
  </w:style>
  <w:style w:type="paragraph" w:styleId="Nzev">
    <w:name w:val="Title"/>
    <w:basedOn w:val="normal"/>
    <w:next w:val="normal"/>
    <w:link w:val="NzevChar"/>
    <w:rsid w:val="00DF17C6"/>
    <w:pPr>
      <w:keepNext/>
      <w:keepLines/>
      <w:spacing w:before="480" w:after="120"/>
    </w:pPr>
    <w:rPr>
      <w:b/>
      <w:sz w:val="72"/>
      <w:szCs w:val="72"/>
    </w:rPr>
  </w:style>
  <w:style w:type="character" w:customStyle="1" w:styleId="NzevChar">
    <w:name w:val="Název Char"/>
    <w:basedOn w:val="Standardnpsmoodstavce"/>
    <w:link w:val="Nzev"/>
    <w:rsid w:val="00DF17C6"/>
    <w:rPr>
      <w:rFonts w:ascii="Times New Roman" w:eastAsia="Times New Roman" w:hAnsi="Times New Roman" w:cs="Times New Roman"/>
      <w:b/>
      <w:sz w:val="72"/>
      <w:szCs w:val="72"/>
    </w:rPr>
  </w:style>
  <w:style w:type="paragraph" w:customStyle="1" w:styleId="normal">
    <w:name w:val="normal"/>
    <w:rsid w:val="00DF17C6"/>
    <w:pPr>
      <w:spacing w:after="160"/>
      <w:jc w:val="both"/>
    </w:pPr>
    <w:rPr>
      <w:rFonts w:ascii="Times New Roman" w:eastAsia="Times New Roman" w:hAnsi="Times New Roman" w:cs="Times New Roman"/>
      <w:sz w:val="24"/>
      <w:szCs w:val="24"/>
    </w:rPr>
  </w:style>
  <w:style w:type="paragraph" w:styleId="Textbubliny">
    <w:name w:val="Balloon Text"/>
    <w:basedOn w:val="Normln"/>
    <w:link w:val="TextbublinyChar"/>
    <w:uiPriority w:val="99"/>
    <w:semiHidden/>
    <w:unhideWhenUsed/>
    <w:rsid w:val="00DF17C6"/>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DF17C6"/>
    <w:rPr>
      <w:rFonts w:ascii="Tahoma" w:eastAsia="Times New Roman"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3221</Words>
  <Characters>18361</Characters>
  <Application>Microsoft Office Word</Application>
  <DocSecurity>0</DocSecurity>
  <Lines>153</Lines>
  <Paragraphs>43</Paragraphs>
  <ScaleCrop>false</ScaleCrop>
  <Company/>
  <LinksUpToDate>false</LinksUpToDate>
  <CharactersWithSpaces>21539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Zman Kesef</dc:creator>
  <cp:lastModifiedBy>Zman Kesef</cp:lastModifiedBy>
  <cp:revision>3</cp:revision>
  <dcterms:created xsi:type="dcterms:W3CDTF">2025-07-28T22:53:00Z</dcterms:created>
  <dcterms:modified xsi:type="dcterms:W3CDTF">2025-07-30T17:43:00Z</dcterms:modified>
</cp:coreProperties>
</file>