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FD" w:rsidRPr="003A5609" w:rsidRDefault="001108FD" w:rsidP="001108FD">
      <w:pPr>
        <w:pStyle w:val="Nzev"/>
        <w:keepNext w:val="0"/>
        <w:keepLines w:val="0"/>
        <w:widowControl w:val="0"/>
        <w:spacing w:before="0" w:after="0"/>
        <w:jc w:val="right"/>
        <w:rPr>
          <w:rFonts w:ascii="Athiti" w:eastAsia="Athiti" w:hAnsi="Athiti" w:cs="Athiti"/>
          <w:b w:val="0"/>
          <w:sz w:val="18"/>
          <w:szCs w:val="18"/>
          <w:highlight w:val="yellow"/>
          <w:lang w:val="cs-CZ"/>
        </w:rPr>
      </w:pPr>
      <w:bookmarkStart w:id="0" w:name="_heading=h.l79du0hx25jr" w:colFirst="0" w:colLast="0"/>
      <w:bookmarkEnd w:id="0"/>
    </w:p>
    <w:p w:rsidR="001108FD" w:rsidRPr="003A5609" w:rsidRDefault="001108FD" w:rsidP="001108FD">
      <w:pPr>
        <w:pStyle w:val="Nzev"/>
        <w:keepNext w:val="0"/>
        <w:keepLines w:val="0"/>
        <w:widowControl w:val="0"/>
        <w:spacing w:before="0" w:after="0"/>
        <w:jc w:val="right"/>
        <w:rPr>
          <w:rFonts w:ascii="Athiti" w:eastAsia="Athiti" w:hAnsi="Athiti" w:cs="Athiti"/>
          <w:b w:val="0"/>
          <w:sz w:val="18"/>
          <w:szCs w:val="18"/>
          <w:highlight w:val="yellow"/>
          <w:lang w:val="cs-CZ"/>
        </w:rPr>
      </w:pPr>
      <w:bookmarkStart w:id="1" w:name="_heading=h.6hmko09gw3jw" w:colFirst="0" w:colLast="0"/>
      <w:bookmarkEnd w:id="1"/>
    </w:p>
    <w:p w:rsidR="001108FD" w:rsidRPr="003A5609" w:rsidRDefault="001108FD" w:rsidP="001108FD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2" w:name="_heading=h.m1lsepsbrrkh" w:colFirst="0" w:colLast="0"/>
      <w:bookmarkStart w:id="3" w:name="_heading=h.8dvo4inpgm8o" w:colFirst="0" w:colLast="0"/>
      <w:bookmarkEnd w:id="2"/>
      <w:bookmarkEnd w:id="3"/>
    </w:p>
    <w:p w:rsidR="001108FD" w:rsidRPr="003A5609" w:rsidRDefault="001108FD" w:rsidP="001108FD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1108FD" w:rsidRPr="003A5609" w:rsidRDefault="001108FD" w:rsidP="001108FD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1108FD" w:rsidRPr="003A5609" w:rsidRDefault="001108FD" w:rsidP="001108FD">
      <w:pPr>
        <w:pStyle w:val="normal"/>
        <w:jc w:val="center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r w:rsidRPr="003A5609">
        <w:rPr>
          <w:rFonts w:ascii="Athiti" w:eastAsia="Athiti" w:hAnsi="Athiti" w:cs="Athiti"/>
          <w:b/>
          <w:sz w:val="48"/>
          <w:szCs w:val="48"/>
          <w:lang w:val="cs-CZ"/>
        </w:rPr>
        <w:t>Postupy pro nástup a odchod zaměstnanců</w:t>
      </w:r>
    </w:p>
    <w:p w:rsidR="001108FD" w:rsidRPr="003A5609" w:rsidRDefault="001108FD" w:rsidP="001108FD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4" w:name="_heading=h.wxzpvxfe9a17" w:colFirst="0" w:colLast="0"/>
      <w:bookmarkEnd w:id="4"/>
    </w:p>
    <w:p w:rsidR="001108FD" w:rsidRPr="003A5609" w:rsidRDefault="001108FD" w:rsidP="001108FD">
      <w:pPr>
        <w:pStyle w:val="normal"/>
        <w:spacing w:before="240" w:after="240" w:line="240" w:lineRule="auto"/>
        <w:jc w:val="left"/>
        <w:rPr>
          <w:rFonts w:ascii="Athiti" w:eastAsia="Athiti" w:hAnsi="Athiti" w:cs="Athiti"/>
          <w:color w:val="444444"/>
          <w:lang w:val="cs-CZ"/>
        </w:rPr>
      </w:pPr>
    </w:p>
    <w:p w:rsidR="001108FD" w:rsidRPr="003A5609" w:rsidRDefault="001108FD" w:rsidP="001108FD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  <w:lang w:val="cs-CZ"/>
        </w:rPr>
      </w:pPr>
    </w:p>
    <w:tbl>
      <w:tblPr>
        <w:tblpPr w:leftFromText="180" w:rightFromText="180" w:topFromText="180" w:bottomFromText="180" w:vertAnchor="text" w:horzAnchor="page" w:tblpX="5646" w:tblpY="3027"/>
        <w:tblW w:w="5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1108FD" w:rsidRPr="003A5609" w:rsidTr="00E77951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108FD" w:rsidRPr="003A5609" w:rsidRDefault="001108FD" w:rsidP="00E77951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1108FD" w:rsidRPr="003A5609" w:rsidRDefault="001108FD" w:rsidP="00E77951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3A5609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1108FD" w:rsidRPr="003A5609" w:rsidTr="00E77951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108FD" w:rsidRPr="003A5609" w:rsidRDefault="001108FD" w:rsidP="00E77951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1108FD" w:rsidRPr="003A5609" w:rsidRDefault="00A03677" w:rsidP="00E77951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  <w:tr w:rsidR="001108FD" w:rsidRPr="003A5609" w:rsidTr="00E77951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108FD" w:rsidRPr="003A5609" w:rsidRDefault="001108FD" w:rsidP="00E77951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1108FD" w:rsidRPr="003A5609" w:rsidRDefault="001108FD" w:rsidP="00E77951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3A5609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1108FD" w:rsidRPr="003A5609" w:rsidTr="00E77951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1108FD" w:rsidRPr="003A5609" w:rsidRDefault="001108FD" w:rsidP="00E77951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1108FD" w:rsidRPr="003A5609" w:rsidRDefault="00A03677" w:rsidP="00E77951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1108FD" w:rsidRPr="003A5609" w:rsidRDefault="001108FD" w:rsidP="001108FD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sz w:val="18"/>
          <w:szCs w:val="18"/>
          <w:lang w:val="cs-CZ"/>
        </w:rPr>
      </w:pPr>
      <w:r w:rsidRPr="003A5609">
        <w:rPr>
          <w:lang w:val="cs-CZ"/>
        </w:rPr>
        <w:br w:type="page"/>
      </w:r>
    </w:p>
    <w:p w:rsidR="001108FD" w:rsidRPr="003A5609" w:rsidRDefault="001108FD" w:rsidP="001108FD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3A5609">
        <w:rPr>
          <w:rFonts w:ascii="Athiti" w:eastAsia="Athiti" w:hAnsi="Athiti" w:cs="Athiti"/>
          <w:b/>
          <w:sz w:val="36"/>
          <w:szCs w:val="36"/>
          <w:lang w:val="cs-CZ"/>
        </w:rPr>
        <w:lastRenderedPageBreak/>
        <w:t>Obsah</w:t>
      </w:r>
    </w:p>
    <w:sdt>
      <w:sdtPr>
        <w:rPr>
          <w:lang w:val="cs-CZ"/>
        </w:rPr>
        <w:id w:val="-1646413972"/>
        <w:docPartObj>
          <w:docPartGallery w:val="Table of Contents"/>
          <w:docPartUnique/>
        </w:docPartObj>
      </w:sdtPr>
      <w:sdtContent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r w:rsidRPr="003A5609">
            <w:rPr>
              <w:lang w:val="cs-CZ"/>
            </w:rPr>
            <w:fldChar w:fldCharType="begin"/>
          </w:r>
          <w:r w:rsidR="001108FD" w:rsidRPr="003A5609">
            <w:rPr>
              <w:lang w:val="cs-CZ"/>
            </w:rPr>
            <w:instrText xml:space="preserve"> TOC \h \u \z \t "Heading 1,1,Heading 2,2,Heading 3,3,"</w:instrText>
          </w:r>
          <w:r w:rsidRPr="003A5609">
            <w:rPr>
              <w:lang w:val="cs-CZ"/>
            </w:rPr>
            <w:fldChar w:fldCharType="separate"/>
          </w:r>
          <w:hyperlink w:anchor="_heading=h.rh6xsfikiuzi">
            <w:r w:rsidR="001108FD" w:rsidRPr="003A5609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Pojmy a definice</w:t>
            </w:r>
            <w:r w:rsidR="001108FD" w:rsidRPr="003A5609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gxs47ujoyfjr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 Účel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3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rli942jklolb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1.1 Strategické cíle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3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p6lyd3qoq7sl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1.2 Provozní význam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c8ogzhvs11uo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1.3 Řízení rizik a compliance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mik1btkdtkt4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1.4 Zkušenost zaměstnance a začlenění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n16tj536vhmr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1.5 Soulad s hodnotami organizace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ihgtj797ru24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 Působnost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w3r974ovboia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2.1 Rozsah podle typu pracovní spolupráce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6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yc09mq3bno1g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2.2 Organizační rozsah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6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3duydj8aa5yy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2.3 Události spouštějící procesy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7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hibf42c64r3p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2.4 Výjimky a přizpůsobení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7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dldvmf6i79uz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 Postup při nástupu zaměstnance (Onboarding)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8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woxs6wbcceje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3.1 Před nástupem (Preboarding – před prvním pracovním dnem)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8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8y1cpfhm7pc9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3.2 První pracovní den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9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i544ck8g3byf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3.3 První týden až první měsíc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9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ozi3j6f9esfe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 Postup při odchodu zaměstnance (Offboarding)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f8dx3awcc8cf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4.1 Dobrovolné ukončení pracovního poměru (výpověď, odchod do důchodu, interní přestup)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nwm5ts6nbril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4.2 Iniciovaný odchod ze strany zaměstnavatele (propuštění, organizační změny apod.)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10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cifn6tgki7vh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4.3 Všeobecné výstupní kroky pro všechny formy odchodu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1lnynyvdym4t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4.4 Specifické situace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11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mhgmh3cekbdg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5. Role a odpovědnosti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12</w:t>
            </w:r>
          </w:hyperlink>
        </w:p>
        <w:p w:rsidR="001108FD" w:rsidRPr="003A5609" w:rsidRDefault="00D62A85" w:rsidP="001108FD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36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fg83wa10fy7q"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6. Související kontrolní seznamy a formuláře</w:t>
            </w:r>
            <w:r w:rsidR="001108FD" w:rsidRPr="003A5609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12</w:t>
            </w:r>
          </w:hyperlink>
          <w:r w:rsidRPr="003A5609">
            <w:rPr>
              <w:lang w:val="cs-CZ"/>
            </w:rPr>
            <w:fldChar w:fldCharType="end"/>
          </w:r>
        </w:p>
      </w:sdtContent>
    </w:sdt>
    <w:p w:rsidR="001108FD" w:rsidRPr="003A5609" w:rsidRDefault="001108FD" w:rsidP="001108FD">
      <w:pPr>
        <w:pStyle w:val="normal"/>
        <w:rPr>
          <w:rFonts w:ascii="Athiti" w:eastAsia="Athiti" w:hAnsi="Athiti" w:cs="Athiti"/>
          <w:color w:val="44546A"/>
          <w:sz w:val="32"/>
          <w:szCs w:val="32"/>
          <w:lang w:val="cs-CZ"/>
        </w:rPr>
      </w:pPr>
      <w:r w:rsidRPr="003A5609">
        <w:rPr>
          <w:lang w:val="cs-CZ"/>
        </w:rPr>
        <w:br w:type="page"/>
      </w:r>
    </w:p>
    <w:p w:rsidR="001108FD" w:rsidRPr="003A5609" w:rsidRDefault="001108FD" w:rsidP="001108FD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lang w:val="cs-CZ"/>
        </w:rPr>
      </w:pPr>
      <w:bookmarkStart w:id="5" w:name="_heading=h.rh6xsfikiuzi" w:colFirst="0" w:colLast="0"/>
      <w:bookmarkEnd w:id="5"/>
      <w:r w:rsidRPr="003A5609">
        <w:rPr>
          <w:rFonts w:ascii="Athiti" w:eastAsia="Athiti" w:hAnsi="Athiti" w:cs="Athiti"/>
          <w:sz w:val="28"/>
          <w:szCs w:val="28"/>
          <w:lang w:val="cs-CZ"/>
        </w:rPr>
        <w:lastRenderedPageBreak/>
        <w:t>Pojmy a definice</w:t>
      </w:r>
    </w:p>
    <w:p w:rsidR="001108FD" w:rsidRPr="003A5609" w:rsidRDefault="001108FD" w:rsidP="001108FD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b w:val="0"/>
          <w:sz w:val="22"/>
          <w:szCs w:val="22"/>
          <w:lang w:val="cs-CZ"/>
        </w:rPr>
      </w:pPr>
      <w:bookmarkStart w:id="6" w:name="_heading=h.qqqpasudxslv" w:colFirst="0" w:colLast="0"/>
      <w:bookmarkEnd w:id="6"/>
    </w:p>
    <w:p w:rsidR="001108FD" w:rsidRPr="003A5609" w:rsidRDefault="001108FD" w:rsidP="001108FD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90"/>
        <w:gridCol w:w="6755"/>
      </w:tblGrid>
      <w:tr w:rsidR="001108FD" w:rsidRPr="003A5609" w:rsidTr="00E77951">
        <w:trPr>
          <w:cantSplit/>
          <w:trHeight w:val="51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Pojem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Onboarding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Proces začlenění nového zaměstnance do organizace, který zahrnuje administrativní, technické a personální kroky před nástupem i po nástupu.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Offboarding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Proces ukončení pracovního poměru zaměstnance, včetně zajištění vrácení vybavení, odebrání přístupů, zpracování dokumentace a výstupního hodnocení.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Preboarding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Fáze před nástupem, kdy se připravují smlouvy, IT přístupy, formuláře a orientace nového zaměstnance.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NEO (New Employee Orientation)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Úvodní školení pro nové zaměstnance zaměřené na seznámení s organizací, pravidly, benefity a požadavky na dodržování předpisů.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ILM (Identity Lifecycle Management)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Systém správy digitální identity, který umožňuje zřízení, změnu a odebrání přístupů zaměstnanců do IT systémů organizace.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DLP platforma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Digitální nástroj využívaný k řízení a dokumentaci nástupních a výstupních procesů zaměstnanců.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MFA (Multi-Factor Authentication)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Vícefaktorové ověřování identity uživatele, které zvyšuje bezpečnost přístupu do systémů.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Kontrolní seznam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Standardizovaný seznam úkolů nebo položek, které musí být během nástupu nebo odchodu zaměstnance splněny.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Pracovní nabídka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Písemný dokument, kterým organizace oficiálně nabízí pracovní místo vybranému uchazeči, může být podmíněná nebo bezpodmínečná.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Zaměstnanec na plný úvazek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Osoba zaměstnaná na standardní pracovní dobu podle pracovní smlouvy, obvykle 40 hodin týdně.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Externí spolupracovník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Osoba pracující na základě smlouvy mimo hlavní pracovní poměr (např. konzultant, dodavatel), která má přístup k prostředí organizace.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lastRenderedPageBreak/>
              <w:t>Exit Survey (výstupní dotazník)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Dotazník vyplňovaný odcházejícím zaměstnancem, který slouží ke zjištění důvodů odchodu a hodnocení zaměstnanecké zkušenosti.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Retirement Offboarding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Zvláštní postup ukončení pracovního poměru zaměstnance odcházejícího do důchodu, včetně komunikace s penzijní institucí.</w:t>
            </w:r>
          </w:p>
        </w:tc>
      </w:tr>
    </w:tbl>
    <w:p w:rsidR="001108FD" w:rsidRPr="003A5609" w:rsidRDefault="001108FD" w:rsidP="001108FD">
      <w:pPr>
        <w:pStyle w:val="normal"/>
        <w:rPr>
          <w:rFonts w:ascii="Athiti" w:eastAsia="Athiti" w:hAnsi="Athiti" w:cs="Athiti"/>
          <w:lang w:val="cs-CZ"/>
        </w:rPr>
      </w:pPr>
    </w:p>
    <w:p w:rsidR="001108FD" w:rsidRPr="003A5609" w:rsidRDefault="001108FD" w:rsidP="001108FD">
      <w:pPr>
        <w:pStyle w:val="Nadpis2"/>
        <w:keepNext w:val="0"/>
        <w:keepLines w:val="0"/>
        <w:widowControl w:val="0"/>
        <w:spacing w:before="360" w:after="80"/>
        <w:rPr>
          <w:rFonts w:ascii="Athiti" w:eastAsia="Athiti" w:hAnsi="Athiti" w:cs="Athiti"/>
          <w:b/>
          <w:sz w:val="34"/>
          <w:szCs w:val="34"/>
          <w:lang w:val="cs-CZ"/>
        </w:rPr>
      </w:pPr>
      <w:bookmarkStart w:id="7" w:name="_heading=h.gxs47ujoyfjr" w:colFirst="0" w:colLast="0"/>
      <w:bookmarkEnd w:id="7"/>
      <w:r w:rsidRPr="003A5609">
        <w:rPr>
          <w:rFonts w:ascii="Athiti" w:eastAsia="Athiti" w:hAnsi="Athiti" w:cs="Athiti"/>
          <w:b/>
          <w:sz w:val="34"/>
          <w:szCs w:val="34"/>
          <w:lang w:val="cs-CZ"/>
        </w:rPr>
        <w:t>1. Účel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Účelem tohoto dokumentu je stanovit standardizované a komplexní postupy pro nástup (onboarding) a odchod (offboarding) zaměstnanců v rámci organizace. Tyto postupy slouží k tomu, aby každý nástup i odchod zaměstnance probíhal efektivně, bezpečně a jednotně, v souladu s interními politikami, platnými právními předpisy a osvědčenými postupy v oblasti řízení lidských zdrojů.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8" w:name="_heading=h.rli942jklolb" w:colFirst="0" w:colLast="0"/>
      <w:bookmarkEnd w:id="8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1.1 Strategické cíle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Procesy nástupu a odchodu zaměstnanců mají přímý vliv na výkonnost organizace, řízení rizik a celkovou spokojenost zaměstnanců. Tento dokument má za cíl: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Podpořit angažovanost a udržení zaměstnanců prostřednictvím přívětivého a strukturovaného nástupního procesu, který posiluje jejich rané napojení na poslání, hodnoty a kulturu organizace.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Snížit rizika a provozní narušení díky hladkému průběhu odchodu zaměstnance, který zahrnuje předání odpovědností, odebrání přístupů a ochranu majetku organizace.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Posílit soulad s pracovněprávními předpisy, ochranou osobních údajů, bezpečnostními standardy IT a smluvními povinnostmi během celého zaměstnaneckého cyklu.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9" w:name="_heading=h.p6lyd3qoq7sl" w:colFirst="0" w:colLast="0"/>
      <w:bookmarkEnd w:id="9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1.2 Provozní význam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Tyto postupy poskytují jasné pokyny pro všechny zapojené útvary – včetně personálního oddělení, IT, mzdového oddělení, právního oddělení a vedoucích pracovníků – v otázce jejich odpovědností a časových rámců. Napomáhají tomu, aby: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Nově přijatí zaměstnanci obdrželi od prvního dne veškeré nástroje, přístupy a informace potřebné k efektivní práci.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Odcházející zaměstnanci splnili před ukončením pracovního poměru všechny povinné kroky, včetně vrácení svěřeného vybavení, předání know-how a odpojení přístupů do systémů.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Všechny změny personálního charakteru byly správně zaznamenány a zpracovány v systémech organizace, čímž se minimalizují administrativní chyby a zpoždění.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0" w:name="_heading=h.c8ogzhvs11uo" w:colFirst="0" w:colLast="0"/>
      <w:bookmarkEnd w:id="10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1.3 Řízení rizik a compliance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lastRenderedPageBreak/>
        <w:t>Efektivní onboarding a offboarding tvoří nedílnou součást systému řízení vnitřních rizik organizace. Slouží k tomu, aby: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Bylo zabráněno neoprávněnému přístupu do systémů a k citlivým datům po odchodu zaměstnance.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Byly ve stanovených lhůtách bezpečně zpracovány důležité dokumenty, jako jsou pracovní smlouvy, daňová prohlášení, volby benefitů a výstupní záznamy.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Byla zajištěna připravenost na interní či externí audit prostřednictvím úplných, aktuálních a ověřitelných záznamů o personálních změnách.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Byl naplněn právní rámec, včetně souladu s pracovním právem, standardy kybernetické bezpečnosti (např. správa digitální identity) a předpisy na ochranu osobních údajů, jako je GDPR nebo jejich místní ekvivalenty.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1" w:name="_heading=h.mik1btkdtkt4" w:colFirst="0" w:colLast="0"/>
      <w:bookmarkEnd w:id="11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1.4 Zkušenost zaměstnance a začlenění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Tento dokument současně podporuje závazek organizace k rovnosti, dostupnosti a začleňování. Postupy jsou navrženy tak, aby: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9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Každý zaměstnanec – bez ohledu na pozici, lokalitu nebo zdravotní stav – měl rovný přístup k potřebným informacím, zdrojům a školením.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První dojem z organizace byl pozitivní, čímž se podpoří důvěra, motivace a dlouhodobý pracovní vztah.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9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Odcházející zaměstnanci byli vedeni k důstojnému a profesionálnímu ukončení pracovního poměru, což přispívá k dobré pověsti zaměstnavatele a případně i možnosti budoucí spolupráce.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2" w:name="_heading=h.n16tj536vhmr" w:colFirst="0" w:colLast="0"/>
      <w:bookmarkEnd w:id="12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1.5 Soulad s hodnotami organizace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Závěrem tento dokument odráží základní hodnoty organizace – profesionalitu, odpovědnost, transparentnost a vzájemný respekt. Zakotvuje pravidla, která zajišťují, že všichni zaměstnanci: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0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Jsou při nástupu vítáni s péčí a důrazem na důležitost jejich role v týmu a přínosu pro organizaci.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0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Jsou při odchodu vedeni s ohledem na ochranu zájmů jak organizace, tak samotného zaměstnance a jeho pracovního odkazu.</w:t>
      </w:r>
    </w:p>
    <w:p w:rsidR="001108FD" w:rsidRPr="003A5609" w:rsidRDefault="001108FD" w:rsidP="001108FD">
      <w:pPr>
        <w:pStyle w:val="Nadpis2"/>
        <w:keepNext w:val="0"/>
        <w:keepLines w:val="0"/>
        <w:widowControl w:val="0"/>
        <w:spacing w:before="360" w:after="80"/>
        <w:rPr>
          <w:rFonts w:ascii="Athiti" w:eastAsia="Athiti" w:hAnsi="Athiti" w:cs="Athiti"/>
          <w:b/>
          <w:sz w:val="34"/>
          <w:szCs w:val="34"/>
          <w:lang w:val="cs-CZ"/>
        </w:rPr>
      </w:pPr>
      <w:bookmarkStart w:id="13" w:name="_heading=h.ihgtj797ru24" w:colFirst="0" w:colLast="0"/>
      <w:bookmarkEnd w:id="13"/>
      <w:r w:rsidRPr="003A5609">
        <w:rPr>
          <w:rFonts w:ascii="Athiti" w:eastAsia="Athiti" w:hAnsi="Athiti" w:cs="Athiti"/>
          <w:b/>
          <w:sz w:val="34"/>
          <w:szCs w:val="34"/>
          <w:lang w:val="cs-CZ"/>
        </w:rPr>
        <w:t>2. Působnost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Tato směrnice se vztahuje na všechny osoby, které s organizací navazují pracovní nebo obdobný smluvní vztah, a to bez ohledu na jejich pracovní zařazení, typ smlouvy nebo organizační začlenění. Smyslem této úpravy je zajistit jednotný přístup k procesům nástupu (onboardingu) a odchodu (offboardingu) napříč celou organizací. Dokument současně odráží závazek organizace k profesionálním standardům, řízení rizik a spravedlivému zacházení se všemi osobami během jejich působení v organizaci.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4" w:name="_heading=h.w3r974ovboia" w:colFirst="0" w:colLast="0"/>
      <w:bookmarkEnd w:id="14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lastRenderedPageBreak/>
        <w:t>2.1 Rozsah podle typu pracovní spolupráce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Tato směrnice se vztahuje na následující kategorie osob: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Zaměstnanci na plný úvazek</w:t>
      </w:r>
      <w:r w:rsidRPr="003A5609">
        <w:rPr>
          <w:rFonts w:ascii="Athiti" w:eastAsia="Athiti" w:hAnsi="Athiti" w:cs="Athiti"/>
          <w:lang w:val="cs-CZ"/>
        </w:rPr>
        <w:t xml:space="preserve"> – osoby pracující na základě pracovní smlouvy s plným stanoveným týdenním fondem pracovní doby.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Zaměstnanci na částečný úvazek</w:t>
      </w:r>
      <w:r w:rsidRPr="003A5609">
        <w:rPr>
          <w:rFonts w:ascii="Athiti" w:eastAsia="Athiti" w:hAnsi="Athiti" w:cs="Athiti"/>
          <w:lang w:val="cs-CZ"/>
        </w:rPr>
        <w:t xml:space="preserve"> – osoby s pravidelně sníženou pracovní dobou oproti plnému úvazku.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Zaměstnanci na dobu určitou nebo projektovou spolupráci</w:t>
      </w:r>
      <w:r w:rsidRPr="003A5609">
        <w:rPr>
          <w:rFonts w:ascii="Athiti" w:eastAsia="Athiti" w:hAnsi="Athiti" w:cs="Athiti"/>
          <w:lang w:val="cs-CZ"/>
        </w:rPr>
        <w:t xml:space="preserve"> – osoby přijaté na omezenou dobu nebo za účelem realizace konkrétního úkolu či projektu.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Externí spolupracovníci a dodavatelé (konzultanti)</w:t>
      </w:r>
      <w:r w:rsidRPr="003A5609">
        <w:rPr>
          <w:rFonts w:ascii="Athiti" w:eastAsia="Athiti" w:hAnsi="Athiti" w:cs="Athiti"/>
          <w:lang w:val="cs-CZ"/>
        </w:rPr>
        <w:t xml:space="preserve"> – osoby mimo interní mzdovou evidenci organizace, které mají přístup k systémům, prostorám nebo citlivým informacím. Jejich nástupní a výstupní procesy mohou být přizpůsobeny, ale musí vždy zahrnovat klíčové prvky, jako je řízení přístupových oprávnění a podepsání dohod o mlčenlivosti.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Stážisté a učni</w:t>
      </w:r>
      <w:r w:rsidRPr="003A5609">
        <w:rPr>
          <w:rFonts w:ascii="Athiti" w:eastAsia="Athiti" w:hAnsi="Athiti" w:cs="Athiti"/>
          <w:lang w:val="cs-CZ"/>
        </w:rPr>
        <w:t xml:space="preserve"> – osoby zapojené do dočasných rozvojových nebo vzdělávacích programů. Jejich onboarding a offboarding musí být přizpůsoben charakteru jejich působení, avšak musí zahrnovat školení v oblasti compliance, závazky důvěrnosti a IT přístup podle potřeby.</w:t>
      </w:r>
    </w:p>
    <w:p w:rsidR="001108FD" w:rsidRPr="003A5609" w:rsidRDefault="003A5609" w:rsidP="001108FD">
      <w:pPr>
        <w:pStyle w:val="normal"/>
        <w:widowControl w:val="0"/>
        <w:numPr>
          <w:ilvl w:val="0"/>
          <w:numId w:val="1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Znovupřijetí</w:t>
      </w:r>
      <w:r w:rsidR="001108FD" w:rsidRPr="003A5609">
        <w:rPr>
          <w:rFonts w:ascii="Athiti" w:eastAsia="Athiti" w:hAnsi="Athiti" w:cs="Athiti"/>
          <w:b/>
          <w:lang w:val="cs-CZ"/>
        </w:rPr>
        <w:t xml:space="preserve"> zaměstnanci a interní přesuny</w:t>
      </w:r>
      <w:r w:rsidR="001108FD" w:rsidRPr="003A5609">
        <w:rPr>
          <w:rFonts w:ascii="Athiti" w:eastAsia="Athiti" w:hAnsi="Athiti" w:cs="Athiti"/>
          <w:lang w:val="cs-CZ"/>
        </w:rPr>
        <w:t xml:space="preserve"> – osoby, které se do organizace vracejí, nebo které přecházejí mezi útvary či organizačními jednotkami. V těchto případech se použije zjednodušený, ale povinný proces, jehož cílem je zajistit aktualizaci systémových přístupů, personálních údajů a plnění povinných školení.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5" w:name="_heading=h.yc09mq3bno1g" w:colFirst="0" w:colLast="0"/>
      <w:bookmarkEnd w:id="15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2.2 Organizační rozsah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Tato politika je závazná pro všechna oddělení, pobočky, dceřiné společnosti, projekty a další organizační jednotky, včetně: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Ústředí a regionálních kanceláří,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zaměstnanců pracujících na dálku či v hybridním režimu,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pracovníků vykonávajících činnost v terénu nebo u klienta,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partnerských nebo propojených subjektů, se kterými má organizace sdílené řízení nebo integrované procesy.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 případech, kdy organizace působí ve více jurisdikcích, musí být tyto postupy prováděny v souladu s místními právními předpisy. Pokud místní legislativa stanoví odlišné požadavky, mají přednost před touto interní směrnicí, přičemž základní zásady tohoto dokumentu musí být zachovány, pokud to právní rámec umožňuje.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6" w:name="_heading=h.3duydj8aa5yy" w:colFirst="0" w:colLast="0"/>
      <w:bookmarkEnd w:id="16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2.3 Události spouštějící procesy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Postupy uvedené v tomto dokumentu se uplatňují vždy, když dojde k jedné z následujících situací: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přijetí nové osoby do pracovního poměru, bez ohledu na typ smlouvy nebo úroveň pozice,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návrat bývalého zaměstnance,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interní povýšení nebo přesun, který znamená změnu přístupových oprávnění, pracovních úkolů nebo přímého nadřízeného,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lastRenderedPageBreak/>
        <w:t>ukončení pracovního poměru formou výpovědi, odchodu do důchodu nebo jiným dobrovolným způsobem,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ukončení pracovního poměru z rozhodnutí zaměstnavatele (např. pro porušení povinností nebo z organizačních důvodů),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ukončení stáže, učňovské praxe nebo projektového zapojení,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změna statusu pracovního poměru (např. z doby určité na dobu neurčitou nebo přechod z částečného na plný úvazek),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přechod zaměstnance do propojené organizace s přístupem do společných systémů.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7" w:name="_heading=h.hibf42c64r3p" w:colFirst="0" w:colLast="0"/>
      <w:bookmarkEnd w:id="17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2.4 Výjimky a přizpůsobení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 některých případech může být potřeba upravit nebo přizpůsobit jednotlivé kroky postupů. Typicky se to týká: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kolektivních smluv nebo pravidel vyplývajících z odborového zastoupení,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zákonných požadavků nebo specifických odvětvových regulací (např. zdravotnictví, veřejná správa),</w:t>
      </w:r>
      <w:r w:rsidRPr="003A5609">
        <w:rPr>
          <w:rFonts w:ascii="Athiti" w:eastAsia="Athiti" w:hAnsi="Athiti" w:cs="Athiti"/>
          <w:lang w:val="cs-CZ"/>
        </w:rPr>
        <w:br/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pozic, které nevyžadují přístup do interních systémů, a kde jsou výstupní kroky zjednodušené,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mimořádných případů, jako je urgentní nástup či okamžité ukončení poměru, kdy mohou být některé kroky provedeny zpětně, ale vždy musí být doloženy.</w:t>
      </w:r>
    </w:p>
    <w:p w:rsidR="001108FD" w:rsidRPr="003A5609" w:rsidRDefault="001108FD" w:rsidP="001108FD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Ve všech výše uvedených případech je odpovědnost za posouzení a zdokumentování výjimek na personálním oddělení ve spolupráci s útvarem compliance. Musí být zajištěno, že jsou i v takových případech dodrženy základní kontrolní mechanismy, zejména v oblastech přístupových práv, důvěrnosti informací, ochrany dat a vrácení svěřeného majetku.</w:t>
      </w:r>
    </w:p>
    <w:p w:rsidR="001108FD" w:rsidRPr="003A5609" w:rsidRDefault="001108FD" w:rsidP="001108FD">
      <w:pPr>
        <w:pStyle w:val="Nadpis2"/>
        <w:keepNext w:val="0"/>
        <w:keepLines w:val="0"/>
        <w:widowControl w:val="0"/>
        <w:spacing w:before="360" w:after="80"/>
        <w:rPr>
          <w:rFonts w:ascii="Athiti" w:eastAsia="Athiti" w:hAnsi="Athiti" w:cs="Athiti"/>
          <w:b/>
          <w:sz w:val="34"/>
          <w:szCs w:val="34"/>
          <w:lang w:val="cs-CZ"/>
        </w:rPr>
      </w:pPr>
      <w:bookmarkStart w:id="18" w:name="_heading=h.dldvmf6i79uz" w:colFirst="0" w:colLast="0"/>
      <w:bookmarkEnd w:id="18"/>
      <w:r w:rsidRPr="003A5609">
        <w:rPr>
          <w:rFonts w:ascii="Athiti" w:eastAsia="Athiti" w:hAnsi="Athiti" w:cs="Athiti"/>
          <w:b/>
          <w:sz w:val="34"/>
          <w:szCs w:val="34"/>
          <w:lang w:val="cs-CZ"/>
        </w:rPr>
        <w:t>3. Postup při nástupu zaměstnance (Onboarding)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9" w:name="_heading=h.woxs6wbcceje" w:colFirst="0" w:colLast="0"/>
      <w:bookmarkEnd w:id="19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3.1 Před nástupem (Preboarding – před prvním pracovním dnem)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Odpovědnost:</w:t>
      </w:r>
      <w:r w:rsidRPr="003A5609">
        <w:rPr>
          <w:rFonts w:ascii="Athiti" w:eastAsia="Athiti" w:hAnsi="Athiti" w:cs="Athiti"/>
          <w:lang w:val="cs-CZ"/>
        </w:rPr>
        <w:t xml:space="preserve"> vedoucí náboru / zástupce personálního oddělení</w:t>
      </w:r>
      <w:r w:rsidRPr="003A5609">
        <w:rPr>
          <w:rFonts w:ascii="Athiti" w:eastAsia="Athiti" w:hAnsi="Athiti" w:cs="Athiti"/>
          <w:lang w:val="cs-CZ"/>
        </w:rPr>
        <w:br/>
        <w:t xml:space="preserve"> </w:t>
      </w:r>
      <w:r w:rsidRPr="003A5609">
        <w:rPr>
          <w:rFonts w:ascii="Athiti" w:eastAsia="Athiti" w:hAnsi="Athiti" w:cs="Athiti"/>
          <w:b/>
          <w:lang w:val="cs-CZ"/>
        </w:rPr>
        <w:t>Časový rámec:</w:t>
      </w:r>
      <w:r w:rsidRPr="003A5609">
        <w:rPr>
          <w:rFonts w:ascii="Athiti" w:eastAsia="Athiti" w:hAnsi="Athiti" w:cs="Athiti"/>
          <w:lang w:val="cs-CZ"/>
        </w:rPr>
        <w:t xml:space="preserve"> do 2 pracovních dnů od přijetí nabídky uchazečem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Během této fáze je nutné připravit všechny formální a technické podmínky, aby mohl zaměstnanec bez problémů zahájit práci v den nástupu. Postup zahrnuje zejména následující kroky: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Vyhotovení a zaslání písemné pracovní nabídky (podmíněné nebo bezpodmínečné) v souladu s interními pravidly a případnými kolektivními smlouvami.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Zahájení procesu zřízení uživatelského účtu a přístupových oprávnění prostřednictvím systému pro správu identity (ILM) nebo dle interního IT postupu.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Poskytnutí přístupu do portálu pro nové zaměstnance (např. onboardingový modul nebo platforma DLP).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 xml:space="preserve">Zaslání kontrolního seznamu pro nové zaměstnance spolu s předběžnými formuláři (např. </w:t>
      </w:r>
      <w:r w:rsidRPr="003A5609">
        <w:rPr>
          <w:rFonts w:ascii="Athiti" w:eastAsia="Athiti" w:hAnsi="Athiti" w:cs="Athiti"/>
          <w:lang w:val="cs-CZ"/>
        </w:rPr>
        <w:lastRenderedPageBreak/>
        <w:t>daňové formuláře, ověření totožnosti, volby benefitů, formuláře GDPR).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Naplánování účasti na úvodní orientační schůzce (NEO – New Employee Orientation), která může proběhnout prezenčně nebo online.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Zajištění a předání informací o případných individuálních potřebách v oblasti přístupnosti (např. ergonomické vybavení, asistenční nástroje).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U nepodléhajících kolektivním smlouvám provedení analýzy rovnosti odměňování na základě kvalifikace a praxe.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0" w:name="_heading=h.8y1cpfhm7pc9" w:colFirst="0" w:colLast="0"/>
      <w:bookmarkEnd w:id="20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3.2 První pracovní den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Odpovědnost:</w:t>
      </w:r>
      <w:r w:rsidRPr="003A5609">
        <w:rPr>
          <w:rFonts w:ascii="Athiti" w:eastAsia="Athiti" w:hAnsi="Athiti" w:cs="Athiti"/>
          <w:lang w:val="cs-CZ"/>
        </w:rPr>
        <w:t xml:space="preserve"> přímý nadřízený / IT / personální oddělení</w:t>
      </w:r>
      <w:r w:rsidRPr="003A5609">
        <w:rPr>
          <w:rFonts w:ascii="Athiti" w:eastAsia="Athiti" w:hAnsi="Athiti" w:cs="Athiti"/>
          <w:lang w:val="cs-CZ"/>
        </w:rPr>
        <w:br/>
        <w:t xml:space="preserve"> </w:t>
      </w:r>
      <w:r w:rsidRPr="003A5609">
        <w:rPr>
          <w:rFonts w:ascii="Athiti" w:eastAsia="Athiti" w:hAnsi="Athiti" w:cs="Athiti"/>
          <w:b/>
          <w:lang w:val="cs-CZ"/>
        </w:rPr>
        <w:t>Časový rámec:</w:t>
      </w:r>
      <w:r w:rsidRPr="003A5609">
        <w:rPr>
          <w:rFonts w:ascii="Athiti" w:eastAsia="Athiti" w:hAnsi="Athiti" w:cs="Athiti"/>
          <w:lang w:val="cs-CZ"/>
        </w:rPr>
        <w:t xml:space="preserve"> první pracovní den (nebo dříve v případě předběžné orientace)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Cílem prvního dne je nejen přivítat zaměstnance, ale také zajistit, aby měl vše potřebné pro výkon své funkce a seznámil se s klíčovými informacemi o organizaci. Patří sem: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Uvítání zaměstnance na pracovišti, předání vstupní karty, ID štítku a pracovního vybavení (např. notebook, mobilní telefon).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Ověření, že zaměstnanec má funkční přístup do sítě, e-mailu a interních systémů.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Provedení nebo dokončení úvodní orientace (pokud již neproběhla před nástupem).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Představení struktury organizace, její vize, hodnot, základních směrnic, benefitního systému a dalších zásadních pravidel včetně požadavků na soulad s předpisy (compliance).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Pomoc zaměstnanci se zavedením vícefaktorové autentizace (MFA) a přihlášením do klíčových systémů (např. HRIS, docházkový systém, e-mail, portály pro zaměstnance).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1" w:name="_heading=h.i544ck8g3byf" w:colFirst="0" w:colLast="0"/>
      <w:bookmarkEnd w:id="21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3.3 První týden až první měsíc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Odpovědnost:</w:t>
      </w:r>
      <w:r w:rsidRPr="003A5609">
        <w:rPr>
          <w:rFonts w:ascii="Athiti" w:eastAsia="Athiti" w:hAnsi="Athiti" w:cs="Athiti"/>
          <w:lang w:val="cs-CZ"/>
        </w:rPr>
        <w:t xml:space="preserve"> přímý nadřízený / HR / IT</w:t>
      </w:r>
      <w:r w:rsidRPr="003A5609">
        <w:rPr>
          <w:rFonts w:ascii="Athiti" w:eastAsia="Athiti" w:hAnsi="Athiti" w:cs="Athiti"/>
          <w:lang w:val="cs-CZ"/>
        </w:rPr>
        <w:br/>
        <w:t xml:space="preserve"> </w:t>
      </w:r>
      <w:r w:rsidRPr="003A5609">
        <w:rPr>
          <w:rFonts w:ascii="Athiti" w:eastAsia="Athiti" w:hAnsi="Athiti" w:cs="Athiti"/>
          <w:b/>
          <w:lang w:val="cs-CZ"/>
        </w:rPr>
        <w:t>Časový rámec:</w:t>
      </w:r>
      <w:r w:rsidRPr="003A5609">
        <w:rPr>
          <w:rFonts w:ascii="Athiti" w:eastAsia="Athiti" w:hAnsi="Athiti" w:cs="Athiti"/>
          <w:lang w:val="cs-CZ"/>
        </w:rPr>
        <w:t xml:space="preserve"> průběžně během prvních 30 dnů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 této fázi je důležité posilovat integraci zaměstnance do týmu, podporovat adaptaci a ověřit, že rozumí své roli a má k dispozici vše potřebné. Klíčové aktivity zahrnují: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Ujištění se, že byly splněny všechny úkoly přidělené v rámci DLP nebo jiného onboardingového systému, včetně potvrzení o přečtení dokumentů a vyplnění požadovaných formulářů.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Naplánování a zajištění školení specifických pro danou pracovní pozici, případně i meziodvětvových školení (např. BOZP, kyberbezpečnost).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Jasné vymezení pracovních cílů a očekávání, včetně zavedení do systému hodnocení výkonu.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Pravidelné kontrolní schůzky (check-in meetings), kde se řeší případné otázky, nejasnosti či potřeba dodatečné podpory.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Povzbuzení zaměstnance k vyplnění zpětnovazebního dotazníku ohledně zkušenosti s nástupním procesem (onboarding feedback).</w:t>
      </w:r>
    </w:p>
    <w:p w:rsidR="001108FD" w:rsidRPr="003A5609" w:rsidRDefault="001108FD" w:rsidP="001108FD">
      <w:pPr>
        <w:pStyle w:val="Nadpis2"/>
        <w:keepNext w:val="0"/>
        <w:keepLines w:val="0"/>
        <w:widowControl w:val="0"/>
        <w:spacing w:before="360" w:after="80"/>
        <w:rPr>
          <w:rFonts w:ascii="Athiti" w:eastAsia="Athiti" w:hAnsi="Athiti" w:cs="Athiti"/>
          <w:b/>
          <w:sz w:val="34"/>
          <w:szCs w:val="34"/>
          <w:lang w:val="cs-CZ"/>
        </w:rPr>
      </w:pPr>
      <w:bookmarkStart w:id="22" w:name="_heading=h.ozi3j6f9esfe" w:colFirst="0" w:colLast="0"/>
      <w:bookmarkEnd w:id="22"/>
      <w:r w:rsidRPr="003A5609">
        <w:rPr>
          <w:rFonts w:ascii="Athiti" w:eastAsia="Athiti" w:hAnsi="Athiti" w:cs="Athiti"/>
          <w:b/>
          <w:sz w:val="34"/>
          <w:szCs w:val="34"/>
          <w:lang w:val="cs-CZ"/>
        </w:rPr>
        <w:lastRenderedPageBreak/>
        <w:t>4. Postup při odchodu zaměstnance (Offboarding)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Proces odchodu zaměstnance představuje klíčový prvek řízení rizik a správy lidských zdrojů. Jeho cílem je zajistit, aby ukončení pracovního poměru probíhalo hladce, bezpečně a v souladu s právními a organizačními požadavky. Správně provedený offboarding minimalizuje bezpečnostní rizika, chrání důvěrné informace a umožňuje důstojné rozloučení se zaměstnancem.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3" w:name="_heading=h.f8dx3awcc8cf" w:colFirst="0" w:colLast="0"/>
      <w:bookmarkEnd w:id="23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4.1 Dobrovolné ukončení pracovního poměru (výpověď, odchod do důchodu, interní přestup)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Odpovědnost:</w:t>
      </w:r>
      <w:r w:rsidRPr="003A5609">
        <w:rPr>
          <w:rFonts w:ascii="Athiti" w:eastAsia="Athiti" w:hAnsi="Athiti" w:cs="Athiti"/>
          <w:lang w:val="cs-CZ"/>
        </w:rPr>
        <w:t xml:space="preserve"> přímý nadřízený / HR / případně IT</w:t>
      </w:r>
      <w:r w:rsidRPr="003A5609">
        <w:rPr>
          <w:rFonts w:ascii="Athiti" w:eastAsia="Athiti" w:hAnsi="Athiti" w:cs="Athiti"/>
          <w:lang w:val="cs-CZ"/>
        </w:rPr>
        <w:br/>
        <w:t xml:space="preserve"> </w:t>
      </w:r>
      <w:r w:rsidRPr="003A5609">
        <w:rPr>
          <w:rFonts w:ascii="Athiti" w:eastAsia="Athiti" w:hAnsi="Athiti" w:cs="Athiti"/>
          <w:b/>
          <w:lang w:val="cs-CZ"/>
        </w:rPr>
        <w:t>Časový rámec:</w:t>
      </w:r>
      <w:r w:rsidRPr="003A5609">
        <w:rPr>
          <w:rFonts w:ascii="Athiti" w:eastAsia="Athiti" w:hAnsi="Athiti" w:cs="Athiti"/>
          <w:lang w:val="cs-CZ"/>
        </w:rPr>
        <w:t xml:space="preserve"> zahájit ihned po obdržení oznámení o ukončení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 xml:space="preserve">Zaměstnanec předá </w:t>
      </w:r>
      <w:r w:rsidRPr="003A5609">
        <w:rPr>
          <w:rFonts w:ascii="Athiti" w:eastAsia="Athiti" w:hAnsi="Athiti" w:cs="Athiti"/>
          <w:b/>
          <w:lang w:val="cs-CZ"/>
        </w:rPr>
        <w:t>písemné oznámení o ukončení pracovního poměru</w:t>
      </w:r>
      <w:r w:rsidRPr="003A5609">
        <w:rPr>
          <w:rFonts w:ascii="Athiti" w:eastAsia="Athiti" w:hAnsi="Athiti" w:cs="Athiti"/>
          <w:lang w:val="cs-CZ"/>
        </w:rPr>
        <w:t xml:space="preserve"> svému nadřízenému nebo personálnímu oddělení.</w:t>
      </w:r>
      <w:r w:rsidRPr="003A5609">
        <w:rPr>
          <w:rFonts w:ascii="Athiti" w:eastAsia="Athiti" w:hAnsi="Athiti" w:cs="Athiti"/>
          <w:lang w:val="cs-CZ"/>
        </w:rPr>
        <w:br/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 xml:space="preserve">Personální oddělení připraví </w:t>
      </w:r>
      <w:r w:rsidRPr="003A5609">
        <w:rPr>
          <w:rFonts w:ascii="Athiti" w:eastAsia="Athiti" w:hAnsi="Athiti" w:cs="Athiti"/>
          <w:b/>
          <w:lang w:val="cs-CZ"/>
        </w:rPr>
        <w:t>potvrzení o přijetí výpovědi</w:t>
      </w:r>
      <w:r w:rsidRPr="003A5609">
        <w:rPr>
          <w:rFonts w:ascii="Athiti" w:eastAsia="Athiti" w:hAnsi="Athiti" w:cs="Athiti"/>
          <w:lang w:val="cs-CZ"/>
        </w:rPr>
        <w:t xml:space="preserve"> a potvrdí poslední pracovní den.</w:t>
      </w:r>
      <w:r w:rsidRPr="003A5609">
        <w:rPr>
          <w:rFonts w:ascii="Athiti" w:eastAsia="Athiti" w:hAnsi="Athiti" w:cs="Athiti"/>
          <w:lang w:val="cs-CZ"/>
        </w:rPr>
        <w:br/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 xml:space="preserve">V případě odchodu do důchodu personální oddělení poskytne zaměstnanci informace o </w:t>
      </w:r>
      <w:r w:rsidRPr="003A5609">
        <w:rPr>
          <w:rFonts w:ascii="Athiti" w:eastAsia="Athiti" w:hAnsi="Athiti" w:cs="Athiti"/>
          <w:b/>
          <w:lang w:val="cs-CZ"/>
        </w:rPr>
        <w:t>přípravě a podání žádosti o důchod</w:t>
      </w:r>
      <w:r w:rsidRPr="003A5609">
        <w:rPr>
          <w:rFonts w:ascii="Athiti" w:eastAsia="Athiti" w:hAnsi="Athiti" w:cs="Athiti"/>
          <w:lang w:val="cs-CZ"/>
        </w:rPr>
        <w:t>, včetně termínů a potřebných formulářů.</w:t>
      </w:r>
      <w:r w:rsidRPr="003A5609">
        <w:rPr>
          <w:rFonts w:ascii="Athiti" w:eastAsia="Athiti" w:hAnsi="Athiti" w:cs="Athiti"/>
          <w:lang w:val="cs-CZ"/>
        </w:rPr>
        <w:br/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Je-li zaměstnanec přeřazen do jiné části organizace (interní přestup), je nutné:</w:t>
      </w:r>
    </w:p>
    <w:p w:rsidR="001108FD" w:rsidRPr="003A5609" w:rsidRDefault="001108FD" w:rsidP="001108FD">
      <w:pPr>
        <w:pStyle w:val="normal"/>
        <w:widowControl w:val="0"/>
        <w:numPr>
          <w:ilvl w:val="1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aktualizovat přístupová oprávnění a pracovní dokumentaci,</w:t>
      </w:r>
    </w:p>
    <w:p w:rsidR="001108FD" w:rsidRPr="003A5609" w:rsidRDefault="001108FD" w:rsidP="001108FD">
      <w:pPr>
        <w:pStyle w:val="normal"/>
        <w:widowControl w:val="0"/>
        <w:numPr>
          <w:ilvl w:val="1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zajistit přechod odpovědností a informací,</w:t>
      </w:r>
    </w:p>
    <w:p w:rsidR="001108FD" w:rsidRPr="003A5609" w:rsidRDefault="001108FD" w:rsidP="001108FD">
      <w:pPr>
        <w:pStyle w:val="normal"/>
        <w:widowControl w:val="0"/>
        <w:numPr>
          <w:ilvl w:val="1"/>
          <w:numId w:val="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formálně ukončit přístup ke staré roli a zahájit onboarding v nové.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4" w:name="_heading=h.nwm5ts6nbril" w:colFirst="0" w:colLast="0"/>
      <w:bookmarkEnd w:id="24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4.2 Iniciovaný odchod ze strany zaměstnavatele (propuštění, organizační změny apod.)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Odpovědnost:</w:t>
      </w:r>
      <w:r w:rsidRPr="003A5609">
        <w:rPr>
          <w:rFonts w:ascii="Athiti" w:eastAsia="Athiti" w:hAnsi="Athiti" w:cs="Athiti"/>
          <w:lang w:val="cs-CZ"/>
        </w:rPr>
        <w:t xml:space="preserve"> personální oddělení / právní oddělení / vedení</w:t>
      </w:r>
      <w:r w:rsidRPr="003A5609">
        <w:rPr>
          <w:rFonts w:ascii="Athiti" w:eastAsia="Athiti" w:hAnsi="Athiti" w:cs="Athiti"/>
          <w:lang w:val="cs-CZ"/>
        </w:rPr>
        <w:br/>
        <w:t xml:space="preserve"> </w:t>
      </w:r>
      <w:r w:rsidRPr="003A5609">
        <w:rPr>
          <w:rFonts w:ascii="Athiti" w:eastAsia="Athiti" w:hAnsi="Athiti" w:cs="Athiti"/>
          <w:b/>
          <w:lang w:val="cs-CZ"/>
        </w:rPr>
        <w:t>Časový rámec:</w:t>
      </w:r>
      <w:r w:rsidRPr="003A5609">
        <w:rPr>
          <w:rFonts w:ascii="Athiti" w:eastAsia="Athiti" w:hAnsi="Athiti" w:cs="Athiti"/>
          <w:lang w:val="cs-CZ"/>
        </w:rPr>
        <w:t xml:space="preserve"> v souladu s právními lhůtami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Rozhodnutí o ukončení musí být formálně zdokumentováno a v souladu se zákoníkem práce.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Zaměstnanci je předáno oznámení o ukončení pracovního poměru s uvedením důvodu a data posledního dne.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Personální oddělení připraví podklady pro výpočet poslední mzdy, odstupného a nevyčerpané dovolené.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IT oddělení je okamžitě informováno pro účely zrušení přístupů a deaktivace účtů (s využitím systému ILM nebo ekvivalentního postupu).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Všechen svěřený majetek organizace (např. notebook, přístupové karty, telefon) je od</w:t>
      </w:r>
      <w:r w:rsidR="003A5609">
        <w:rPr>
          <w:rFonts w:ascii="Athiti" w:eastAsia="Athiti" w:hAnsi="Athiti" w:cs="Athiti"/>
          <w:lang w:val="cs-CZ"/>
        </w:rPr>
        <w:t>ebrán na základě výstupního chec</w:t>
      </w:r>
      <w:r w:rsidRPr="003A5609">
        <w:rPr>
          <w:rFonts w:ascii="Athiti" w:eastAsia="Athiti" w:hAnsi="Athiti" w:cs="Athiti"/>
          <w:lang w:val="cs-CZ"/>
        </w:rPr>
        <w:t>klistu.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5" w:name="_heading=h.cifn6tgki7vh" w:colFirst="0" w:colLast="0"/>
      <w:bookmarkEnd w:id="25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4.3 Všeobecné výstupní kroky pro všechny formy odchodu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lastRenderedPageBreak/>
        <w:t>Odpovědnost:</w:t>
      </w:r>
      <w:r w:rsidRPr="003A5609">
        <w:rPr>
          <w:rFonts w:ascii="Athiti" w:eastAsia="Athiti" w:hAnsi="Athiti" w:cs="Athiti"/>
          <w:lang w:val="cs-CZ"/>
        </w:rPr>
        <w:t xml:space="preserve"> HR / přímý nadřízený / IT</w:t>
      </w:r>
      <w:r w:rsidRPr="003A5609">
        <w:rPr>
          <w:rFonts w:ascii="Athiti" w:eastAsia="Athiti" w:hAnsi="Athiti" w:cs="Athiti"/>
          <w:lang w:val="cs-CZ"/>
        </w:rPr>
        <w:br/>
        <w:t xml:space="preserve"> </w:t>
      </w:r>
      <w:r w:rsidRPr="003A5609">
        <w:rPr>
          <w:rFonts w:ascii="Athiti" w:eastAsia="Athiti" w:hAnsi="Athiti" w:cs="Athiti"/>
          <w:b/>
          <w:lang w:val="cs-CZ"/>
        </w:rPr>
        <w:t>Časový rámec:</w:t>
      </w:r>
      <w:r w:rsidRPr="003A5609">
        <w:rPr>
          <w:rFonts w:ascii="Athiti" w:eastAsia="Athiti" w:hAnsi="Athiti" w:cs="Athiti"/>
          <w:lang w:val="cs-CZ"/>
        </w:rPr>
        <w:t xml:space="preserve"> nejpozději do 2 pracovních dnů od oznámení o odchodu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Zajištění vrácení vybavení – IT zařízení, přístupových karet, klíčů, dokladů.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Deaktivace systémových přístupů – zejména e-mail, HRIS, VPN, cloudové nástroje.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Zpracování výstupní dokumentace – potvrzení o zaměstnání, mzdové výstupy, přehled benefitů, případně předání dokumentace nové organizaci (např. při přechodu do jiné státní instituce).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Zaslání odkazu na výstupní dotazník (exit survey) – jehož cílem je získat zpětnou vazbu od odcházejícího zaměstnance pro zlepšení organizačních procesů.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Organizace krátkého rozlučkového setkání nebo uzavíracího rozhovoru, pokud je to vhodné.</w:t>
      </w:r>
    </w:p>
    <w:p w:rsidR="001108FD" w:rsidRPr="003A5609" w:rsidRDefault="001108FD" w:rsidP="001108FD">
      <w:pPr>
        <w:pStyle w:val="Nadpis3"/>
        <w:keepNext w:val="0"/>
        <w:keepLines w:val="0"/>
        <w:widowControl w:val="0"/>
        <w:spacing w:before="280" w:after="80"/>
        <w:ind w:left="720" w:hanging="360"/>
        <w:jc w:val="left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6" w:name="_heading=h.1lnynyvdym4t" w:colFirst="0" w:colLast="0"/>
      <w:bookmarkEnd w:id="26"/>
      <w:r w:rsidRPr="003A5609">
        <w:rPr>
          <w:rFonts w:ascii="Athiti" w:eastAsia="Athiti" w:hAnsi="Athiti" w:cs="Athiti"/>
          <w:b/>
          <w:sz w:val="26"/>
          <w:szCs w:val="26"/>
          <w:lang w:val="cs-CZ"/>
        </w:rPr>
        <w:t>4.4 Specifické situace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Odchod do důchodu: zaměstnanec by měl předložit oznámení nejméně 4 měsíce před plánovaným datem odchodu, aby bylo možné včas zajistit agendu s penzijním úřadem.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Dlouhodobá pracovní neschopnost (např. konec nemocenské či invalidity): ve spolupráci s příslušným úřadem a mzdovou účtárnou se zahájí formální ukončení zaměstnaneckého poměru.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1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Zaměstnanec přechází k jinému veřejnému subjektu (např. ministerstvo, státní podnik): je nutné předat personalistům nové instituce informace o zůstatcích dovolené, případných penzijních nárocích a záznamy o zaměstnání.</w:t>
      </w:r>
    </w:p>
    <w:p w:rsidR="001108FD" w:rsidRPr="003A5609" w:rsidRDefault="001108FD" w:rsidP="001108FD">
      <w:pPr>
        <w:pStyle w:val="Nadpis2"/>
        <w:keepNext w:val="0"/>
        <w:keepLines w:val="0"/>
        <w:widowControl w:val="0"/>
        <w:spacing w:before="360" w:after="80"/>
        <w:rPr>
          <w:rFonts w:ascii="Athiti" w:eastAsia="Athiti" w:hAnsi="Athiti" w:cs="Athiti"/>
          <w:b/>
          <w:sz w:val="34"/>
          <w:szCs w:val="34"/>
          <w:lang w:val="cs-CZ"/>
        </w:rPr>
      </w:pPr>
      <w:bookmarkStart w:id="27" w:name="_heading=h.mhgmh3cekbdg" w:colFirst="0" w:colLast="0"/>
      <w:bookmarkEnd w:id="27"/>
      <w:r w:rsidRPr="003A5609">
        <w:rPr>
          <w:rFonts w:ascii="Athiti" w:eastAsia="Athiti" w:hAnsi="Athiti" w:cs="Athiti"/>
          <w:b/>
          <w:sz w:val="34"/>
          <w:szCs w:val="34"/>
          <w:lang w:val="cs-CZ"/>
        </w:rPr>
        <w:t>5. Role a odpovědnosti</w:t>
      </w:r>
    </w:p>
    <w:p w:rsidR="001108FD" w:rsidRPr="003A5609" w:rsidRDefault="001108FD" w:rsidP="001108F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Úspěšné provedení nástupního a výstupního procesu vyžaduje jasné rozdělení rolí a úkolů mezi jednotlivé útvary a osoby. Následující tabulka definuje základní odpovědnosti klíčových aktérů zapojených do těchto procesů.</w:t>
      </w:r>
    </w:p>
    <w:tbl>
      <w:tblPr>
        <w:tblW w:w="9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30"/>
        <w:gridCol w:w="6815"/>
      </w:tblGrid>
      <w:tr w:rsidR="001108FD" w:rsidRPr="003A5609" w:rsidTr="00E77951">
        <w:trPr>
          <w:cantSplit/>
          <w:trHeight w:val="515"/>
          <w:tblHeader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Role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Odpovědnost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Personální oddělení (HR)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Koordinuje celý proces nástupu a odchodu zaměstnance; zajišťuje správu dokumentace, kontrolu dodržování interních předpisů a právních požadavků.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Nadřízený pracovník / Hiring Manager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Komunikuje s kandidátem během náboru, zahajuje onboardingové kroky, zajišťuje integraci zaměstnance do týmu, nastavuje cíle a pracovní očekávání.</w:t>
            </w:r>
          </w:p>
        </w:tc>
      </w:tr>
      <w:tr w:rsidR="001108FD" w:rsidRPr="003A5609" w:rsidTr="00E77951">
        <w:trPr>
          <w:cantSplit/>
          <w:trHeight w:val="785"/>
          <w:tblHeader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t>IT oddělení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Spravuje vytvoření a zrušení přístupových práv, připravuje a vydává technické vybavení a potřebný software.</w:t>
            </w:r>
          </w:p>
        </w:tc>
      </w:tr>
      <w:tr w:rsidR="001108FD" w:rsidRPr="003A5609" w:rsidTr="00E77951">
        <w:trPr>
          <w:cantSplit/>
          <w:trHeight w:val="1070"/>
          <w:tblHeader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b/>
                <w:lang w:val="cs-CZ"/>
              </w:rPr>
              <w:lastRenderedPageBreak/>
              <w:t>Zaměstnanec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8FD" w:rsidRPr="003A5609" w:rsidRDefault="001108FD" w:rsidP="00E77951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3A5609">
              <w:rPr>
                <w:rFonts w:ascii="Athiti" w:eastAsia="Athiti" w:hAnsi="Athiti" w:cs="Athiti"/>
                <w:lang w:val="cs-CZ"/>
              </w:rPr>
              <w:t>Vyplňuje a odevzdává požadované dokumenty, účastní se školení a orientace, v případě odchodu vrací veškerý svěřený majetek organizace.</w:t>
            </w:r>
          </w:p>
        </w:tc>
      </w:tr>
    </w:tbl>
    <w:p w:rsidR="001108FD" w:rsidRPr="003A5609" w:rsidRDefault="001108FD" w:rsidP="001108FD">
      <w:pPr>
        <w:pStyle w:val="Nadpis2"/>
        <w:keepNext w:val="0"/>
        <w:keepLines w:val="0"/>
        <w:widowControl w:val="0"/>
        <w:spacing w:before="360" w:after="80"/>
        <w:rPr>
          <w:rFonts w:ascii="Athiti" w:eastAsia="Athiti" w:hAnsi="Athiti" w:cs="Athiti"/>
          <w:b/>
          <w:sz w:val="34"/>
          <w:szCs w:val="34"/>
          <w:lang w:val="cs-CZ"/>
        </w:rPr>
      </w:pPr>
      <w:bookmarkStart w:id="28" w:name="_heading=h.fg83wa10fy7q" w:colFirst="0" w:colLast="0"/>
      <w:bookmarkEnd w:id="28"/>
      <w:r w:rsidRPr="003A5609">
        <w:rPr>
          <w:rFonts w:ascii="Athiti" w:eastAsia="Athiti" w:hAnsi="Athiti" w:cs="Athiti"/>
          <w:b/>
          <w:sz w:val="34"/>
          <w:szCs w:val="34"/>
          <w:lang w:val="cs-CZ"/>
        </w:rPr>
        <w:t>6. Související kontrolní seznamy a formuláře</w:t>
      </w:r>
    </w:p>
    <w:p w:rsidR="001108FD" w:rsidRPr="003A5609" w:rsidRDefault="001108FD" w:rsidP="001108FD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lang w:val="cs-CZ"/>
        </w:rPr>
        <w:t>Pro zajištění jednotného a bezchybného průběhu nástupních a výstupních procesů je nezbytné využívat standardizované formuláře a kontrolní seznamy. Níže uvedené dokumenty slouží jako nástroje podpory a záznamu jednotlivých kroků v souladu s touto směrnicí.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Kontrolní seznam pro nové zaměstnance (New Hire Checklist)</w:t>
      </w:r>
      <w:r w:rsidRPr="003A5609">
        <w:rPr>
          <w:rFonts w:ascii="Athiti" w:eastAsia="Athiti" w:hAnsi="Athiti" w:cs="Athiti"/>
          <w:b/>
          <w:lang w:val="cs-CZ"/>
        </w:rPr>
        <w:br/>
      </w:r>
      <w:r w:rsidRPr="003A5609">
        <w:rPr>
          <w:rFonts w:ascii="Athiti" w:eastAsia="Athiti" w:hAnsi="Athiti" w:cs="Athiti"/>
          <w:lang w:val="cs-CZ"/>
        </w:rPr>
        <w:t xml:space="preserve"> Slouží zaměstnanci jako přehled povinností a dokumentů, které je nutné vyplnit nebo absolvovat během nástupního procesu.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Kontrolní seznam pro nadřízené nových zaměstnanců (Supervisor New Hire Checklist)</w:t>
      </w:r>
      <w:r w:rsidRPr="003A5609">
        <w:rPr>
          <w:rFonts w:ascii="Athiti" w:eastAsia="Athiti" w:hAnsi="Athiti" w:cs="Athiti"/>
          <w:b/>
          <w:lang w:val="cs-CZ"/>
        </w:rPr>
        <w:br/>
      </w:r>
      <w:r w:rsidRPr="003A5609">
        <w:rPr>
          <w:rFonts w:ascii="Athiti" w:eastAsia="Athiti" w:hAnsi="Athiti" w:cs="Athiti"/>
          <w:lang w:val="cs-CZ"/>
        </w:rPr>
        <w:t xml:space="preserve"> Umožňuje nadřízenému ověřit, že nový člen týmu obdržel potřebné vybavení, školení, přístupy a úvodní informace.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Šablony pracovní nabídky – podmíněná / bezpodmínečná (Conditional/Unconditional Offer Templates)</w:t>
      </w:r>
      <w:r w:rsidRPr="003A5609">
        <w:rPr>
          <w:rFonts w:ascii="Athiti" w:eastAsia="Athiti" w:hAnsi="Athiti" w:cs="Athiti"/>
          <w:b/>
          <w:lang w:val="cs-CZ"/>
        </w:rPr>
        <w:br/>
      </w:r>
      <w:r w:rsidRPr="003A5609">
        <w:rPr>
          <w:rFonts w:ascii="Athiti" w:eastAsia="Athiti" w:hAnsi="Athiti" w:cs="Athiti"/>
          <w:lang w:val="cs-CZ"/>
        </w:rPr>
        <w:t xml:space="preserve"> Obsahují standardní textaci pracovní nabídky včetně podmínek, platu, typu úvazku a dalších relevantních údajů.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Kontrolní seznam pro odchod do důchodu (Retirement Offboarding Checklist)</w:t>
      </w:r>
      <w:r w:rsidRPr="003A5609">
        <w:rPr>
          <w:rFonts w:ascii="Athiti" w:eastAsia="Athiti" w:hAnsi="Athiti" w:cs="Athiti"/>
          <w:b/>
          <w:lang w:val="cs-CZ"/>
        </w:rPr>
        <w:br/>
      </w:r>
      <w:r w:rsidRPr="003A5609">
        <w:rPr>
          <w:rFonts w:ascii="Athiti" w:eastAsia="Athiti" w:hAnsi="Athiti" w:cs="Athiti"/>
          <w:lang w:val="cs-CZ"/>
        </w:rPr>
        <w:t xml:space="preserve"> Postupný seznam kroků, které je třeba provést při ukončení pracovního poměru z důvodu odchodu do starobního nebo předčasného důchodu.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Šablona výstupního dotazníku (Exit Survey Template)</w:t>
      </w:r>
      <w:r w:rsidRPr="003A5609">
        <w:rPr>
          <w:rFonts w:ascii="Athiti" w:eastAsia="Athiti" w:hAnsi="Athiti" w:cs="Athiti"/>
          <w:b/>
          <w:lang w:val="cs-CZ"/>
        </w:rPr>
        <w:br/>
      </w:r>
      <w:r w:rsidRPr="003A5609">
        <w:rPr>
          <w:rFonts w:ascii="Athiti" w:eastAsia="Athiti" w:hAnsi="Athiti" w:cs="Athiti"/>
          <w:lang w:val="cs-CZ"/>
        </w:rPr>
        <w:t xml:space="preserve"> Dotazník určený k získání zpětné vazby od odcházejícího zaměstnance ohledně jeho zkušenosti s organizací.</w:t>
      </w:r>
    </w:p>
    <w:p w:rsidR="001108FD" w:rsidRPr="003A5609" w:rsidRDefault="001108FD" w:rsidP="001108FD">
      <w:pPr>
        <w:pStyle w:val="normal"/>
        <w:widowControl w:val="0"/>
        <w:numPr>
          <w:ilvl w:val="0"/>
          <w:numId w:val="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3A5609">
        <w:rPr>
          <w:rFonts w:ascii="Athiti" w:eastAsia="Athiti" w:hAnsi="Athiti" w:cs="Athiti"/>
          <w:b/>
          <w:lang w:val="cs-CZ"/>
        </w:rPr>
        <w:t>Kontrolní seznam pro vrácení vybavení (Equipment Return Checklist)</w:t>
      </w:r>
      <w:r w:rsidRPr="003A5609">
        <w:rPr>
          <w:rFonts w:ascii="Athiti" w:eastAsia="Athiti" w:hAnsi="Athiti" w:cs="Athiti"/>
          <w:b/>
          <w:lang w:val="cs-CZ"/>
        </w:rPr>
        <w:br/>
      </w:r>
      <w:r w:rsidRPr="003A5609">
        <w:rPr>
          <w:rFonts w:ascii="Athiti" w:eastAsia="Athiti" w:hAnsi="Athiti" w:cs="Athiti"/>
          <w:lang w:val="cs-CZ"/>
        </w:rPr>
        <w:t xml:space="preserve"> Seznam vydaného majetku (např. notebook, mobilní telefon, přístupová karta), který je třeba vrátit při ukončení pracovního poměru.</w:t>
      </w:r>
    </w:p>
    <w:p w:rsidR="00B06DB5" w:rsidRPr="003A5609" w:rsidRDefault="00B06DB5"/>
    <w:sectPr w:rsidR="00B06DB5" w:rsidRPr="003A5609" w:rsidSect="007E4F82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EE4" w:rsidRDefault="005C7EE4" w:rsidP="00D62A85">
      <w:pPr>
        <w:spacing w:after="0" w:line="240" w:lineRule="auto"/>
      </w:pPr>
      <w:r>
        <w:separator/>
      </w:r>
    </w:p>
  </w:endnote>
  <w:endnote w:type="continuationSeparator" w:id="1">
    <w:p w:rsidR="005C7EE4" w:rsidRDefault="005C7EE4" w:rsidP="00D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82" w:rsidRDefault="003A5609">
    <w:pPr>
      <w:pStyle w:val="normal"/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5514975" cy="92710"/>
          <wp:effectExtent l="0" t="0" r="0" b="0"/>
          <wp:docPr id="11" name="image1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497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4F82" w:rsidRDefault="00D62A85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</w:rPr>
    </w:pPr>
    <w:r>
      <w:rPr>
        <w:rFonts w:ascii="Athiti" w:eastAsia="Athiti" w:hAnsi="Athiti" w:cs="Athiti"/>
      </w:rPr>
      <w:fldChar w:fldCharType="begin"/>
    </w:r>
    <w:r w:rsidR="003A5609">
      <w:rPr>
        <w:rFonts w:ascii="Athiti" w:eastAsia="Athiti" w:hAnsi="Athiti" w:cs="Athiti"/>
      </w:rPr>
      <w:instrText>PAGE</w:instrText>
    </w:r>
    <w:r>
      <w:rPr>
        <w:rFonts w:ascii="Athiti" w:eastAsia="Athiti" w:hAnsi="Athiti" w:cs="Athiti"/>
      </w:rPr>
      <w:fldChar w:fldCharType="separate"/>
    </w:r>
    <w:r w:rsidR="00A03677">
      <w:rPr>
        <w:rFonts w:ascii="Athiti" w:eastAsia="Athiti" w:hAnsi="Athiti" w:cs="Athiti"/>
        <w:noProof/>
      </w:rPr>
      <w:t>4</w:t>
    </w:r>
    <w:r>
      <w:rPr>
        <w:rFonts w:ascii="Athiti" w:eastAsia="Athiti" w:hAnsi="Athiti" w:cs="Athiti"/>
      </w:rPr>
      <w:fldChar w:fldCharType="end"/>
    </w:r>
  </w:p>
  <w:p w:rsidR="007E4F82" w:rsidRDefault="005C7EE4">
    <w:pPr>
      <w:pStyle w:val="normal"/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EE4" w:rsidRDefault="005C7EE4" w:rsidP="00D62A85">
      <w:pPr>
        <w:spacing w:after="0" w:line="240" w:lineRule="auto"/>
      </w:pPr>
      <w:r>
        <w:separator/>
      </w:r>
    </w:p>
  </w:footnote>
  <w:footnote w:type="continuationSeparator" w:id="1">
    <w:p w:rsidR="005C7EE4" w:rsidRDefault="005C7EE4" w:rsidP="00D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82" w:rsidRDefault="003A5609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-19043</wp:posOffset>
          </wp:positionH>
          <wp:positionV relativeFrom="page">
            <wp:posOffset>-19043</wp:posOffset>
          </wp:positionV>
          <wp:extent cx="128100" cy="10766100"/>
          <wp:effectExtent l="0" t="0" r="0" b="0"/>
          <wp:wrapSquare wrapText="bothSides" distT="0" distB="0" distL="114300" distR="11430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00" cy="1076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82" w:rsidRDefault="003A5609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-19043</wp:posOffset>
          </wp:positionH>
          <wp:positionV relativeFrom="page">
            <wp:posOffset>-19043</wp:posOffset>
          </wp:positionV>
          <wp:extent cx="128100" cy="1076610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00" cy="1076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AAC"/>
    <w:multiLevelType w:val="multilevel"/>
    <w:tmpl w:val="46D4C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4F01CD0"/>
    <w:multiLevelType w:val="multilevel"/>
    <w:tmpl w:val="02A00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0976DC"/>
    <w:multiLevelType w:val="multilevel"/>
    <w:tmpl w:val="635C1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7F83373"/>
    <w:multiLevelType w:val="multilevel"/>
    <w:tmpl w:val="E03E6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EA5597F"/>
    <w:multiLevelType w:val="multilevel"/>
    <w:tmpl w:val="36445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B1E4CDD"/>
    <w:multiLevelType w:val="multilevel"/>
    <w:tmpl w:val="0486C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312058E"/>
    <w:multiLevelType w:val="multilevel"/>
    <w:tmpl w:val="F8243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5553632"/>
    <w:multiLevelType w:val="multilevel"/>
    <w:tmpl w:val="9C0C2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8C06A27"/>
    <w:multiLevelType w:val="multilevel"/>
    <w:tmpl w:val="4D149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04D1E98"/>
    <w:multiLevelType w:val="multilevel"/>
    <w:tmpl w:val="B5262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09C5CFF"/>
    <w:multiLevelType w:val="multilevel"/>
    <w:tmpl w:val="F9304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3804300"/>
    <w:multiLevelType w:val="multilevel"/>
    <w:tmpl w:val="54001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B844807"/>
    <w:multiLevelType w:val="multilevel"/>
    <w:tmpl w:val="DA14D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B897BDF"/>
    <w:multiLevelType w:val="multilevel"/>
    <w:tmpl w:val="C5D64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24E39B2"/>
    <w:multiLevelType w:val="multilevel"/>
    <w:tmpl w:val="1ECE1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1CE699E"/>
    <w:multiLevelType w:val="multilevel"/>
    <w:tmpl w:val="2B0A9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D442078"/>
    <w:multiLevelType w:val="multilevel"/>
    <w:tmpl w:val="C1183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15"/>
  </w:num>
  <w:num w:numId="11">
    <w:abstractNumId w:val="7"/>
  </w:num>
  <w:num w:numId="12">
    <w:abstractNumId w:val="16"/>
  </w:num>
  <w:num w:numId="13">
    <w:abstractNumId w:val="0"/>
  </w:num>
  <w:num w:numId="14">
    <w:abstractNumId w:val="1"/>
  </w:num>
  <w:num w:numId="15">
    <w:abstractNumId w:val="13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8FD"/>
    <w:rsid w:val="001108FD"/>
    <w:rsid w:val="001F0902"/>
    <w:rsid w:val="00267770"/>
    <w:rsid w:val="003A5609"/>
    <w:rsid w:val="003F1A1B"/>
    <w:rsid w:val="005811F2"/>
    <w:rsid w:val="005C7EE4"/>
    <w:rsid w:val="009D0A5F"/>
    <w:rsid w:val="00A03677"/>
    <w:rsid w:val="00B01FD2"/>
    <w:rsid w:val="00B06DB5"/>
    <w:rsid w:val="00D6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8FD"/>
    <w:pPr>
      <w:spacing w:after="160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adpis1">
    <w:name w:val="heading 1"/>
    <w:basedOn w:val="normal"/>
    <w:next w:val="normal"/>
    <w:link w:val="Nadpis1Char"/>
    <w:rsid w:val="001108FD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2">
    <w:name w:val="heading 2"/>
    <w:basedOn w:val="normal"/>
    <w:next w:val="normal"/>
    <w:link w:val="Nadpis2Char"/>
    <w:rsid w:val="001108FD"/>
    <w:pPr>
      <w:keepNext/>
      <w:keepLines/>
      <w:outlineLvl w:val="1"/>
    </w:pPr>
    <w:rPr>
      <w:rFonts w:ascii="Calibri" w:eastAsia="Calibri" w:hAnsi="Calibri" w:cs="Calibri"/>
      <w:sz w:val="30"/>
      <w:szCs w:val="30"/>
    </w:rPr>
  </w:style>
  <w:style w:type="paragraph" w:styleId="Nadpis3">
    <w:name w:val="heading 3"/>
    <w:basedOn w:val="normal"/>
    <w:next w:val="normal"/>
    <w:link w:val="Nadpis3Char"/>
    <w:rsid w:val="001108FD"/>
    <w:pPr>
      <w:keepNext/>
      <w:keepLines/>
      <w:spacing w:before="40" w:after="200"/>
      <w:outlineLvl w:val="2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08FD"/>
    <w:rPr>
      <w:rFonts w:ascii="Calibri" w:eastAsia="Calibri" w:hAnsi="Calibri" w:cs="Calibri"/>
      <w:b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1108FD"/>
    <w:rPr>
      <w:rFonts w:ascii="Calibri" w:eastAsia="Calibri" w:hAnsi="Calibri" w:cs="Calibri"/>
      <w:sz w:val="30"/>
      <w:szCs w:val="30"/>
    </w:rPr>
  </w:style>
  <w:style w:type="character" w:customStyle="1" w:styleId="Nadpis3Char">
    <w:name w:val="Nadpis 3 Char"/>
    <w:basedOn w:val="Standardnpsmoodstavce"/>
    <w:link w:val="Nadpis3"/>
    <w:rsid w:val="001108FD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al"/>
    <w:next w:val="normal"/>
    <w:link w:val="NzevChar"/>
    <w:rsid w:val="001108F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1108FD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normal">
    <w:name w:val="normal"/>
    <w:rsid w:val="001108FD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8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3087</Words>
  <Characters>17601</Characters>
  <Application>Microsoft Office Word</Application>
  <DocSecurity>0</DocSecurity>
  <Lines>146</Lines>
  <Paragraphs>41</Paragraphs>
  <ScaleCrop>false</ScaleCrop>
  <Company/>
  <LinksUpToDate>false</LinksUpToDate>
  <CharactersWithSpaces>20647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3</cp:revision>
  <dcterms:created xsi:type="dcterms:W3CDTF">2025-07-27T21:46:00Z</dcterms:created>
  <dcterms:modified xsi:type="dcterms:W3CDTF">2025-07-29T22:26:00Z</dcterms:modified>
</cp:coreProperties>
</file>