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9FF" w:rsidRPr="00A614D9" w:rsidRDefault="008119FF" w:rsidP="008119FF">
      <w:pPr>
        <w:pStyle w:val="normal"/>
        <w:widowControl w:val="0"/>
        <w:tabs>
          <w:tab w:val="left" w:pos="9356"/>
        </w:tabs>
        <w:spacing w:before="104" w:after="0" w:line="240" w:lineRule="auto"/>
        <w:jc w:val="left"/>
        <w:rPr>
          <w:rFonts w:ascii="Athiti" w:eastAsia="Athiti" w:hAnsi="Athiti" w:cs="Athiti"/>
          <w:sz w:val="20"/>
          <w:szCs w:val="20"/>
          <w:lang w:val="cs-CZ"/>
        </w:rPr>
      </w:pPr>
    </w:p>
    <w:p w:rsidR="008119FF" w:rsidRPr="00A614D9" w:rsidRDefault="008119FF" w:rsidP="008119FF">
      <w:pPr>
        <w:pStyle w:val="normal"/>
        <w:widowControl w:val="0"/>
        <w:tabs>
          <w:tab w:val="left" w:pos="9356"/>
        </w:tabs>
        <w:spacing w:after="0" w:line="240" w:lineRule="auto"/>
        <w:ind w:left="706"/>
        <w:jc w:val="left"/>
        <w:rPr>
          <w:rFonts w:ascii="Athiti" w:eastAsia="Athiti" w:hAnsi="Athiti" w:cs="Athiti"/>
          <w:sz w:val="20"/>
          <w:szCs w:val="20"/>
          <w:lang w:val="cs-CZ"/>
        </w:rPr>
      </w:pPr>
    </w:p>
    <w:p w:rsidR="008119FF" w:rsidRPr="00A614D9" w:rsidRDefault="008119FF" w:rsidP="008119FF">
      <w:pPr>
        <w:pStyle w:val="normal"/>
        <w:widowControl w:val="0"/>
        <w:tabs>
          <w:tab w:val="left" w:pos="9356"/>
        </w:tabs>
        <w:spacing w:before="350" w:after="0" w:line="240" w:lineRule="auto"/>
        <w:jc w:val="left"/>
        <w:rPr>
          <w:rFonts w:ascii="Athiti" w:eastAsia="Athiti" w:hAnsi="Athiti" w:cs="Athiti"/>
          <w:sz w:val="44"/>
          <w:szCs w:val="44"/>
          <w:lang w:val="cs-CZ"/>
        </w:rPr>
      </w:pPr>
    </w:p>
    <w:p w:rsidR="008119FF" w:rsidRPr="00A614D9" w:rsidRDefault="008119FF" w:rsidP="008119FF">
      <w:pPr>
        <w:pStyle w:val="Nzev"/>
        <w:keepNext w:val="0"/>
        <w:keepLines w:val="0"/>
        <w:widowControl w:val="0"/>
        <w:tabs>
          <w:tab w:val="left" w:pos="9356"/>
        </w:tabs>
        <w:spacing w:before="0" w:after="0" w:line="240" w:lineRule="auto"/>
        <w:ind w:right="188"/>
        <w:jc w:val="center"/>
        <w:rPr>
          <w:rFonts w:ascii="Athiti" w:eastAsia="Athiti" w:hAnsi="Athiti" w:cs="Athiti"/>
          <w:sz w:val="44"/>
          <w:szCs w:val="44"/>
          <w:lang w:val="cs-CZ"/>
        </w:rPr>
      </w:pPr>
    </w:p>
    <w:p w:rsidR="008119FF" w:rsidRPr="00A614D9" w:rsidRDefault="008119FF" w:rsidP="008119FF">
      <w:pPr>
        <w:pStyle w:val="Nzev"/>
        <w:keepNext w:val="0"/>
        <w:keepLines w:val="0"/>
        <w:widowControl w:val="0"/>
        <w:tabs>
          <w:tab w:val="left" w:pos="9356"/>
        </w:tabs>
        <w:spacing w:before="0" w:after="0" w:line="240" w:lineRule="auto"/>
        <w:ind w:right="188"/>
        <w:jc w:val="center"/>
        <w:rPr>
          <w:rFonts w:ascii="Athiti" w:eastAsia="Athiti" w:hAnsi="Athiti" w:cs="Athiti"/>
          <w:sz w:val="44"/>
          <w:szCs w:val="44"/>
          <w:lang w:val="cs-CZ"/>
        </w:rPr>
      </w:pPr>
    </w:p>
    <w:p w:rsidR="008119FF" w:rsidRPr="00A614D9" w:rsidRDefault="008119FF" w:rsidP="008119FF">
      <w:pPr>
        <w:pStyle w:val="Nzev"/>
        <w:keepNext w:val="0"/>
        <w:keepLines w:val="0"/>
        <w:widowControl w:val="0"/>
        <w:tabs>
          <w:tab w:val="left" w:pos="9356"/>
        </w:tabs>
        <w:spacing w:before="0" w:after="0" w:line="240" w:lineRule="auto"/>
        <w:ind w:right="188"/>
        <w:jc w:val="center"/>
        <w:rPr>
          <w:rFonts w:ascii="Athiti" w:eastAsia="Athiti" w:hAnsi="Athiti" w:cs="Athiti"/>
          <w:sz w:val="44"/>
          <w:szCs w:val="44"/>
          <w:lang w:val="cs-CZ"/>
        </w:rPr>
      </w:pPr>
    </w:p>
    <w:p w:rsidR="008119FF" w:rsidRPr="00A614D9" w:rsidRDefault="008119FF" w:rsidP="008119FF">
      <w:pPr>
        <w:pStyle w:val="Nzev"/>
        <w:keepNext w:val="0"/>
        <w:keepLines w:val="0"/>
        <w:widowControl w:val="0"/>
        <w:tabs>
          <w:tab w:val="left" w:pos="9356"/>
        </w:tabs>
        <w:spacing w:before="0" w:after="0" w:line="240" w:lineRule="auto"/>
        <w:ind w:right="188"/>
        <w:jc w:val="center"/>
        <w:rPr>
          <w:rFonts w:ascii="Athiti" w:eastAsia="Athiti" w:hAnsi="Athiti" w:cs="Athiti"/>
          <w:sz w:val="44"/>
          <w:szCs w:val="44"/>
          <w:lang w:val="cs-CZ"/>
        </w:rPr>
      </w:pPr>
    </w:p>
    <w:p w:rsidR="008119FF" w:rsidRPr="00A614D9" w:rsidRDefault="008119FF" w:rsidP="008119FF">
      <w:pPr>
        <w:pStyle w:val="Nzev"/>
        <w:keepNext w:val="0"/>
        <w:keepLines w:val="0"/>
        <w:widowControl w:val="0"/>
        <w:tabs>
          <w:tab w:val="left" w:pos="9356"/>
        </w:tabs>
        <w:spacing w:before="0" w:after="0" w:line="240" w:lineRule="auto"/>
        <w:ind w:right="188"/>
        <w:jc w:val="center"/>
        <w:rPr>
          <w:rFonts w:ascii="Athiti" w:eastAsia="Athiti" w:hAnsi="Athiti" w:cs="Athiti"/>
          <w:sz w:val="48"/>
          <w:szCs w:val="48"/>
          <w:lang w:val="cs-CZ"/>
        </w:rPr>
      </w:pPr>
      <w:r w:rsidRPr="00A614D9">
        <w:rPr>
          <w:rFonts w:ascii="Athiti" w:eastAsia="Athiti" w:hAnsi="Athiti" w:cs="Athiti"/>
          <w:sz w:val="48"/>
          <w:szCs w:val="48"/>
          <w:lang w:val="cs-CZ"/>
        </w:rPr>
        <w:t>Pravidla a postupy pro provádění</w:t>
      </w:r>
    </w:p>
    <w:p w:rsidR="008119FF" w:rsidRPr="00A614D9" w:rsidRDefault="008119FF" w:rsidP="008119FF">
      <w:pPr>
        <w:pStyle w:val="Nzev"/>
        <w:keepNext w:val="0"/>
        <w:keepLines w:val="0"/>
        <w:widowControl w:val="0"/>
        <w:tabs>
          <w:tab w:val="left" w:pos="9356"/>
        </w:tabs>
        <w:spacing w:before="0" w:after="0" w:line="240" w:lineRule="auto"/>
        <w:ind w:right="188"/>
        <w:jc w:val="center"/>
        <w:rPr>
          <w:rFonts w:ascii="Athiti" w:eastAsia="Athiti" w:hAnsi="Athiti" w:cs="Athiti"/>
          <w:sz w:val="48"/>
          <w:szCs w:val="48"/>
          <w:lang w:val="cs-CZ"/>
        </w:rPr>
      </w:pPr>
      <w:r w:rsidRPr="00A614D9">
        <w:rPr>
          <w:rFonts w:ascii="Athiti" w:eastAsia="Athiti" w:hAnsi="Athiti" w:cs="Athiti"/>
          <w:sz w:val="48"/>
          <w:szCs w:val="48"/>
          <w:lang w:val="cs-CZ"/>
        </w:rPr>
        <w:t>sankčních opatření</w:t>
      </w:r>
    </w:p>
    <w:p w:rsidR="008119FF" w:rsidRPr="00A614D9" w:rsidRDefault="008119FF" w:rsidP="008119FF">
      <w:pPr>
        <w:pStyle w:val="normal"/>
        <w:widowControl w:val="0"/>
        <w:tabs>
          <w:tab w:val="left" w:pos="9356"/>
        </w:tabs>
        <w:spacing w:after="0" w:line="240" w:lineRule="auto"/>
        <w:jc w:val="left"/>
        <w:rPr>
          <w:rFonts w:ascii="Athiti" w:eastAsia="Athiti" w:hAnsi="Athiti" w:cs="Athiti"/>
          <w:b/>
          <w:sz w:val="20"/>
          <w:szCs w:val="20"/>
          <w:lang w:val="cs-CZ"/>
        </w:rPr>
      </w:pPr>
    </w:p>
    <w:p w:rsidR="008119FF" w:rsidRPr="00A614D9" w:rsidRDefault="008119FF" w:rsidP="008119FF">
      <w:pPr>
        <w:pStyle w:val="normal"/>
        <w:widowControl w:val="0"/>
        <w:tabs>
          <w:tab w:val="left" w:pos="9356"/>
        </w:tabs>
        <w:spacing w:after="0" w:line="240" w:lineRule="auto"/>
        <w:jc w:val="left"/>
        <w:rPr>
          <w:rFonts w:ascii="Athiti" w:eastAsia="Athiti" w:hAnsi="Athiti" w:cs="Athiti"/>
          <w:b/>
          <w:sz w:val="20"/>
          <w:szCs w:val="20"/>
          <w:lang w:val="cs-CZ"/>
        </w:rPr>
      </w:pPr>
    </w:p>
    <w:p w:rsidR="008119FF" w:rsidRPr="00A614D9" w:rsidRDefault="008119FF" w:rsidP="008119FF">
      <w:pPr>
        <w:pStyle w:val="normal"/>
        <w:widowControl w:val="0"/>
        <w:tabs>
          <w:tab w:val="left" w:pos="9356"/>
        </w:tabs>
        <w:spacing w:before="238" w:after="0" w:line="240" w:lineRule="auto"/>
        <w:jc w:val="left"/>
        <w:rPr>
          <w:rFonts w:ascii="Athiti" w:eastAsia="Athiti" w:hAnsi="Athiti" w:cs="Athiti"/>
          <w:b/>
          <w:sz w:val="20"/>
          <w:szCs w:val="20"/>
          <w:lang w:val="cs-CZ"/>
        </w:rPr>
      </w:pPr>
    </w:p>
    <w:p w:rsidR="008119FF" w:rsidRPr="00A614D9" w:rsidRDefault="008119FF" w:rsidP="008119FF">
      <w:pPr>
        <w:pStyle w:val="normal"/>
        <w:widowControl w:val="0"/>
        <w:tabs>
          <w:tab w:val="left" w:pos="9356"/>
        </w:tabs>
        <w:spacing w:before="181" w:after="0" w:line="240" w:lineRule="auto"/>
        <w:jc w:val="left"/>
        <w:rPr>
          <w:rFonts w:ascii="Athiti" w:eastAsia="Athiti" w:hAnsi="Athiti" w:cs="Athiti"/>
          <w:b/>
          <w:sz w:val="22"/>
          <w:szCs w:val="22"/>
          <w:lang w:val="cs-CZ"/>
        </w:rPr>
      </w:pPr>
    </w:p>
    <w:p w:rsidR="008119FF" w:rsidRPr="00A614D9" w:rsidRDefault="008119FF" w:rsidP="008119FF">
      <w:pPr>
        <w:pStyle w:val="normal"/>
        <w:widowControl w:val="0"/>
        <w:tabs>
          <w:tab w:val="left" w:pos="9356"/>
        </w:tabs>
        <w:spacing w:before="181" w:after="0" w:line="240" w:lineRule="auto"/>
        <w:jc w:val="left"/>
        <w:rPr>
          <w:rFonts w:ascii="Athiti" w:eastAsia="Athiti" w:hAnsi="Athiti" w:cs="Athiti"/>
          <w:b/>
          <w:sz w:val="22"/>
          <w:szCs w:val="22"/>
          <w:lang w:val="cs-CZ"/>
        </w:rPr>
      </w:pPr>
    </w:p>
    <w:p w:rsidR="008119FF" w:rsidRPr="00A614D9" w:rsidRDefault="008119FF" w:rsidP="008119FF">
      <w:pPr>
        <w:pStyle w:val="normal"/>
        <w:widowControl w:val="0"/>
        <w:tabs>
          <w:tab w:val="left" w:pos="9356"/>
        </w:tabs>
        <w:spacing w:before="181" w:after="0" w:line="240" w:lineRule="auto"/>
        <w:jc w:val="left"/>
        <w:rPr>
          <w:rFonts w:ascii="Athiti" w:eastAsia="Athiti" w:hAnsi="Athiti" w:cs="Athiti"/>
          <w:b/>
          <w:sz w:val="22"/>
          <w:szCs w:val="22"/>
          <w:lang w:val="cs-CZ"/>
        </w:rPr>
      </w:pPr>
    </w:p>
    <w:p w:rsidR="008119FF" w:rsidRPr="00A614D9" w:rsidRDefault="008119FF" w:rsidP="008119FF">
      <w:pPr>
        <w:pStyle w:val="normal"/>
        <w:widowControl w:val="0"/>
        <w:tabs>
          <w:tab w:val="left" w:pos="9356"/>
        </w:tabs>
        <w:spacing w:before="181" w:after="0" w:line="240" w:lineRule="auto"/>
        <w:jc w:val="left"/>
        <w:rPr>
          <w:rFonts w:ascii="Athiti" w:eastAsia="Athiti" w:hAnsi="Athiti" w:cs="Athiti"/>
          <w:b/>
          <w:sz w:val="22"/>
          <w:szCs w:val="22"/>
          <w:lang w:val="cs-CZ"/>
        </w:rPr>
      </w:pPr>
    </w:p>
    <w:p w:rsidR="008119FF" w:rsidRPr="00A614D9" w:rsidRDefault="008119FF" w:rsidP="008119FF">
      <w:pPr>
        <w:pStyle w:val="normal"/>
        <w:widowControl w:val="0"/>
        <w:tabs>
          <w:tab w:val="left" w:pos="9356"/>
        </w:tabs>
        <w:spacing w:before="181" w:after="0" w:line="240" w:lineRule="auto"/>
        <w:jc w:val="left"/>
        <w:rPr>
          <w:rFonts w:ascii="Athiti" w:eastAsia="Athiti" w:hAnsi="Athiti" w:cs="Athiti"/>
          <w:b/>
          <w:sz w:val="22"/>
          <w:szCs w:val="22"/>
          <w:lang w:val="cs-CZ"/>
        </w:rPr>
      </w:pPr>
    </w:p>
    <w:p w:rsidR="008119FF" w:rsidRPr="00A614D9" w:rsidRDefault="008119FF" w:rsidP="008119FF">
      <w:pPr>
        <w:pStyle w:val="normal"/>
        <w:widowControl w:val="0"/>
        <w:tabs>
          <w:tab w:val="left" w:pos="9356"/>
        </w:tabs>
        <w:spacing w:before="6" w:after="0" w:line="240" w:lineRule="auto"/>
        <w:rPr>
          <w:rFonts w:ascii="Athiti" w:eastAsia="Athiti" w:hAnsi="Athiti" w:cs="Athiti"/>
          <w:b/>
          <w:sz w:val="22"/>
          <w:szCs w:val="22"/>
          <w:lang w:val="cs-CZ"/>
        </w:rPr>
      </w:pPr>
    </w:p>
    <w:p w:rsidR="008119FF" w:rsidRPr="00A614D9" w:rsidRDefault="008119FF" w:rsidP="008119FF">
      <w:pPr>
        <w:pStyle w:val="normal"/>
        <w:widowControl w:val="0"/>
        <w:tabs>
          <w:tab w:val="left" w:pos="9356"/>
        </w:tabs>
        <w:spacing w:before="6" w:after="0" w:line="240" w:lineRule="auto"/>
        <w:rPr>
          <w:rFonts w:ascii="Athiti" w:eastAsia="Athiti" w:hAnsi="Athiti" w:cs="Athiti"/>
          <w:b/>
          <w:sz w:val="22"/>
          <w:szCs w:val="22"/>
          <w:lang w:val="cs-CZ"/>
        </w:rPr>
      </w:pPr>
    </w:p>
    <w:tbl>
      <w:tblPr>
        <w:tblW w:w="5895" w:type="dxa"/>
        <w:tblInd w:w="3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9"/>
        <w:gridCol w:w="2746"/>
      </w:tblGrid>
      <w:tr w:rsidR="008119FF" w:rsidRPr="00A614D9" w:rsidTr="009A47E3">
        <w:trPr>
          <w:cantSplit/>
          <w:trHeight w:val="354"/>
          <w:tblHeader/>
        </w:trPr>
        <w:tc>
          <w:tcPr>
            <w:tcW w:w="3149" w:type="dxa"/>
            <w:shd w:val="clear" w:color="auto" w:fill="EFEFEF"/>
          </w:tcPr>
          <w:p w:rsidR="008119FF" w:rsidRPr="00A614D9" w:rsidRDefault="008119FF" w:rsidP="009A47E3">
            <w:pPr>
              <w:pStyle w:val="normal"/>
              <w:widowControl w:val="0"/>
              <w:tabs>
                <w:tab w:val="left" w:pos="9356"/>
              </w:tabs>
              <w:spacing w:before="64" w:after="0" w:line="240" w:lineRule="auto"/>
              <w:ind w:left="105"/>
              <w:rPr>
                <w:rFonts w:ascii="Athiti" w:eastAsia="Athiti" w:hAnsi="Athiti" w:cs="Athiti"/>
                <w:b/>
                <w:sz w:val="20"/>
                <w:szCs w:val="20"/>
                <w:lang w:val="cs-CZ"/>
              </w:rPr>
            </w:pPr>
            <w:r w:rsidRPr="00A614D9">
              <w:rPr>
                <w:rFonts w:ascii="Athiti" w:eastAsia="Athiti" w:hAnsi="Athiti" w:cs="Athiti"/>
                <w:b/>
                <w:sz w:val="20"/>
                <w:szCs w:val="20"/>
                <w:lang w:val="cs-CZ"/>
              </w:rPr>
              <w:t>Verze:</w:t>
            </w:r>
          </w:p>
        </w:tc>
        <w:tc>
          <w:tcPr>
            <w:tcW w:w="2746" w:type="dxa"/>
          </w:tcPr>
          <w:p w:rsidR="008119FF" w:rsidRPr="00A614D9" w:rsidRDefault="008119FF" w:rsidP="009A47E3">
            <w:pPr>
              <w:pStyle w:val="normal"/>
              <w:widowControl w:val="0"/>
              <w:tabs>
                <w:tab w:val="left" w:pos="9356"/>
              </w:tabs>
              <w:spacing w:before="71" w:after="0" w:line="240" w:lineRule="auto"/>
              <w:ind w:right="94"/>
              <w:rPr>
                <w:rFonts w:ascii="Athiti" w:eastAsia="Athiti" w:hAnsi="Athiti" w:cs="Athiti"/>
                <w:sz w:val="20"/>
                <w:szCs w:val="20"/>
                <w:lang w:val="cs-CZ"/>
              </w:rPr>
            </w:pPr>
            <w:r w:rsidRPr="00A614D9">
              <w:rPr>
                <w:rFonts w:ascii="Athiti" w:eastAsia="Athiti" w:hAnsi="Athiti" w:cs="Athiti"/>
                <w:sz w:val="20"/>
                <w:szCs w:val="20"/>
                <w:lang w:val="cs-CZ"/>
              </w:rPr>
              <w:t>1.0</w:t>
            </w:r>
          </w:p>
        </w:tc>
      </w:tr>
      <w:tr w:rsidR="008119FF" w:rsidRPr="00A614D9" w:rsidTr="009A47E3">
        <w:trPr>
          <w:cantSplit/>
          <w:trHeight w:val="354"/>
          <w:tblHeader/>
        </w:trPr>
        <w:tc>
          <w:tcPr>
            <w:tcW w:w="3149" w:type="dxa"/>
            <w:shd w:val="clear" w:color="auto" w:fill="EFEFEF"/>
          </w:tcPr>
          <w:p w:rsidR="008119FF" w:rsidRPr="00A614D9" w:rsidRDefault="008119FF" w:rsidP="009A47E3">
            <w:pPr>
              <w:pStyle w:val="normal"/>
              <w:widowControl w:val="0"/>
              <w:tabs>
                <w:tab w:val="left" w:pos="9356"/>
              </w:tabs>
              <w:spacing w:before="64" w:after="0" w:line="240" w:lineRule="auto"/>
              <w:ind w:left="105"/>
              <w:rPr>
                <w:rFonts w:ascii="Athiti" w:eastAsia="Athiti" w:hAnsi="Athiti" w:cs="Athiti"/>
                <w:b/>
                <w:sz w:val="20"/>
                <w:szCs w:val="20"/>
                <w:lang w:val="cs-CZ"/>
              </w:rPr>
            </w:pPr>
            <w:r w:rsidRPr="00A614D9">
              <w:rPr>
                <w:rFonts w:ascii="Athiti" w:eastAsia="Athiti" w:hAnsi="Athiti" w:cs="Athiti"/>
                <w:b/>
                <w:sz w:val="20"/>
                <w:szCs w:val="20"/>
                <w:lang w:val="cs-CZ"/>
              </w:rPr>
              <w:t>Schváleno dne:</w:t>
            </w:r>
          </w:p>
        </w:tc>
        <w:tc>
          <w:tcPr>
            <w:tcW w:w="2746" w:type="dxa"/>
          </w:tcPr>
          <w:p w:rsidR="008119FF" w:rsidRPr="00A614D9" w:rsidRDefault="00B6224F" w:rsidP="009A47E3">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r w:rsidR="008119FF" w:rsidRPr="00A614D9" w:rsidTr="009A47E3">
        <w:trPr>
          <w:cantSplit/>
          <w:trHeight w:val="354"/>
          <w:tblHeader/>
        </w:trPr>
        <w:tc>
          <w:tcPr>
            <w:tcW w:w="3149" w:type="dxa"/>
            <w:shd w:val="clear" w:color="auto" w:fill="EFEFEF"/>
          </w:tcPr>
          <w:p w:rsidR="008119FF" w:rsidRPr="00A614D9" w:rsidRDefault="008119FF" w:rsidP="009A47E3">
            <w:pPr>
              <w:pStyle w:val="normal"/>
              <w:widowControl w:val="0"/>
              <w:tabs>
                <w:tab w:val="left" w:pos="9356"/>
              </w:tabs>
              <w:spacing w:before="64" w:after="0" w:line="240" w:lineRule="auto"/>
              <w:ind w:left="105"/>
              <w:rPr>
                <w:rFonts w:ascii="Athiti" w:eastAsia="Athiti" w:hAnsi="Athiti" w:cs="Athiti"/>
                <w:b/>
                <w:sz w:val="20"/>
                <w:szCs w:val="20"/>
                <w:lang w:val="cs-CZ"/>
              </w:rPr>
            </w:pPr>
            <w:r w:rsidRPr="00A614D9">
              <w:rPr>
                <w:rFonts w:ascii="Athiti" w:eastAsia="Athiti" w:hAnsi="Athiti" w:cs="Athiti"/>
                <w:b/>
                <w:sz w:val="20"/>
                <w:szCs w:val="20"/>
                <w:lang w:val="cs-CZ"/>
              </w:rPr>
              <w:t>Schváleno oddělením:</w:t>
            </w:r>
          </w:p>
        </w:tc>
        <w:tc>
          <w:tcPr>
            <w:tcW w:w="2746" w:type="dxa"/>
          </w:tcPr>
          <w:p w:rsidR="008119FF" w:rsidRPr="00A614D9" w:rsidRDefault="008119FF" w:rsidP="009A47E3">
            <w:pPr>
              <w:pStyle w:val="normal"/>
              <w:widowControl w:val="0"/>
              <w:tabs>
                <w:tab w:val="left" w:pos="9356"/>
              </w:tabs>
              <w:spacing w:before="71" w:after="0" w:line="240" w:lineRule="auto"/>
              <w:ind w:right="94"/>
              <w:rPr>
                <w:rFonts w:ascii="Athiti" w:eastAsia="Athiti" w:hAnsi="Athiti" w:cs="Athiti"/>
                <w:sz w:val="20"/>
                <w:szCs w:val="20"/>
                <w:lang w:val="cs-CZ"/>
              </w:rPr>
            </w:pPr>
            <w:r w:rsidRPr="00A614D9">
              <w:rPr>
                <w:rFonts w:ascii="Athiti" w:eastAsia="Athiti" w:hAnsi="Athiti" w:cs="Athiti"/>
                <w:sz w:val="20"/>
                <w:szCs w:val="20"/>
                <w:lang w:val="cs-CZ"/>
              </w:rPr>
              <w:t>Compliance</w:t>
            </w:r>
          </w:p>
        </w:tc>
      </w:tr>
      <w:tr w:rsidR="008119FF" w:rsidRPr="00A614D9" w:rsidTr="009A47E3">
        <w:trPr>
          <w:cantSplit/>
          <w:trHeight w:val="354"/>
          <w:tblHeader/>
        </w:trPr>
        <w:tc>
          <w:tcPr>
            <w:tcW w:w="3149" w:type="dxa"/>
            <w:shd w:val="clear" w:color="auto" w:fill="EFEFEF"/>
          </w:tcPr>
          <w:p w:rsidR="008119FF" w:rsidRPr="00A614D9" w:rsidRDefault="008119FF" w:rsidP="009A47E3">
            <w:pPr>
              <w:pStyle w:val="normal"/>
              <w:widowControl w:val="0"/>
              <w:tabs>
                <w:tab w:val="left" w:pos="9356"/>
              </w:tabs>
              <w:spacing w:before="64" w:after="0" w:line="240" w:lineRule="auto"/>
              <w:ind w:left="105"/>
              <w:rPr>
                <w:rFonts w:ascii="Athiti" w:eastAsia="Athiti" w:hAnsi="Athiti" w:cs="Athiti"/>
                <w:b/>
                <w:sz w:val="20"/>
                <w:szCs w:val="20"/>
                <w:lang w:val="cs-CZ"/>
              </w:rPr>
            </w:pPr>
            <w:r w:rsidRPr="00A614D9">
              <w:rPr>
                <w:rFonts w:ascii="Athiti" w:eastAsia="Athiti" w:hAnsi="Athiti" w:cs="Athiti"/>
                <w:b/>
                <w:sz w:val="20"/>
                <w:szCs w:val="20"/>
                <w:lang w:val="cs-CZ"/>
              </w:rPr>
              <w:t>Naposledy aktualizováno:</w:t>
            </w:r>
          </w:p>
        </w:tc>
        <w:tc>
          <w:tcPr>
            <w:tcW w:w="2746" w:type="dxa"/>
          </w:tcPr>
          <w:p w:rsidR="008119FF" w:rsidRPr="00A614D9" w:rsidRDefault="00B6224F" w:rsidP="009A47E3">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bl>
    <w:p w:rsidR="008119FF" w:rsidRPr="00A614D9" w:rsidRDefault="008119FF" w:rsidP="008119FF">
      <w:pPr>
        <w:pStyle w:val="normal"/>
        <w:widowControl w:val="0"/>
        <w:tabs>
          <w:tab w:val="left" w:pos="9356"/>
        </w:tabs>
        <w:spacing w:after="0" w:line="240" w:lineRule="auto"/>
        <w:rPr>
          <w:rFonts w:ascii="Athiti" w:eastAsia="Athiti" w:hAnsi="Athiti" w:cs="Athiti"/>
          <w:sz w:val="18"/>
          <w:szCs w:val="18"/>
          <w:lang w:val="cs-CZ"/>
        </w:rPr>
        <w:sectPr w:rsidR="008119FF" w:rsidRPr="00A614D9">
          <w:headerReference w:type="default" r:id="rId7"/>
          <w:footerReference w:type="default" r:id="rId8"/>
          <w:headerReference w:type="first" r:id="rId9"/>
          <w:footerReference w:type="first" r:id="rId10"/>
          <w:pgSz w:w="11906" w:h="16838"/>
          <w:pgMar w:top="1134" w:right="1134" w:bottom="1134" w:left="1134" w:header="709" w:footer="709" w:gutter="0"/>
          <w:pgNumType w:start="0"/>
          <w:cols w:space="720"/>
          <w:titlePg/>
        </w:sectPr>
      </w:pPr>
    </w:p>
    <w:p w:rsidR="008119FF" w:rsidRDefault="008119F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pPr>
    </w:p>
    <w:p w:rsidR="008626EF" w:rsidRDefault="008626E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pPr>
    </w:p>
    <w:p w:rsidR="008626EF" w:rsidRDefault="008626E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pPr>
    </w:p>
    <w:p w:rsidR="008626EF" w:rsidRDefault="008626E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pPr>
    </w:p>
    <w:p w:rsidR="008626EF" w:rsidRDefault="008626E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pPr>
    </w:p>
    <w:p w:rsidR="008626EF" w:rsidRDefault="008626E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pPr>
    </w:p>
    <w:p w:rsidR="008626EF" w:rsidRDefault="008626E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pPr>
    </w:p>
    <w:p w:rsidR="008626EF" w:rsidRDefault="008626E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pPr>
    </w:p>
    <w:p w:rsidR="008626EF" w:rsidRDefault="008626E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pPr>
    </w:p>
    <w:p w:rsidR="008626EF" w:rsidRDefault="008626E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pPr>
    </w:p>
    <w:p w:rsidR="008626EF" w:rsidRDefault="008626E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pPr>
    </w:p>
    <w:p w:rsidR="008626EF" w:rsidRDefault="008626E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pPr>
    </w:p>
    <w:p w:rsidR="008626EF" w:rsidRDefault="008626E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pPr>
    </w:p>
    <w:p w:rsidR="008626EF" w:rsidRDefault="008626E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pPr>
    </w:p>
    <w:p w:rsidR="008626EF" w:rsidRDefault="008626E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pPr>
    </w:p>
    <w:p w:rsidR="008626EF" w:rsidRDefault="008626E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pPr>
    </w:p>
    <w:p w:rsidR="008626EF" w:rsidRPr="00A614D9" w:rsidRDefault="008626EF" w:rsidP="008119FF">
      <w:pPr>
        <w:pStyle w:val="normal"/>
        <w:widowControl w:val="0"/>
        <w:tabs>
          <w:tab w:val="left" w:pos="9356"/>
          <w:tab w:val="right" w:pos="12000"/>
        </w:tabs>
        <w:spacing w:before="60" w:after="0" w:line="240" w:lineRule="auto"/>
        <w:jc w:val="left"/>
        <w:rPr>
          <w:rFonts w:ascii="Arial" w:eastAsia="Arial" w:hAnsi="Arial" w:cs="Arial"/>
          <w:b/>
          <w:sz w:val="22"/>
          <w:szCs w:val="22"/>
          <w:lang w:val="cs-CZ"/>
        </w:rPr>
        <w:sectPr w:rsidR="008626EF" w:rsidRPr="00A614D9">
          <w:type w:val="continuous"/>
          <w:pgSz w:w="11906" w:h="16838"/>
          <w:pgMar w:top="1359" w:right="1440" w:bottom="1906" w:left="1440" w:header="0" w:footer="801" w:gutter="0"/>
          <w:cols w:space="720"/>
        </w:sectPr>
      </w:pPr>
    </w:p>
    <w:p w:rsidR="008119FF" w:rsidRPr="00A614D9" w:rsidRDefault="008119FF" w:rsidP="008119FF">
      <w:pPr>
        <w:pStyle w:val="Nadpis1"/>
        <w:keepNext w:val="0"/>
        <w:keepLines w:val="0"/>
        <w:widowControl w:val="0"/>
        <w:numPr>
          <w:ilvl w:val="0"/>
          <w:numId w:val="3"/>
        </w:numPr>
        <w:tabs>
          <w:tab w:val="left" w:pos="713"/>
          <w:tab w:val="left" w:pos="9356"/>
        </w:tabs>
        <w:spacing w:before="101" w:after="0" w:line="240" w:lineRule="auto"/>
        <w:jc w:val="left"/>
        <w:rPr>
          <w:rFonts w:ascii="Athiti" w:eastAsia="Athiti" w:hAnsi="Athiti" w:cs="Athiti"/>
          <w:color w:val="2C74B5"/>
          <w:sz w:val="32"/>
          <w:szCs w:val="32"/>
          <w:lang w:val="cs-CZ"/>
        </w:rPr>
      </w:pPr>
      <w:r w:rsidRPr="00A614D9">
        <w:rPr>
          <w:rFonts w:ascii="Athiti" w:eastAsia="Athiti" w:hAnsi="Athiti" w:cs="Athiti"/>
          <w:color w:val="2C74B5"/>
          <w:sz w:val="32"/>
          <w:szCs w:val="32"/>
          <w:lang w:val="cs-CZ"/>
        </w:rPr>
        <w:lastRenderedPageBreak/>
        <w:t>POJMY A DEFINICE</w:t>
      </w:r>
    </w:p>
    <w:p w:rsidR="008119FF" w:rsidRPr="00A614D9" w:rsidRDefault="008119FF" w:rsidP="008119FF">
      <w:pPr>
        <w:pStyle w:val="normal"/>
        <w:widowControl w:val="0"/>
        <w:tabs>
          <w:tab w:val="left" w:pos="9356"/>
        </w:tabs>
        <w:spacing w:before="64" w:after="0" w:line="240" w:lineRule="auto"/>
        <w:jc w:val="left"/>
        <w:rPr>
          <w:rFonts w:ascii="Athiti" w:eastAsia="Athiti" w:hAnsi="Athiti" w:cs="Athiti"/>
          <w:b/>
          <w:sz w:val="20"/>
          <w:szCs w:val="20"/>
          <w:lang w:val="cs-CZ"/>
        </w:rPr>
      </w:pPr>
    </w:p>
    <w:tbl>
      <w:tblPr>
        <w:tblW w:w="8635"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39"/>
        <w:gridCol w:w="5896"/>
      </w:tblGrid>
      <w:tr w:rsidR="008119FF" w:rsidRPr="00A614D9" w:rsidTr="009A47E3">
        <w:trPr>
          <w:cantSplit/>
          <w:trHeight w:val="342"/>
          <w:tblHeader/>
        </w:trPr>
        <w:tc>
          <w:tcPr>
            <w:tcW w:w="2739" w:type="dxa"/>
            <w:shd w:val="clear" w:color="auto" w:fill="001F5F"/>
          </w:tcPr>
          <w:p w:rsidR="008119FF" w:rsidRPr="00A614D9" w:rsidRDefault="008119FF" w:rsidP="009A47E3">
            <w:pPr>
              <w:pStyle w:val="normal"/>
              <w:widowControl w:val="0"/>
              <w:tabs>
                <w:tab w:val="left" w:pos="9356"/>
              </w:tabs>
              <w:spacing w:after="0" w:line="323" w:lineRule="auto"/>
              <w:ind w:left="108"/>
              <w:jc w:val="left"/>
              <w:rPr>
                <w:rFonts w:ascii="Athiti" w:eastAsia="Athiti" w:hAnsi="Athiti" w:cs="Athiti"/>
                <w:b/>
                <w:sz w:val="28"/>
                <w:szCs w:val="28"/>
                <w:lang w:val="cs-CZ"/>
              </w:rPr>
            </w:pPr>
            <w:r w:rsidRPr="00A614D9">
              <w:rPr>
                <w:rFonts w:ascii="Athiti" w:eastAsia="Athiti" w:hAnsi="Athiti" w:cs="Athiti"/>
                <w:b/>
                <w:color w:val="FFFFFF"/>
                <w:sz w:val="28"/>
                <w:szCs w:val="28"/>
                <w:lang w:val="cs-CZ"/>
              </w:rPr>
              <w:t>Pojem</w:t>
            </w:r>
          </w:p>
        </w:tc>
        <w:tc>
          <w:tcPr>
            <w:tcW w:w="5896" w:type="dxa"/>
            <w:shd w:val="clear" w:color="auto" w:fill="001F5F"/>
          </w:tcPr>
          <w:p w:rsidR="008119FF" w:rsidRPr="00A614D9" w:rsidRDefault="008119FF" w:rsidP="009A47E3">
            <w:pPr>
              <w:pStyle w:val="normal"/>
              <w:widowControl w:val="0"/>
              <w:tabs>
                <w:tab w:val="left" w:pos="9356"/>
              </w:tabs>
              <w:spacing w:after="0" w:line="323" w:lineRule="auto"/>
              <w:ind w:left="116"/>
              <w:jc w:val="left"/>
              <w:rPr>
                <w:rFonts w:ascii="Athiti" w:eastAsia="Athiti" w:hAnsi="Athiti" w:cs="Athiti"/>
                <w:b/>
                <w:sz w:val="28"/>
                <w:szCs w:val="28"/>
                <w:lang w:val="cs-CZ"/>
              </w:rPr>
            </w:pPr>
            <w:r w:rsidRPr="00A614D9">
              <w:rPr>
                <w:rFonts w:ascii="Athiti" w:eastAsia="Athiti" w:hAnsi="Athiti" w:cs="Athiti"/>
                <w:b/>
                <w:color w:val="FFFFFF"/>
                <w:sz w:val="28"/>
                <w:szCs w:val="28"/>
                <w:lang w:val="cs-CZ"/>
              </w:rPr>
              <w:t>Vymezení</w:t>
            </w:r>
          </w:p>
        </w:tc>
      </w:tr>
      <w:tr w:rsidR="008119FF" w:rsidRPr="00A614D9" w:rsidTr="009A47E3">
        <w:trPr>
          <w:cantSplit/>
          <w:trHeight w:val="469"/>
          <w:tblHeader/>
        </w:trPr>
        <w:tc>
          <w:tcPr>
            <w:tcW w:w="2739" w:type="dxa"/>
            <w:shd w:val="clear" w:color="auto" w:fill="FFFFFF"/>
          </w:tcPr>
          <w:p w:rsidR="008119FF" w:rsidRPr="00A614D9" w:rsidRDefault="008119FF" w:rsidP="009A47E3">
            <w:pPr>
              <w:pStyle w:val="normal"/>
              <w:widowControl w:val="0"/>
              <w:tabs>
                <w:tab w:val="left" w:pos="9356"/>
              </w:tabs>
              <w:spacing w:before="4"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AML zákon</w:t>
            </w:r>
          </w:p>
        </w:tc>
        <w:tc>
          <w:tcPr>
            <w:tcW w:w="5896" w:type="dxa"/>
            <w:shd w:val="clear" w:color="auto" w:fill="FFFFFF"/>
          </w:tcPr>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Zákon č. 253/2008 Sb., který upravuje opatření proti legalizaci výnosů z trestné činnosti a financování terorismu.</w:t>
            </w:r>
          </w:p>
        </w:tc>
      </w:tr>
      <w:tr w:rsidR="008119FF" w:rsidRPr="00A614D9" w:rsidTr="009A47E3">
        <w:trPr>
          <w:cantSplit/>
          <w:trHeight w:val="237"/>
          <w:tblHeader/>
        </w:trPr>
        <w:tc>
          <w:tcPr>
            <w:tcW w:w="2739" w:type="dxa"/>
            <w:shd w:val="clear" w:color="auto" w:fill="FFFFFF"/>
          </w:tcPr>
          <w:p w:rsidR="008119FF" w:rsidRPr="00A614D9" w:rsidRDefault="008119FF" w:rsidP="009A47E3">
            <w:pPr>
              <w:pStyle w:val="normal"/>
              <w:widowControl w:val="0"/>
              <w:tabs>
                <w:tab w:val="left" w:pos="9356"/>
              </w:tabs>
              <w:spacing w:before="4"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benchmark ČNB</w:t>
            </w:r>
          </w:p>
        </w:tc>
        <w:tc>
          <w:tcPr>
            <w:tcW w:w="5896" w:type="dxa"/>
            <w:shd w:val="clear" w:color="auto" w:fill="FFFFFF"/>
          </w:tcPr>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Dohledový dokument České národní banky č. 2/2023, který stanovuje standardy pro kontrolu klientů prostřednictvím systému sledování transakcí.</w:t>
            </w:r>
          </w:p>
        </w:tc>
      </w:tr>
      <w:tr w:rsidR="008119FF" w:rsidRPr="00A614D9" w:rsidTr="009A47E3">
        <w:trPr>
          <w:cantSplit/>
          <w:trHeight w:val="237"/>
          <w:tblHeader/>
        </w:trPr>
        <w:tc>
          <w:tcPr>
            <w:tcW w:w="2739" w:type="dxa"/>
            <w:shd w:val="clear" w:color="auto" w:fill="FFFFFF"/>
          </w:tcPr>
          <w:p w:rsidR="008119FF" w:rsidRPr="00A614D9" w:rsidRDefault="008119FF" w:rsidP="009A47E3">
            <w:pPr>
              <w:pStyle w:val="normal"/>
              <w:widowControl w:val="0"/>
              <w:tabs>
                <w:tab w:val="left" w:pos="9356"/>
              </w:tabs>
              <w:spacing w:before="4"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EU</w:t>
            </w:r>
          </w:p>
        </w:tc>
        <w:tc>
          <w:tcPr>
            <w:tcW w:w="5896" w:type="dxa"/>
            <w:shd w:val="clear" w:color="auto" w:fill="FFFFFF"/>
          </w:tcPr>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Evropská unie jako politické a ekonomické společenství evropských států.</w:t>
            </w:r>
          </w:p>
        </w:tc>
      </w:tr>
      <w:tr w:rsidR="008119FF" w:rsidRPr="00A614D9" w:rsidTr="009A47E3">
        <w:trPr>
          <w:cantSplit/>
          <w:trHeight w:val="441"/>
          <w:tblHeader/>
        </w:trPr>
        <w:tc>
          <w:tcPr>
            <w:tcW w:w="2739" w:type="dxa"/>
            <w:shd w:val="clear" w:color="auto" w:fill="FFFFFF"/>
          </w:tcPr>
          <w:p w:rsidR="008119FF" w:rsidRPr="00A614D9" w:rsidRDefault="008119FF" w:rsidP="009A47E3">
            <w:pPr>
              <w:pStyle w:val="normal"/>
              <w:widowControl w:val="0"/>
              <w:tabs>
                <w:tab w:val="left" w:pos="9356"/>
              </w:tabs>
              <w:spacing w:before="4"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externí smluvní partneři</w:t>
            </w:r>
          </w:p>
        </w:tc>
        <w:tc>
          <w:tcPr>
            <w:tcW w:w="5896" w:type="dxa"/>
            <w:shd w:val="clear" w:color="auto" w:fill="FFFFFF"/>
          </w:tcPr>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Obchodní subjekty, které spolupracují se Společností, ale nejsou jejími klienty.</w:t>
            </w:r>
          </w:p>
        </w:tc>
      </w:tr>
      <w:tr w:rsidR="008119FF" w:rsidRPr="00A614D9" w:rsidTr="009A47E3">
        <w:trPr>
          <w:cantSplit/>
          <w:trHeight w:val="441"/>
          <w:tblHeader/>
        </w:trPr>
        <w:tc>
          <w:tcPr>
            <w:tcW w:w="2739" w:type="dxa"/>
            <w:shd w:val="clear" w:color="auto" w:fill="FFFFFF"/>
          </w:tcPr>
          <w:p w:rsidR="008119FF" w:rsidRPr="00A614D9" w:rsidRDefault="008119FF" w:rsidP="009A47E3">
            <w:pPr>
              <w:pStyle w:val="normal"/>
              <w:widowControl w:val="0"/>
              <w:tabs>
                <w:tab w:val="left" w:pos="9356"/>
              </w:tabs>
              <w:spacing w:before="4"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FATF</w:t>
            </w:r>
          </w:p>
        </w:tc>
        <w:tc>
          <w:tcPr>
            <w:tcW w:w="5896" w:type="dxa"/>
            <w:shd w:val="clear" w:color="auto" w:fill="FFFFFF"/>
          </w:tcPr>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Finanční akční výbor - mezinárodní instituce stanovující standardy pro boj proti praní peněz a financování terorismu.</w:t>
            </w:r>
          </w:p>
        </w:tc>
      </w:tr>
      <w:tr w:rsidR="008119FF" w:rsidRPr="00A614D9" w:rsidTr="009A47E3">
        <w:trPr>
          <w:cantSplit/>
          <w:trHeight w:val="441"/>
          <w:tblHeader/>
        </w:trPr>
        <w:tc>
          <w:tcPr>
            <w:tcW w:w="2739" w:type="dxa"/>
            <w:shd w:val="clear" w:color="auto" w:fill="FFFFFF"/>
          </w:tcPr>
          <w:p w:rsidR="008119FF" w:rsidRPr="00A614D9" w:rsidRDefault="008119FF" w:rsidP="009A47E3">
            <w:pPr>
              <w:pStyle w:val="normal"/>
              <w:widowControl w:val="0"/>
              <w:tabs>
                <w:tab w:val="left" w:pos="9356"/>
              </w:tabs>
              <w:spacing w:before="4"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FAÚ</w:t>
            </w:r>
          </w:p>
        </w:tc>
        <w:tc>
          <w:tcPr>
            <w:tcW w:w="5896" w:type="dxa"/>
            <w:shd w:val="clear" w:color="auto" w:fill="FFFFFF"/>
          </w:tcPr>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Finanční analytický úřad - orgán odpovědný za kontrolu a analýzu podezřelých finančních transakcí.</w:t>
            </w:r>
          </w:p>
        </w:tc>
      </w:tr>
      <w:tr w:rsidR="008119FF" w:rsidRPr="00A614D9" w:rsidTr="009A47E3">
        <w:trPr>
          <w:cantSplit/>
          <w:trHeight w:val="441"/>
          <w:tblHeader/>
        </w:trPr>
        <w:tc>
          <w:tcPr>
            <w:tcW w:w="2739" w:type="dxa"/>
            <w:shd w:val="clear" w:color="auto" w:fill="FFFFFF"/>
          </w:tcPr>
          <w:p w:rsidR="008119FF" w:rsidRPr="00A614D9" w:rsidRDefault="008119FF" w:rsidP="009A47E3">
            <w:pPr>
              <w:pStyle w:val="normal"/>
              <w:widowControl w:val="0"/>
              <w:tabs>
                <w:tab w:val="left" w:pos="9356"/>
              </w:tabs>
              <w:spacing w:before="4"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financování terorismu</w:t>
            </w:r>
          </w:p>
        </w:tc>
        <w:tc>
          <w:tcPr>
            <w:tcW w:w="5896" w:type="dxa"/>
            <w:shd w:val="clear" w:color="auto" w:fill="FFFFFF"/>
          </w:tcPr>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a) shromažďování nebo poskytování finančních prostředků či jiného majetku s vědomím, že mají být – i jen zčásti – využity k realizaci trestných činů, jako je teroristický čin, útok, účast v teroristické organizaci, propagace terorismu, hrozba teroristickým činem nebo jakýkoli čin, jehož cílem je napomáhat výše uvedenému, včetně podpory osob připravujících se na tyto činy;</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b) činnost, jejímž cílem je vyplatit odměnu nebo odškodnění osobě, která se dopustila teroristického činu, útoku, účasti na teroristické skupině či propagace terorismu, nebo osobám s těmito pachateli spojenými (například blízkými osobami dle trestního zákoníku), případně sběr prostředků na takové vyplacení či odškodnění;</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c) financování rozšiřování zbraní hromadného ničení, tj. poskytování nebo získávání prostředků s vědomím, že budou sloužit k šíření těchto zbraní nebo k podpoře jejich šíření v rozporu s mezinárodním právem.</w:t>
            </w:r>
          </w:p>
        </w:tc>
      </w:tr>
      <w:tr w:rsidR="008119FF" w:rsidRPr="00A614D9" w:rsidTr="009A47E3">
        <w:trPr>
          <w:cantSplit/>
          <w:trHeight w:val="441"/>
          <w:tblHeader/>
        </w:trPr>
        <w:tc>
          <w:tcPr>
            <w:tcW w:w="2739" w:type="dxa"/>
            <w:shd w:val="clear" w:color="auto" w:fill="FFFFFF"/>
          </w:tcPr>
          <w:p w:rsidR="008119FF" w:rsidRPr="00A614D9" w:rsidRDefault="008119FF" w:rsidP="009A47E3">
            <w:pPr>
              <w:pStyle w:val="normal"/>
              <w:widowControl w:val="0"/>
              <w:tabs>
                <w:tab w:val="left" w:pos="9356"/>
              </w:tabs>
              <w:spacing w:before="4"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lastRenderedPageBreak/>
              <w:t>mezinárodní sankce</w:t>
            </w:r>
          </w:p>
        </w:tc>
        <w:tc>
          <w:tcPr>
            <w:tcW w:w="5896" w:type="dxa"/>
            <w:shd w:val="clear" w:color="auto" w:fill="FFFFFF"/>
          </w:tcPr>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Mezinárodními sankcemi se rozumí příkazy, zákazy nebo omezení, které mají za cíl: udržet nebo obnovit mezinárodní mír a bezpečnost, bojovat proti terorismu, zajistit respektování mezinárodního práva, chránit lidská práva a svobody, podporovat demokracii a vládu práva. Tyto sankce vycházejí z následujících právních základů:  a) rozhodnutí Rady bezpečnosti OSN podle článku 41 Charty OSN,</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b) společných postojů, akcí či dalších opatření dle Smlouvy o EU v oblasti společné zahraniční a bezpečnostní politiky,</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c) přímo použitelných předpisů Evropského společenství k provedení těchto postojů či akcí,</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d) právních aktů EU vycházejících ze společné zahraniční a bezpečnostní politiky,</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 xml:space="preserve">e) rozhodnutí přijatých na základě příslušných ustanovení Smlouvy o EU, </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 xml:space="preserve">f) rozhodnutí české vlády o zařazení osoby či subjektu na vnitrostátní sankční seznam podle tzv. sankčního zákona. </w:t>
            </w:r>
          </w:p>
        </w:tc>
      </w:tr>
      <w:tr w:rsidR="008119FF" w:rsidRPr="00A614D9" w:rsidTr="009A47E3">
        <w:trPr>
          <w:cantSplit/>
          <w:trHeight w:val="451"/>
          <w:tblHeader/>
        </w:trPr>
        <w:tc>
          <w:tcPr>
            <w:tcW w:w="2739" w:type="dxa"/>
            <w:shd w:val="clear" w:color="auto" w:fill="FFFFFF"/>
          </w:tcPr>
          <w:p w:rsidR="008119FF" w:rsidRPr="00A614D9" w:rsidRDefault="008119FF" w:rsidP="009A47E3">
            <w:pPr>
              <w:pStyle w:val="normal"/>
              <w:widowControl w:val="0"/>
              <w:tabs>
                <w:tab w:val="left" w:pos="9356"/>
              </w:tabs>
              <w:spacing w:before="4"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OSN</w:t>
            </w:r>
          </w:p>
        </w:tc>
        <w:tc>
          <w:tcPr>
            <w:tcW w:w="5896" w:type="dxa"/>
            <w:shd w:val="clear" w:color="auto" w:fill="FFFFFF"/>
          </w:tcPr>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Organizace spojených národů – mezinárodní instituce sdružující většinu států světa, jejímž cílem je zajištění mezinárodní bezpečnosti, míru, rozvoje a spolupráce mezi národy.</w:t>
            </w:r>
          </w:p>
        </w:tc>
      </w:tr>
      <w:tr w:rsidR="008119FF" w:rsidRPr="00A614D9" w:rsidTr="009A47E3">
        <w:trPr>
          <w:cantSplit/>
          <w:trHeight w:val="974"/>
          <w:tblHeader/>
        </w:trPr>
        <w:tc>
          <w:tcPr>
            <w:tcW w:w="2739" w:type="dxa"/>
            <w:shd w:val="clear" w:color="auto" w:fill="FFFFFF"/>
          </w:tcPr>
          <w:p w:rsidR="008119FF" w:rsidRPr="00A614D9" w:rsidRDefault="008119FF" w:rsidP="009A47E3">
            <w:pPr>
              <w:pStyle w:val="normal"/>
              <w:widowControl w:val="0"/>
              <w:tabs>
                <w:tab w:val="left" w:pos="9356"/>
              </w:tabs>
              <w:spacing w:before="4"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lastRenderedPageBreak/>
              <w:t>podezřelý obchod</w:t>
            </w:r>
          </w:p>
        </w:tc>
        <w:tc>
          <w:tcPr>
            <w:tcW w:w="5896" w:type="dxa"/>
            <w:shd w:val="clear" w:color="auto" w:fill="FFFFFF"/>
          </w:tcPr>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Podezřelý obchod je takový obchodní případ, který podle § 6 AML zákona vykazuje známky možného praní špinavých peněz nebo financování terorismu, případně na něj ukazují jiné podezřelé okolnosti. Typicky jde o situace, kdy:</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a) klient krátce po hotovostním vkladu vybírá nebo převádí prostředky,</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b) během jednoho nebo několika po sobě jdoucích dnů provádí nezvykle vysoký počet operací,</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c) počet účtů vedených klientem zjevně neodpovídá jeho podnikatelské činnosti nebo majetku,</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d) převody majetku nedávají ekonomický smysl nebo jsou objemově neobvyklé,</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e) klient operuje s prostředky, které neodpovídají povaze nebo rozsahu jeho podnikání či majetkovým poměrům,</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f) účet je používán v rozporu s deklarovaným účelem,</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g) klient se snaží zakrýt svou identitu nebo identitu skutečného vlastníka,</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h) klientem nebo vlastníkem je osoba ze země, která nedodržuje opatření proti praní peněz a financování terorismu,</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i) existují pochybnosti o pravosti údajů poskytnutých klientem,</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j) klient odmítá identifikaci nebo kontrolu, případně nesdělí údaje osoby, za kterou jedná.</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(2) Obchod je vždy považován za podezřelý i tehdy, pokud:</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a) je do něj zapojena osoba, na kterou Česká republika uplatňuje mezinárodní sankce (např. klient, vlastník, zástupce, nebo jiná známá osoba),</w:t>
            </w:r>
          </w:p>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b) se obchod týká zboží nebo služeb podléhajících mezinárodním sankcím uplatňovaným Českou republikou.</w:t>
            </w:r>
          </w:p>
        </w:tc>
      </w:tr>
      <w:tr w:rsidR="008119FF" w:rsidRPr="00A614D9" w:rsidTr="009A47E3">
        <w:trPr>
          <w:cantSplit/>
          <w:trHeight w:val="635"/>
          <w:tblHeader/>
        </w:trPr>
        <w:tc>
          <w:tcPr>
            <w:tcW w:w="2739" w:type="dxa"/>
            <w:shd w:val="clear" w:color="auto" w:fill="FFFFFF"/>
          </w:tcPr>
          <w:p w:rsidR="008119FF" w:rsidRPr="00A614D9" w:rsidRDefault="008119FF" w:rsidP="009A47E3">
            <w:pPr>
              <w:pStyle w:val="normal"/>
              <w:widowControl w:val="0"/>
              <w:tabs>
                <w:tab w:val="left" w:pos="9356"/>
              </w:tabs>
              <w:spacing w:before="4"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Pravidla</w:t>
            </w:r>
          </w:p>
        </w:tc>
        <w:tc>
          <w:tcPr>
            <w:tcW w:w="5896" w:type="dxa"/>
            <w:shd w:val="clear" w:color="auto" w:fill="FFFFFF"/>
          </w:tcPr>
          <w:p w:rsidR="008119FF" w:rsidRPr="00A614D9" w:rsidRDefault="008119FF" w:rsidP="009A47E3">
            <w:pPr>
              <w:pStyle w:val="normal"/>
              <w:widowControl w:val="0"/>
              <w:tabs>
                <w:tab w:val="left" w:pos="9356"/>
              </w:tabs>
              <w:spacing w:before="1" w:after="0" w:line="240" w:lineRule="auto"/>
              <w:ind w:left="116" w:right="117"/>
              <w:rPr>
                <w:rFonts w:ascii="Athiti" w:eastAsia="Athiti" w:hAnsi="Athiti" w:cs="Athiti"/>
                <w:lang w:val="cs-CZ"/>
              </w:rPr>
            </w:pPr>
            <w:r w:rsidRPr="00A614D9">
              <w:rPr>
                <w:rFonts w:ascii="Athiti" w:eastAsia="Athiti" w:hAnsi="Athiti" w:cs="Athiti"/>
                <w:lang w:val="cs-CZ"/>
              </w:rPr>
              <w:t>Tímto pojmem se rozumí interní směrnice stanovující zásady a pracovní postupy pro aplikaci mezinárodních sankcí, která je nedílnou součástí systému vnitřních zásad společnosti (SVZ).</w:t>
            </w:r>
          </w:p>
        </w:tc>
      </w:tr>
      <w:tr w:rsidR="008119FF" w:rsidRPr="00A614D9" w:rsidTr="009A47E3">
        <w:trPr>
          <w:cantSplit/>
          <w:trHeight w:val="420"/>
          <w:tblHeader/>
        </w:trPr>
        <w:tc>
          <w:tcPr>
            <w:tcW w:w="2739" w:type="dxa"/>
            <w:shd w:val="clear" w:color="auto" w:fill="FFFFFF"/>
          </w:tcPr>
          <w:p w:rsidR="008119FF" w:rsidRPr="00A614D9" w:rsidRDefault="008119FF" w:rsidP="009A47E3">
            <w:pPr>
              <w:pStyle w:val="normal"/>
              <w:widowControl w:val="0"/>
              <w:tabs>
                <w:tab w:val="left" w:pos="9356"/>
              </w:tabs>
              <w:spacing w:before="6"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prováděcí vyhláška</w:t>
            </w:r>
          </w:p>
        </w:tc>
        <w:tc>
          <w:tcPr>
            <w:tcW w:w="5896" w:type="dxa"/>
            <w:shd w:val="clear" w:color="auto" w:fill="FFFFFF"/>
          </w:tcPr>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Vyhláška č. 67/2018 Sb., která stanovuje konkrétní požadavky na systém vnitřních zásad, kontrolních mechanismů a postupů proti praní peněz a financování terorismu.</w:t>
            </w:r>
          </w:p>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p>
        </w:tc>
      </w:tr>
      <w:tr w:rsidR="008119FF" w:rsidRPr="00A614D9" w:rsidTr="009A47E3">
        <w:trPr>
          <w:cantSplit/>
          <w:trHeight w:val="420"/>
          <w:tblHeader/>
        </w:trPr>
        <w:tc>
          <w:tcPr>
            <w:tcW w:w="2739" w:type="dxa"/>
            <w:shd w:val="clear" w:color="auto" w:fill="FFFFFF"/>
          </w:tcPr>
          <w:p w:rsidR="008119FF" w:rsidRPr="00A614D9" w:rsidRDefault="008119FF" w:rsidP="009A47E3">
            <w:pPr>
              <w:pStyle w:val="normal"/>
              <w:widowControl w:val="0"/>
              <w:tabs>
                <w:tab w:val="left" w:pos="9356"/>
              </w:tabs>
              <w:spacing w:before="6"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prováděcí zákon</w:t>
            </w:r>
          </w:p>
        </w:tc>
        <w:tc>
          <w:tcPr>
            <w:tcW w:w="5896" w:type="dxa"/>
            <w:shd w:val="clear" w:color="auto" w:fill="FFFFFF"/>
          </w:tcPr>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Zákon č. 69/2006 Sb., který upravuje pravidla pro zavádění a provádění mezinárodních sankcí na území České republiky.</w:t>
            </w:r>
          </w:p>
        </w:tc>
      </w:tr>
      <w:tr w:rsidR="008119FF" w:rsidRPr="00A614D9" w:rsidTr="009A47E3">
        <w:trPr>
          <w:cantSplit/>
          <w:trHeight w:val="420"/>
          <w:tblHeader/>
        </w:trPr>
        <w:tc>
          <w:tcPr>
            <w:tcW w:w="2739" w:type="dxa"/>
            <w:shd w:val="clear" w:color="auto" w:fill="FFFFFF"/>
          </w:tcPr>
          <w:p w:rsidR="008119FF" w:rsidRPr="00A614D9" w:rsidRDefault="008119FF" w:rsidP="009A47E3">
            <w:pPr>
              <w:pStyle w:val="normal"/>
              <w:widowControl w:val="0"/>
              <w:tabs>
                <w:tab w:val="left" w:pos="9356"/>
              </w:tabs>
              <w:spacing w:before="6"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RBA</w:t>
            </w:r>
          </w:p>
        </w:tc>
        <w:tc>
          <w:tcPr>
            <w:tcW w:w="5896" w:type="dxa"/>
            <w:shd w:val="clear" w:color="auto" w:fill="FFFFFF"/>
          </w:tcPr>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Zkratka pro „risk-based approach“ – tedy přístup založený na hodnocení rizik, který znamená, že intenzita opatření se odvíjí od míry zjištěného rizika.</w:t>
            </w:r>
          </w:p>
        </w:tc>
      </w:tr>
      <w:tr w:rsidR="008119FF" w:rsidRPr="00A614D9" w:rsidTr="009A47E3">
        <w:trPr>
          <w:cantSplit/>
          <w:trHeight w:val="420"/>
          <w:tblHeader/>
        </w:trPr>
        <w:tc>
          <w:tcPr>
            <w:tcW w:w="2739" w:type="dxa"/>
            <w:shd w:val="clear" w:color="auto" w:fill="FFFFFF"/>
          </w:tcPr>
          <w:p w:rsidR="008119FF" w:rsidRPr="00A614D9" w:rsidRDefault="008119FF" w:rsidP="009A47E3">
            <w:pPr>
              <w:pStyle w:val="normal"/>
              <w:widowControl w:val="0"/>
              <w:tabs>
                <w:tab w:val="left" w:pos="9356"/>
              </w:tabs>
              <w:spacing w:before="6"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lastRenderedPageBreak/>
              <w:t>sankcionovaná osoba</w:t>
            </w:r>
          </w:p>
        </w:tc>
        <w:tc>
          <w:tcPr>
            <w:tcW w:w="5896" w:type="dxa"/>
            <w:shd w:val="clear" w:color="auto" w:fill="FFFFFF"/>
          </w:tcPr>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Jedná se o fyzickou nebo právnickou osobu, na kterou se vztahují mezinárodní sankce. Může jít o:</w:t>
            </w:r>
          </w:p>
          <w:p w:rsidR="008119FF" w:rsidRPr="00A614D9" w:rsidRDefault="008119FF" w:rsidP="009A47E3">
            <w:pPr>
              <w:pStyle w:val="normal"/>
              <w:widowControl w:val="0"/>
              <w:tabs>
                <w:tab w:val="left" w:pos="9356"/>
              </w:tabs>
              <w:spacing w:after="0" w:line="240" w:lineRule="auto"/>
              <w:ind w:right="111"/>
              <w:rPr>
                <w:rFonts w:ascii="Athiti" w:eastAsia="Athiti" w:hAnsi="Athiti" w:cs="Athiti"/>
                <w:lang w:val="cs-CZ"/>
              </w:rPr>
            </w:pPr>
            <w:r w:rsidRPr="00A614D9">
              <w:rPr>
                <w:rFonts w:ascii="Athiti" w:eastAsia="Athiti" w:hAnsi="Athiti" w:cs="Athiti"/>
                <w:lang w:val="cs-CZ"/>
              </w:rPr>
              <w:t xml:space="preserve">  1. stát podléhající sankcím,</w:t>
            </w:r>
          </w:p>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 xml:space="preserve">2. občana takového státu, </w:t>
            </w:r>
          </w:p>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3. představitele nebo člena sankcionovaného subjektu,</w:t>
            </w:r>
          </w:p>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4. fyzickou osobu obvykle pobývající na sankcionovaném území (s výjimkou občanů ČR),</w:t>
            </w:r>
          </w:p>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5. právnickou osobu se sídlem na sankcionovaném území,</w:t>
            </w:r>
          </w:p>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6. osobu uvedenou v mezinárodních nebo vnitrostátních sankčních seznamech.</w:t>
            </w:r>
          </w:p>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Tato definice zahrnuje například klienta, zástupce jednajícího jménem klienta, skutečného vlastníka nebo jiné osoby zapojené do obchodního vztahu, pokud jsou společnosti známy.</w:t>
            </w:r>
          </w:p>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p>
        </w:tc>
      </w:tr>
      <w:tr w:rsidR="008119FF" w:rsidRPr="00A614D9" w:rsidTr="009A47E3">
        <w:trPr>
          <w:cantSplit/>
          <w:trHeight w:val="394"/>
          <w:tblHeader/>
        </w:trPr>
        <w:tc>
          <w:tcPr>
            <w:tcW w:w="2739" w:type="dxa"/>
            <w:shd w:val="clear" w:color="auto" w:fill="FFFFFF"/>
          </w:tcPr>
          <w:p w:rsidR="008119FF" w:rsidRPr="00A614D9" w:rsidRDefault="008119FF" w:rsidP="009A47E3">
            <w:pPr>
              <w:pStyle w:val="normal"/>
              <w:widowControl w:val="0"/>
              <w:tabs>
                <w:tab w:val="left" w:pos="9356"/>
              </w:tabs>
              <w:spacing w:before="6"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sankcionovaný subjekt</w:t>
            </w:r>
          </w:p>
        </w:tc>
        <w:tc>
          <w:tcPr>
            <w:tcW w:w="5896" w:type="dxa"/>
            <w:shd w:val="clear" w:color="auto" w:fill="FFFFFF"/>
          </w:tcPr>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Jedná se o jakýkoli subjekt, na který byly uvaleny mezinárodní sankce.</w:t>
            </w:r>
          </w:p>
        </w:tc>
      </w:tr>
      <w:tr w:rsidR="008119FF" w:rsidRPr="00A614D9" w:rsidTr="009A47E3">
        <w:trPr>
          <w:cantSplit/>
          <w:trHeight w:val="401"/>
          <w:tblHeader/>
        </w:trPr>
        <w:tc>
          <w:tcPr>
            <w:tcW w:w="2739" w:type="dxa"/>
            <w:shd w:val="clear" w:color="auto" w:fill="FFFFFF"/>
          </w:tcPr>
          <w:p w:rsidR="008119FF" w:rsidRPr="00A614D9" w:rsidRDefault="008119FF" w:rsidP="009A47E3">
            <w:pPr>
              <w:pStyle w:val="normal"/>
              <w:widowControl w:val="0"/>
              <w:tabs>
                <w:tab w:val="left" w:pos="9356"/>
              </w:tabs>
              <w:spacing w:before="6"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sankcionované území</w:t>
            </w:r>
          </w:p>
        </w:tc>
        <w:tc>
          <w:tcPr>
            <w:tcW w:w="5896" w:type="dxa"/>
            <w:shd w:val="clear" w:color="auto" w:fill="FFFFFF"/>
          </w:tcPr>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Oblast, na kterou dopadá režim mezinárodních sankcí, přičemž může jít o území zcela či částečně pod kontrolou státu nebo subjektu pod sankcemi – včetně jeho vzdušného prostoru a pobřežních vod.</w:t>
            </w:r>
          </w:p>
        </w:tc>
      </w:tr>
      <w:tr w:rsidR="008119FF" w:rsidRPr="00A614D9" w:rsidTr="009A47E3">
        <w:trPr>
          <w:cantSplit/>
          <w:trHeight w:val="389"/>
          <w:tblHeader/>
        </w:trPr>
        <w:tc>
          <w:tcPr>
            <w:tcW w:w="2739" w:type="dxa"/>
            <w:shd w:val="clear" w:color="auto" w:fill="FFFFFF"/>
          </w:tcPr>
          <w:p w:rsidR="008119FF" w:rsidRPr="00A614D9" w:rsidRDefault="008119FF" w:rsidP="009A47E3">
            <w:pPr>
              <w:pStyle w:val="normal"/>
              <w:widowControl w:val="0"/>
              <w:tabs>
                <w:tab w:val="left" w:pos="9356"/>
              </w:tabs>
              <w:spacing w:before="6"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sankcionované zboží</w:t>
            </w:r>
          </w:p>
        </w:tc>
        <w:tc>
          <w:tcPr>
            <w:tcW w:w="5896" w:type="dxa"/>
            <w:shd w:val="clear" w:color="auto" w:fill="FFFFFF"/>
          </w:tcPr>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Jedná se o majetek nebo zboží, na které se vztahují mezinárodní sankce, a které je ve vlastnictví, držení nebo pod kontrolou osoby či subjektu, na něž byly sankce uvaleny.</w:t>
            </w:r>
          </w:p>
        </w:tc>
      </w:tr>
      <w:tr w:rsidR="008119FF" w:rsidRPr="00A614D9" w:rsidTr="009A47E3">
        <w:trPr>
          <w:cantSplit/>
          <w:trHeight w:val="389"/>
          <w:tblHeader/>
        </w:trPr>
        <w:tc>
          <w:tcPr>
            <w:tcW w:w="2739" w:type="dxa"/>
            <w:shd w:val="clear" w:color="auto" w:fill="FFFFFF"/>
          </w:tcPr>
          <w:p w:rsidR="008119FF" w:rsidRPr="00A614D9" w:rsidRDefault="008119FF" w:rsidP="009A47E3">
            <w:pPr>
              <w:pStyle w:val="normal"/>
              <w:widowControl w:val="0"/>
              <w:tabs>
                <w:tab w:val="left" w:pos="9356"/>
              </w:tabs>
              <w:spacing w:before="6"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sankční seznamy</w:t>
            </w:r>
          </w:p>
        </w:tc>
        <w:tc>
          <w:tcPr>
            <w:tcW w:w="5896" w:type="dxa"/>
            <w:shd w:val="clear" w:color="auto" w:fill="FFFFFF"/>
          </w:tcPr>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Oficiální seznamy vydávané podle sankčního zákona ČR, sankčními výbory OSN nebo příslušnými institucemi Evropské unie, které uvádějí osoby, subjekty či aktiva podléhající sankcím.</w:t>
            </w:r>
          </w:p>
        </w:tc>
      </w:tr>
      <w:tr w:rsidR="008119FF" w:rsidRPr="00A614D9" w:rsidTr="009A47E3">
        <w:trPr>
          <w:cantSplit/>
          <w:trHeight w:val="389"/>
          <w:tblHeader/>
        </w:trPr>
        <w:tc>
          <w:tcPr>
            <w:tcW w:w="2739" w:type="dxa"/>
            <w:shd w:val="clear" w:color="auto" w:fill="FFFFFF"/>
          </w:tcPr>
          <w:p w:rsidR="008119FF" w:rsidRPr="00A614D9" w:rsidRDefault="008119FF" w:rsidP="009A47E3">
            <w:pPr>
              <w:pStyle w:val="normal"/>
              <w:widowControl w:val="0"/>
              <w:tabs>
                <w:tab w:val="left" w:pos="9356"/>
              </w:tabs>
              <w:spacing w:before="6"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sankční riziko</w:t>
            </w:r>
          </w:p>
        </w:tc>
        <w:tc>
          <w:tcPr>
            <w:tcW w:w="5896" w:type="dxa"/>
            <w:shd w:val="clear" w:color="auto" w:fill="FFFFFF"/>
          </w:tcPr>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Zvýšené riziko nebo konkrétní faktor související s uplatněním mezinárodních sankcí, jak jej definuje § 9 odst. 3 písm. b) prováděcí vyhlášky.</w:t>
            </w:r>
          </w:p>
        </w:tc>
      </w:tr>
      <w:tr w:rsidR="008119FF" w:rsidRPr="00A614D9" w:rsidTr="009A47E3">
        <w:trPr>
          <w:cantSplit/>
          <w:trHeight w:val="389"/>
          <w:tblHeader/>
        </w:trPr>
        <w:tc>
          <w:tcPr>
            <w:tcW w:w="2739" w:type="dxa"/>
            <w:shd w:val="clear" w:color="auto" w:fill="FFFFFF"/>
          </w:tcPr>
          <w:p w:rsidR="008119FF" w:rsidRPr="00A614D9" w:rsidRDefault="008119FF" w:rsidP="009A47E3">
            <w:pPr>
              <w:pStyle w:val="normal"/>
              <w:widowControl w:val="0"/>
              <w:tabs>
                <w:tab w:val="left" w:pos="9356"/>
              </w:tabs>
              <w:spacing w:before="6"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sankční zákon</w:t>
            </w:r>
          </w:p>
        </w:tc>
        <w:tc>
          <w:tcPr>
            <w:tcW w:w="5896" w:type="dxa"/>
            <w:shd w:val="clear" w:color="auto" w:fill="FFFFFF"/>
          </w:tcPr>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Právní předpis č. 1/2023 Sb., který upravuje zavádění restriktivních opatření vůči závažnému jednání v rámci mezinárodních vztahů.</w:t>
            </w:r>
          </w:p>
        </w:tc>
      </w:tr>
      <w:tr w:rsidR="008119FF" w:rsidRPr="00A614D9" w:rsidTr="009A47E3">
        <w:trPr>
          <w:cantSplit/>
          <w:trHeight w:val="389"/>
          <w:tblHeader/>
        </w:trPr>
        <w:tc>
          <w:tcPr>
            <w:tcW w:w="2739" w:type="dxa"/>
            <w:shd w:val="clear" w:color="auto" w:fill="FFFFFF"/>
          </w:tcPr>
          <w:p w:rsidR="008119FF" w:rsidRPr="00A614D9" w:rsidRDefault="008119FF" w:rsidP="009A47E3">
            <w:pPr>
              <w:pStyle w:val="normal"/>
              <w:widowControl w:val="0"/>
              <w:tabs>
                <w:tab w:val="left" w:pos="9356"/>
              </w:tabs>
              <w:spacing w:before="6"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Společnost</w:t>
            </w:r>
          </w:p>
        </w:tc>
        <w:tc>
          <w:tcPr>
            <w:tcW w:w="5896" w:type="dxa"/>
            <w:shd w:val="clear" w:color="auto" w:fill="FFFFFF"/>
          </w:tcPr>
          <w:p w:rsidR="008119FF" w:rsidRPr="00A614D9" w:rsidRDefault="00A614D9" w:rsidP="009A47E3">
            <w:pPr>
              <w:pStyle w:val="normal"/>
              <w:widowControl w:val="0"/>
              <w:tabs>
                <w:tab w:val="left" w:pos="9356"/>
              </w:tabs>
              <w:spacing w:after="0" w:line="240" w:lineRule="auto"/>
              <w:ind w:left="116" w:right="111"/>
              <w:rPr>
                <w:rFonts w:ascii="Athiti" w:eastAsia="Athiti" w:hAnsi="Athiti" w:cs="Athiti"/>
                <w:lang w:val="cs-CZ"/>
              </w:rPr>
            </w:pPr>
            <w:r>
              <w:rPr>
                <w:rFonts w:ascii="Athiti" w:eastAsia="Athiti" w:hAnsi="Athiti" w:cs="Athiti"/>
                <w:lang w:val="cs-CZ"/>
              </w:rPr>
              <w:t>ZMAN – KESEF s.r.o., Na Kopečku 108, Vodochody, 250 69 Hoštice, IČO 27169731</w:t>
            </w:r>
            <w:r w:rsidR="008119FF" w:rsidRPr="00A614D9">
              <w:rPr>
                <w:rFonts w:ascii="Athiti" w:eastAsia="Athiti" w:hAnsi="Athiti" w:cs="Athiti"/>
                <w:lang w:val="cs-CZ"/>
              </w:rPr>
              <w:t>, působící jako poskytovatel služeb v oblasti kryptoaktiv dle nařízení Evropského parlamentu a Rady (EU) 2023/1114 o trzích s kryptoaktivy („MiCA“).</w:t>
            </w:r>
          </w:p>
        </w:tc>
      </w:tr>
      <w:tr w:rsidR="008119FF" w:rsidRPr="00A614D9" w:rsidTr="009A47E3">
        <w:trPr>
          <w:cantSplit/>
          <w:trHeight w:val="389"/>
          <w:tblHeader/>
        </w:trPr>
        <w:tc>
          <w:tcPr>
            <w:tcW w:w="2739" w:type="dxa"/>
            <w:shd w:val="clear" w:color="auto" w:fill="FFFFFF"/>
          </w:tcPr>
          <w:p w:rsidR="008119FF" w:rsidRPr="00A614D9" w:rsidRDefault="008119FF" w:rsidP="009A47E3">
            <w:pPr>
              <w:pStyle w:val="normal"/>
              <w:widowControl w:val="0"/>
              <w:tabs>
                <w:tab w:val="left" w:pos="9356"/>
              </w:tabs>
              <w:spacing w:before="6"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SVZ</w:t>
            </w:r>
          </w:p>
        </w:tc>
        <w:tc>
          <w:tcPr>
            <w:tcW w:w="5896" w:type="dxa"/>
            <w:shd w:val="clear" w:color="auto" w:fill="FFFFFF"/>
          </w:tcPr>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Interní systém zásad a pravidel řízení rizik, zejména v oblasti AML a mezinárodních sankcí.</w:t>
            </w:r>
          </w:p>
        </w:tc>
      </w:tr>
      <w:tr w:rsidR="008119FF" w:rsidRPr="00A614D9" w:rsidTr="009A47E3">
        <w:trPr>
          <w:cantSplit/>
          <w:trHeight w:val="389"/>
          <w:tblHeader/>
        </w:trPr>
        <w:tc>
          <w:tcPr>
            <w:tcW w:w="2739" w:type="dxa"/>
            <w:shd w:val="clear" w:color="auto" w:fill="FFFFFF"/>
          </w:tcPr>
          <w:p w:rsidR="008119FF" w:rsidRPr="00A614D9" w:rsidRDefault="008119FF" w:rsidP="009A47E3">
            <w:pPr>
              <w:pStyle w:val="normal"/>
              <w:widowControl w:val="0"/>
              <w:tabs>
                <w:tab w:val="left" w:pos="9356"/>
              </w:tabs>
              <w:spacing w:before="6" w:after="0" w:line="240" w:lineRule="auto"/>
              <w:ind w:left="108"/>
              <w:jc w:val="left"/>
              <w:rPr>
                <w:rFonts w:ascii="Athiti" w:eastAsia="Athiti" w:hAnsi="Athiti" w:cs="Athiti"/>
                <w:b/>
                <w:sz w:val="22"/>
                <w:szCs w:val="22"/>
                <w:lang w:val="cs-CZ"/>
              </w:rPr>
            </w:pPr>
            <w:r w:rsidRPr="00A614D9">
              <w:rPr>
                <w:rFonts w:ascii="Athiti" w:eastAsia="Athiti" w:hAnsi="Athiti" w:cs="Athiti"/>
                <w:b/>
                <w:sz w:val="22"/>
                <w:szCs w:val="22"/>
                <w:lang w:val="cs-CZ"/>
              </w:rPr>
              <w:t>transakční monitoring</w:t>
            </w:r>
          </w:p>
        </w:tc>
        <w:tc>
          <w:tcPr>
            <w:tcW w:w="5896" w:type="dxa"/>
            <w:shd w:val="clear" w:color="auto" w:fill="FFFFFF"/>
          </w:tcPr>
          <w:p w:rsidR="008119FF" w:rsidRPr="00A614D9" w:rsidRDefault="008119FF" w:rsidP="009A47E3">
            <w:pPr>
              <w:pStyle w:val="normal"/>
              <w:widowControl w:val="0"/>
              <w:tabs>
                <w:tab w:val="left" w:pos="9356"/>
              </w:tabs>
              <w:spacing w:after="0" w:line="240" w:lineRule="auto"/>
              <w:ind w:left="116" w:right="111"/>
              <w:rPr>
                <w:rFonts w:ascii="Athiti" w:eastAsia="Athiti" w:hAnsi="Athiti" w:cs="Athiti"/>
                <w:lang w:val="cs-CZ"/>
              </w:rPr>
            </w:pPr>
            <w:r w:rsidRPr="00A614D9">
              <w:rPr>
                <w:rFonts w:ascii="Athiti" w:eastAsia="Athiti" w:hAnsi="Athiti" w:cs="Athiti"/>
                <w:lang w:val="cs-CZ"/>
              </w:rPr>
              <w:t>Průběžné sledování klienta během trvání obchodního vztahu, s důrazem na kontrolu jeho konkrétních transakcí.</w:t>
            </w:r>
          </w:p>
        </w:tc>
      </w:tr>
    </w:tbl>
    <w:p w:rsidR="008119FF" w:rsidRDefault="008119FF" w:rsidP="008119FF">
      <w:pPr>
        <w:pStyle w:val="normal"/>
        <w:widowControl w:val="0"/>
        <w:tabs>
          <w:tab w:val="left" w:pos="9356"/>
        </w:tabs>
        <w:spacing w:before="6" w:after="1" w:line="240" w:lineRule="auto"/>
        <w:jc w:val="left"/>
        <w:rPr>
          <w:rFonts w:ascii="Athiti" w:eastAsia="Athiti" w:hAnsi="Athiti" w:cs="Athiti"/>
          <w:b/>
          <w:sz w:val="16"/>
          <w:szCs w:val="16"/>
          <w:lang w:val="cs-CZ"/>
        </w:rPr>
      </w:pPr>
    </w:p>
    <w:p w:rsidR="008626EF" w:rsidRDefault="008626EF" w:rsidP="008119FF">
      <w:pPr>
        <w:pStyle w:val="normal"/>
        <w:widowControl w:val="0"/>
        <w:tabs>
          <w:tab w:val="left" w:pos="9356"/>
        </w:tabs>
        <w:spacing w:before="6" w:after="1" w:line="240" w:lineRule="auto"/>
        <w:jc w:val="left"/>
        <w:rPr>
          <w:rFonts w:ascii="Athiti" w:eastAsia="Athiti" w:hAnsi="Athiti" w:cs="Athiti"/>
          <w:b/>
          <w:sz w:val="16"/>
          <w:szCs w:val="16"/>
          <w:lang w:val="cs-CZ"/>
        </w:rPr>
      </w:pPr>
    </w:p>
    <w:p w:rsidR="008626EF" w:rsidRDefault="008626EF" w:rsidP="008119FF">
      <w:pPr>
        <w:pStyle w:val="normal"/>
        <w:widowControl w:val="0"/>
        <w:tabs>
          <w:tab w:val="left" w:pos="9356"/>
        </w:tabs>
        <w:spacing w:before="6" w:after="1" w:line="240" w:lineRule="auto"/>
        <w:jc w:val="left"/>
        <w:rPr>
          <w:rFonts w:ascii="Athiti" w:eastAsia="Athiti" w:hAnsi="Athiti" w:cs="Athiti"/>
          <w:b/>
          <w:sz w:val="16"/>
          <w:szCs w:val="16"/>
          <w:lang w:val="cs-CZ"/>
        </w:rPr>
      </w:pPr>
    </w:p>
    <w:p w:rsidR="008626EF" w:rsidRPr="00A614D9" w:rsidRDefault="008626EF" w:rsidP="008119FF">
      <w:pPr>
        <w:pStyle w:val="normal"/>
        <w:widowControl w:val="0"/>
        <w:tabs>
          <w:tab w:val="left" w:pos="9356"/>
        </w:tabs>
        <w:spacing w:before="6" w:after="1" w:line="240" w:lineRule="auto"/>
        <w:jc w:val="left"/>
        <w:rPr>
          <w:rFonts w:ascii="Athiti" w:eastAsia="Athiti" w:hAnsi="Athiti" w:cs="Athiti"/>
          <w:b/>
          <w:sz w:val="16"/>
          <w:szCs w:val="16"/>
          <w:lang w:val="cs-CZ"/>
        </w:rPr>
      </w:pPr>
    </w:p>
    <w:p w:rsidR="008119FF" w:rsidRPr="00A614D9" w:rsidRDefault="008119FF" w:rsidP="008119FF">
      <w:pPr>
        <w:pStyle w:val="Nadpis1"/>
        <w:keepNext w:val="0"/>
        <w:keepLines w:val="0"/>
        <w:widowControl w:val="0"/>
        <w:numPr>
          <w:ilvl w:val="0"/>
          <w:numId w:val="3"/>
        </w:numPr>
        <w:tabs>
          <w:tab w:val="left" w:pos="713"/>
          <w:tab w:val="left" w:pos="9356"/>
        </w:tabs>
        <w:spacing w:before="101" w:after="0" w:line="240" w:lineRule="auto"/>
        <w:ind w:left="1276" w:hanging="556"/>
        <w:jc w:val="left"/>
        <w:rPr>
          <w:rFonts w:ascii="Athiti" w:eastAsia="Athiti" w:hAnsi="Athiti" w:cs="Athiti"/>
          <w:color w:val="2C74B5"/>
          <w:sz w:val="32"/>
          <w:szCs w:val="32"/>
          <w:lang w:val="cs-CZ"/>
        </w:rPr>
      </w:pPr>
      <w:r w:rsidRPr="00A614D9">
        <w:rPr>
          <w:rFonts w:ascii="Athiti" w:eastAsia="Athiti" w:hAnsi="Athiti" w:cs="Athiti"/>
          <w:color w:val="2C74B5"/>
          <w:sz w:val="32"/>
          <w:szCs w:val="32"/>
          <w:lang w:val="cs-CZ"/>
        </w:rPr>
        <w:lastRenderedPageBreak/>
        <w:t>ROZSAH A ÚČEL TÉTO ÚPRAVY</w:t>
      </w:r>
    </w:p>
    <w:p w:rsidR="008119FF" w:rsidRPr="00A614D9" w:rsidRDefault="008119FF" w:rsidP="008119FF">
      <w:pPr>
        <w:pStyle w:val="normal"/>
        <w:widowControl w:val="0"/>
        <w:numPr>
          <w:ilvl w:val="0"/>
          <w:numId w:val="14"/>
        </w:numPr>
        <w:tabs>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Tento dokument obsahuje pravidla a interní procesy týkající se uplatňování sankčních opatření („Pravidla“) a tvoří součást systému vnitřních zásad („SVZ“) podle § 21 zákona č. 253/2008 Sb., který se věnuje opatřením proti praní špinavých peněz a financování terorismu („AML zákon“). Pravidla byla zpracována v souladu s § 12 vyhlášky č. 67/2018 Sb., která stanovuje požadavky na systém interních zásad, postupů a kontrolních mechanismů pro prevenci legalizace výnosů z trestné činnosti a financování terorismu.</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DC2D60">
        <w:rPr>
          <w:rFonts w:ascii="Athiti" w:eastAsia="Athiti" w:hAnsi="Athiti" w:cs="Athiti"/>
          <w:b/>
          <w:lang w:val="cs-CZ"/>
        </w:rPr>
        <w:t>D</w:t>
      </w:r>
      <w:r w:rsidRPr="00A614D9">
        <w:rPr>
          <w:rFonts w:ascii="Athiti" w:eastAsia="Athiti" w:hAnsi="Athiti" w:cs="Athiti"/>
          <w:b/>
          <w:lang w:val="cs-CZ"/>
        </w:rPr>
        <w:t>okument specifikuje konkrétní pravidla a kroky, které slouží k odhalení zvýšené úrovně rizika spojeného s mezinárodními sankcemi</w:t>
      </w:r>
      <w:r w:rsidRPr="00A614D9">
        <w:rPr>
          <w:rFonts w:ascii="Athiti" w:eastAsia="Athiti" w:hAnsi="Athiti" w:cs="Athiti"/>
          <w:lang w:val="cs-CZ"/>
        </w:rPr>
        <w:t xml:space="preserve"> podle § 9 odst. 3 písm. b) </w:t>
      </w:r>
      <w:r w:rsidRPr="00A614D9">
        <w:rPr>
          <w:rFonts w:ascii="Athiti" w:eastAsia="Athiti" w:hAnsi="Athiti" w:cs="Athiti"/>
          <w:b/>
          <w:lang w:val="cs-CZ"/>
        </w:rPr>
        <w:t>uvedené vyhlášky</w:t>
      </w:r>
      <w:r w:rsidRPr="00A614D9">
        <w:rPr>
          <w:rFonts w:ascii="Athiti" w:eastAsia="Athiti" w:hAnsi="Athiti" w:cs="Athiti"/>
          <w:lang w:val="cs-CZ"/>
        </w:rPr>
        <w:t xml:space="preserve"> (tzv. „sankční riziko“).</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b/>
          <w:lang w:val="cs-CZ"/>
        </w:rPr>
        <w:t>Zároveň se zabývá efektivním řízením těchto rizik</w:t>
      </w:r>
      <w:r w:rsidRPr="00A614D9">
        <w:rPr>
          <w:rFonts w:ascii="Athiti" w:eastAsia="Athiti" w:hAnsi="Athiti" w:cs="Athiti"/>
          <w:lang w:val="cs-CZ"/>
        </w:rPr>
        <w:t>, zejména v kontextu poskytování služeb společnosti v oblasti kryptoaktiv. Hlavním cílem je předejít rizikům spojeným s obcházením sankcí a snížit pravděpodobnost jejich zneužití k financování terorismu.</w:t>
      </w:r>
    </w:p>
    <w:p w:rsidR="008119FF" w:rsidRPr="00A614D9" w:rsidRDefault="008119FF" w:rsidP="008119FF">
      <w:pPr>
        <w:pStyle w:val="normal"/>
        <w:widowControl w:val="0"/>
        <w:numPr>
          <w:ilvl w:val="0"/>
          <w:numId w:val="14"/>
        </w:numPr>
        <w:tabs>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 xml:space="preserve">Smyslem těchto Pravidel je definovat jasný rámec postupů a opatření pro včasné plnění zákonných povinností vyplývajících z právních předpisů týkajících se uplatňování mezinárodních sankcí. Podle § 2 zákona č. 69/2006 Sb. („prováděcí zákon“) jsou </w:t>
      </w:r>
      <w:r w:rsidRPr="00A614D9">
        <w:rPr>
          <w:rFonts w:ascii="Athiti" w:eastAsia="Athiti" w:hAnsi="Athiti" w:cs="Athiti"/>
          <w:b/>
          <w:lang w:val="cs-CZ"/>
        </w:rPr>
        <w:t>mezinárodní sankce</w:t>
      </w:r>
      <w:r w:rsidRPr="00A614D9">
        <w:rPr>
          <w:rFonts w:ascii="Athiti" w:eastAsia="Athiti" w:hAnsi="Athiti" w:cs="Athiti"/>
          <w:lang w:val="cs-CZ"/>
        </w:rPr>
        <w:t xml:space="preserve"> chápány jako</w:t>
      </w:r>
      <w:r w:rsidRPr="00A614D9">
        <w:rPr>
          <w:rFonts w:ascii="Athiti" w:eastAsia="Athiti" w:hAnsi="Athiti" w:cs="Athiti"/>
          <w:b/>
          <w:lang w:val="cs-CZ"/>
        </w:rPr>
        <w:t xml:space="preserve"> příkazy, zákazy nebo omezení</w:t>
      </w:r>
      <w:r w:rsidRPr="00A614D9">
        <w:rPr>
          <w:rFonts w:ascii="Athiti" w:eastAsia="Athiti" w:hAnsi="Athiti" w:cs="Athiti"/>
          <w:lang w:val="cs-CZ"/>
        </w:rPr>
        <w:t>, jejichž cílem je:</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zajistit nebo obnovit mezinárodní mír a bezpečnost,</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bojovat proti teroristickým hrozbám,</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prosazovat dodržování mezinárodního práva,</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chránit základní lidská práva a svobody,</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a podporovat demokratické principy a právní stát</w:t>
      </w:r>
    </w:p>
    <w:p w:rsidR="008119FF" w:rsidRPr="00A614D9" w:rsidRDefault="008119FF" w:rsidP="008119FF">
      <w:pPr>
        <w:pStyle w:val="normal"/>
        <w:widowControl w:val="0"/>
        <w:tabs>
          <w:tab w:val="left" w:pos="9356"/>
        </w:tabs>
        <w:spacing w:before="145" w:after="0" w:line="240" w:lineRule="auto"/>
        <w:ind w:left="284" w:right="376"/>
        <w:rPr>
          <w:rFonts w:ascii="Athiti" w:eastAsia="Athiti" w:hAnsi="Athiti" w:cs="Athiti"/>
          <w:lang w:val="cs-CZ"/>
        </w:rPr>
      </w:pPr>
      <w:r w:rsidRPr="00A614D9">
        <w:rPr>
          <w:rFonts w:ascii="Athiti" w:eastAsia="Athiti" w:hAnsi="Athiti" w:cs="Athiti"/>
          <w:lang w:val="cs-CZ"/>
        </w:rPr>
        <w:t>blíže viz také kapitola 1 (</w:t>
      </w:r>
      <w:r w:rsidRPr="00A614D9">
        <w:rPr>
          <w:rFonts w:ascii="Athiti" w:eastAsia="Athiti" w:hAnsi="Athiti" w:cs="Athiti"/>
          <w:i/>
          <w:lang w:val="cs-CZ"/>
        </w:rPr>
        <w:t>Pojmy a definice</w:t>
      </w:r>
      <w:r w:rsidRPr="00A614D9">
        <w:rPr>
          <w:rFonts w:ascii="Athiti" w:eastAsia="Athiti" w:hAnsi="Athiti" w:cs="Athiti"/>
          <w:lang w:val="cs-CZ"/>
        </w:rPr>
        <w:t xml:space="preserve">). </w:t>
      </w:r>
    </w:p>
    <w:p w:rsidR="008119FF" w:rsidRPr="00A614D9" w:rsidRDefault="008119FF" w:rsidP="008119FF">
      <w:pPr>
        <w:pStyle w:val="normal"/>
        <w:widowControl w:val="0"/>
        <w:numPr>
          <w:ilvl w:val="0"/>
          <w:numId w:val="14"/>
        </w:numPr>
        <w:tabs>
          <w:tab w:val="left" w:pos="9356"/>
        </w:tabs>
        <w:spacing w:before="145" w:after="0" w:line="240" w:lineRule="auto"/>
        <w:ind w:left="284" w:right="4"/>
        <w:rPr>
          <w:rFonts w:ascii="Athiti" w:eastAsia="Athiti" w:hAnsi="Athiti" w:cs="Athiti"/>
          <w:b/>
          <w:lang w:val="cs-CZ"/>
        </w:rPr>
      </w:pPr>
      <w:r w:rsidRPr="00A614D9">
        <w:rPr>
          <w:rFonts w:ascii="Athiti" w:eastAsia="Athiti" w:hAnsi="Athiti" w:cs="Athiti"/>
          <w:lang w:val="cs-CZ"/>
        </w:rPr>
        <w:t xml:space="preserve">Mezinárodní sankce se zavádějí v rámci různých tzv. </w:t>
      </w:r>
      <w:r w:rsidRPr="00A614D9">
        <w:rPr>
          <w:rFonts w:ascii="Athiti" w:eastAsia="Athiti" w:hAnsi="Athiti" w:cs="Athiti"/>
          <w:b/>
          <w:lang w:val="cs-CZ"/>
        </w:rPr>
        <w:t>sankčních režimů</w:t>
      </w:r>
      <w:r w:rsidRPr="00A614D9">
        <w:rPr>
          <w:rFonts w:ascii="Athiti" w:eastAsia="Athiti" w:hAnsi="Athiti" w:cs="Athiti"/>
          <w:lang w:val="cs-CZ"/>
        </w:rPr>
        <w:t xml:space="preserve">, což znamená, že je vydávají různé instituce či vlády – konkrétně Rada bezpečnosti OSN, Evropská unie a vláda České republiky. </w:t>
      </w:r>
      <w:r w:rsidRPr="00A614D9">
        <w:rPr>
          <w:rFonts w:ascii="Athiti" w:eastAsia="Athiti" w:hAnsi="Athiti" w:cs="Athiti"/>
          <w:b/>
          <w:lang w:val="cs-CZ"/>
        </w:rPr>
        <w:t>Společnost má podle prováděcího zákona povinnost tyto tři sankční režimy minimálně dodržovat.</w:t>
      </w:r>
    </w:p>
    <w:p w:rsidR="008119FF" w:rsidRPr="00A614D9" w:rsidRDefault="008119FF" w:rsidP="008119FF">
      <w:pPr>
        <w:pStyle w:val="normal"/>
        <w:widowControl w:val="0"/>
        <w:numPr>
          <w:ilvl w:val="0"/>
          <w:numId w:val="14"/>
        </w:numPr>
        <w:tabs>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Klíčovým účelem mezinárodních sankcí je boj proti</w:t>
      </w:r>
      <w:r w:rsidRPr="00A614D9">
        <w:rPr>
          <w:rFonts w:ascii="Athiti" w:eastAsia="Athiti" w:hAnsi="Athiti" w:cs="Athiti"/>
          <w:b/>
          <w:lang w:val="cs-CZ"/>
        </w:rPr>
        <w:t xml:space="preserve"> financování terorismu</w:t>
      </w:r>
      <w:r w:rsidRPr="00A614D9">
        <w:rPr>
          <w:rFonts w:ascii="Athiti" w:eastAsia="Athiti" w:hAnsi="Athiti" w:cs="Athiti"/>
          <w:lang w:val="cs-CZ"/>
        </w:rPr>
        <w:t>. Podle § 3 odst. 2 a 3 AML zákona zahrnuje tento pojem zejména:</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získávání nebo poskytování finančních prostředků či jiného majetku s vědomím, že budou – byť jen částečně – využity k teroristickým činům, jejich přípravě nebo podpoře,</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poskytnutí odměny nebo náhrady škody osobám, které se účastní teroristických aktivit, či těm, kteří jim napomáhají,</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financování šíření zbraní hromadného ničení.</w:t>
      </w:r>
    </w:p>
    <w:p w:rsidR="008119FF" w:rsidRPr="00A614D9" w:rsidRDefault="008119FF" w:rsidP="008119FF">
      <w:pPr>
        <w:pStyle w:val="normal"/>
        <w:widowControl w:val="0"/>
        <w:tabs>
          <w:tab w:val="left" w:pos="9356"/>
        </w:tabs>
        <w:spacing w:before="145" w:after="0" w:line="240" w:lineRule="auto"/>
        <w:ind w:left="709" w:right="4"/>
        <w:rPr>
          <w:rFonts w:ascii="Athiti" w:eastAsia="Athiti" w:hAnsi="Athiti" w:cs="Athiti"/>
          <w:lang w:val="cs-CZ"/>
        </w:rPr>
      </w:pPr>
      <w:r w:rsidRPr="00A614D9">
        <w:rPr>
          <w:rFonts w:ascii="Athiti" w:eastAsia="Athiti" w:hAnsi="Athiti" w:cs="Athiti"/>
          <w:lang w:val="cs-CZ"/>
        </w:rPr>
        <w:t>blíže viz také kapitola 1 (</w:t>
      </w:r>
      <w:r w:rsidRPr="00A614D9">
        <w:rPr>
          <w:rFonts w:ascii="Athiti" w:eastAsia="Athiti" w:hAnsi="Athiti" w:cs="Athiti"/>
          <w:i/>
          <w:lang w:val="cs-CZ"/>
        </w:rPr>
        <w:t>Pojmy a definice</w:t>
      </w:r>
      <w:r w:rsidRPr="00A614D9">
        <w:rPr>
          <w:rFonts w:ascii="Athiti" w:eastAsia="Athiti" w:hAnsi="Athiti" w:cs="Athiti"/>
          <w:lang w:val="cs-CZ"/>
        </w:rPr>
        <w:t xml:space="preserve">). </w:t>
      </w:r>
    </w:p>
    <w:p w:rsidR="008119FF" w:rsidRPr="00A614D9" w:rsidRDefault="008119FF" w:rsidP="008119FF">
      <w:pPr>
        <w:pStyle w:val="normal"/>
        <w:widowControl w:val="0"/>
        <w:numPr>
          <w:ilvl w:val="0"/>
          <w:numId w:val="14"/>
        </w:numPr>
        <w:tabs>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Tyto zásady vycházejí mimo</w:t>
      </w:r>
      <w:r w:rsidRPr="00A614D9">
        <w:rPr>
          <w:rFonts w:ascii="Athiti" w:eastAsia="Athiti" w:hAnsi="Athiti" w:cs="Athiti"/>
          <w:b/>
          <w:lang w:val="cs-CZ"/>
        </w:rPr>
        <w:t xml:space="preserve"> jiné z následujících klíčových právních norem a závazných výkladových stanovisek:</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 xml:space="preserve">AML zákon a prováděcí zákon včetně přímo použitelných předpisů EU a </w:t>
      </w:r>
      <w:r w:rsidRPr="00A614D9">
        <w:rPr>
          <w:rFonts w:ascii="Athiti" w:eastAsia="Athiti" w:hAnsi="Athiti" w:cs="Athiti"/>
          <w:lang w:val="cs-CZ"/>
        </w:rPr>
        <w:lastRenderedPageBreak/>
        <w:t>výkladových stanovisek Evropské komise,</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Prováděcí zákon spolu s navazujícími předpisy, které zahrnují sankce vyplývající z přímo použitelných právních aktů Evropské unie, vydaných příslušnými unijními orgány a zveřejněných v Úředním věstníku EU, včetně relevantních výkladových stanovisek Evropské komise k těmto předpisům;</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Sankční zákon č. 1/2023 Sb.,</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Prováděcí vyhláška č. 67/2018 Sb.,</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Vládní nařízení č. 210/2008 Sb. o zvláštních opatřeních proti terorismu,</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Dohledové benchmarky ČNB a metodické pokyny FAÚ,</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Dohledový benchmark č. 2/2018 vydaný Českou národní bankou, který stanovuje požadavky na konkrétní postupy spojené s implementací mezinárodních sankcí;</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metodické dokumenty vydané Finančním analytickým úřadem (FAÚ), konkrétně zejména Pokyn č. 1, který se zaměřuje na uplatňování mezinárodních sankcí v kontextu financování terorismu, a Pokyn č. 3, jenž se věnuje pravidlům pro identifikaci skutečného majitele,</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posuzování rizik a mezinárodně uznávané standardy v oblasti AML/CFT, především dokument EBA/GL/2021/02 – Obecné pokyny vydané podle článků 17 a 18 odst. 4 směrnice (EU) 2015/849, které se zaměřují na pravidla pro důkladnou kontrolu klientů a na identifikaci rizikových faktorů souvisejících s praním peněz a financováním terorismu v rámci jednotlivých obchodních vztahů a příležitostných transakcí. Tyto pokyny nahrazují předchozí verzi JC/2017/37. Dále EBA/GL/2019/04 – Obecné pokyny EBA týkající se řízení rizik spojených s informačními a komunikačními technologiemi (IKT) a kybernetickou bezpečností;</w:t>
      </w:r>
    </w:p>
    <w:p w:rsidR="008119FF" w:rsidRDefault="008119FF" w:rsidP="008119FF">
      <w:pPr>
        <w:pStyle w:val="normal"/>
        <w:widowControl w:val="0"/>
        <w:numPr>
          <w:ilvl w:val="0"/>
          <w:numId w:val="15"/>
        </w:numPr>
        <w:tabs>
          <w:tab w:val="left" w:pos="9356"/>
        </w:tabs>
        <w:spacing w:after="0" w:line="240" w:lineRule="auto"/>
        <w:ind w:left="709" w:right="4" w:hanging="425"/>
        <w:rPr>
          <w:rFonts w:ascii="Athiti" w:eastAsia="Athiti" w:hAnsi="Athiti" w:cs="Athiti"/>
          <w:lang w:val="cs-CZ"/>
        </w:rPr>
      </w:pPr>
      <w:r w:rsidRPr="00A614D9">
        <w:rPr>
          <w:rFonts w:ascii="Athiti" w:eastAsia="Athiti" w:hAnsi="Athiti" w:cs="Athiti"/>
          <w:lang w:val="cs-CZ"/>
        </w:rPr>
        <w:t>legislativa a související výkladová stanoviska upravující poskytování služeb v oblasti kryptoaktiv, zejména nařízení Evropského parlamentu a Rady (EU) 2023/1114 ze dne 31. května 2023, známé jako nařízení o trzích s kryptoaktivy („MiCA“).</w:t>
      </w:r>
    </w:p>
    <w:p w:rsidR="008626EF" w:rsidRPr="00A614D9" w:rsidRDefault="008626EF" w:rsidP="008626EF">
      <w:pPr>
        <w:pStyle w:val="normal"/>
        <w:widowControl w:val="0"/>
        <w:tabs>
          <w:tab w:val="left" w:pos="9356"/>
        </w:tabs>
        <w:spacing w:after="0" w:line="240" w:lineRule="auto"/>
        <w:ind w:right="4"/>
        <w:rPr>
          <w:rFonts w:ascii="Athiti" w:eastAsia="Athiti" w:hAnsi="Athiti" w:cs="Athiti"/>
          <w:lang w:val="cs-CZ"/>
        </w:rPr>
      </w:pPr>
    </w:p>
    <w:p w:rsidR="008119FF" w:rsidRPr="00A614D9" w:rsidRDefault="008119FF" w:rsidP="008119FF">
      <w:pPr>
        <w:pStyle w:val="Nadpis1"/>
        <w:keepNext w:val="0"/>
        <w:keepLines w:val="0"/>
        <w:widowControl w:val="0"/>
        <w:numPr>
          <w:ilvl w:val="0"/>
          <w:numId w:val="4"/>
        </w:numPr>
        <w:tabs>
          <w:tab w:val="left" w:pos="713"/>
          <w:tab w:val="left" w:pos="9356"/>
        </w:tabs>
        <w:spacing w:before="101" w:after="0" w:line="240" w:lineRule="auto"/>
        <w:ind w:left="1276" w:hanging="556"/>
        <w:jc w:val="left"/>
        <w:rPr>
          <w:rFonts w:ascii="Athiti" w:eastAsia="Athiti" w:hAnsi="Athiti" w:cs="Athiti"/>
          <w:color w:val="2C74B5"/>
          <w:sz w:val="32"/>
          <w:szCs w:val="32"/>
          <w:lang w:val="cs-CZ"/>
        </w:rPr>
      </w:pPr>
      <w:r w:rsidRPr="00A614D9">
        <w:rPr>
          <w:rFonts w:ascii="Athiti" w:eastAsia="Athiti" w:hAnsi="Athiti" w:cs="Athiti"/>
          <w:color w:val="2C74B5"/>
          <w:sz w:val="32"/>
          <w:szCs w:val="32"/>
          <w:lang w:val="cs-CZ"/>
        </w:rPr>
        <w:t>ROZSAH PŮSOBNOSTI A DEFINICE PODEZŘELÉHO OBCHODU</w:t>
      </w:r>
    </w:p>
    <w:p w:rsidR="008119FF" w:rsidRPr="00A614D9" w:rsidRDefault="008119FF" w:rsidP="008119FF">
      <w:pPr>
        <w:pStyle w:val="normal"/>
        <w:widowControl w:val="0"/>
        <w:numPr>
          <w:ilvl w:val="0"/>
          <w:numId w:val="5"/>
        </w:numPr>
        <w:tabs>
          <w:tab w:val="left" w:pos="9356"/>
        </w:tabs>
        <w:spacing w:before="120" w:after="120" w:line="240" w:lineRule="auto"/>
        <w:ind w:left="284" w:right="4"/>
        <w:rPr>
          <w:rFonts w:ascii="Athiti" w:eastAsia="Athiti" w:hAnsi="Athiti" w:cs="Athiti"/>
          <w:lang w:val="cs-CZ"/>
        </w:rPr>
      </w:pPr>
      <w:r w:rsidRPr="00A614D9">
        <w:rPr>
          <w:rFonts w:ascii="Athiti" w:eastAsia="Athiti" w:hAnsi="Athiti" w:cs="Athiti"/>
          <w:lang w:val="cs-CZ"/>
        </w:rPr>
        <w:t>Tato pravidla se vztahují na veškeré zaměstnance a spolupracovníky Společnosti, kteří se mohou během své činnosti setkat s obchodem vykazujícím známky sankčního rizika.</w:t>
      </w:r>
    </w:p>
    <w:p w:rsidR="008119FF" w:rsidRPr="00A614D9" w:rsidRDefault="008119FF" w:rsidP="008119FF">
      <w:pPr>
        <w:pStyle w:val="normal"/>
        <w:widowControl w:val="0"/>
        <w:numPr>
          <w:ilvl w:val="0"/>
          <w:numId w:val="5"/>
        </w:numPr>
        <w:tabs>
          <w:tab w:val="left" w:pos="9356"/>
        </w:tabs>
        <w:spacing w:before="120" w:after="120" w:line="240" w:lineRule="auto"/>
        <w:ind w:left="284" w:right="6"/>
        <w:rPr>
          <w:rFonts w:ascii="Athiti" w:eastAsia="Athiti" w:hAnsi="Athiti" w:cs="Athiti"/>
          <w:lang w:val="cs-CZ"/>
        </w:rPr>
      </w:pPr>
      <w:r w:rsidRPr="00A614D9">
        <w:rPr>
          <w:rFonts w:ascii="Athiti" w:eastAsia="Athiti" w:hAnsi="Athiti" w:cs="Athiti"/>
          <w:b/>
          <w:lang w:val="cs-CZ"/>
        </w:rPr>
        <w:t xml:space="preserve">Za podezřelý obchod </w:t>
      </w:r>
      <w:r w:rsidRPr="00A614D9">
        <w:rPr>
          <w:rFonts w:ascii="Athiti" w:eastAsia="Athiti" w:hAnsi="Athiti" w:cs="Athiti"/>
          <w:lang w:val="cs-CZ"/>
        </w:rPr>
        <w:t>se považuje transakce ve smyslu § 6 AML zákona, a to zejména tehdy, pokud se v kontextu sankčního rizika a činnosti Společnosti jedná o:</w:t>
      </w:r>
    </w:p>
    <w:p w:rsidR="008119FF" w:rsidRPr="00A614D9" w:rsidRDefault="008119FF" w:rsidP="008119FF">
      <w:pPr>
        <w:pStyle w:val="normal"/>
        <w:widowControl w:val="0"/>
        <w:numPr>
          <w:ilvl w:val="0"/>
          <w:numId w:val="15"/>
        </w:numPr>
        <w:tabs>
          <w:tab w:val="left" w:pos="9356"/>
        </w:tabs>
        <w:spacing w:after="120" w:line="240" w:lineRule="auto"/>
        <w:ind w:left="709" w:right="6" w:hanging="425"/>
        <w:rPr>
          <w:rFonts w:ascii="Athiti" w:eastAsia="Athiti" w:hAnsi="Athiti" w:cs="Athiti"/>
          <w:lang w:val="cs-CZ"/>
        </w:rPr>
      </w:pPr>
      <w:r w:rsidRPr="00A614D9">
        <w:rPr>
          <w:rFonts w:ascii="Athiti" w:eastAsia="Athiti" w:hAnsi="Athiti" w:cs="Athiti"/>
          <w:lang w:val="cs-CZ"/>
        </w:rPr>
        <w:t>situaci, kdy klientem, jeho skutečným vlastníkem, členem řídicí struktury nebo jinou zúčastněnou osobou, je jednotlivec nebo subjekt, na kterého Česká republika uplatňuje mezinárodní sankce dle prováděcího zákona;</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nebo jde-li o obchodní vztah či transakci, která se týká služeb,</w:t>
      </w:r>
      <w:r w:rsidRPr="00A614D9">
        <w:rPr>
          <w:rFonts w:ascii="Athiti" w:eastAsia="Athiti" w:hAnsi="Athiti" w:cs="Athiti"/>
          <w:b/>
          <w:lang w:val="cs-CZ"/>
        </w:rPr>
        <w:t xml:space="preserve"> jež podléhají sankčním opatřením ČR</w:t>
      </w:r>
      <w:r w:rsidRPr="00A614D9">
        <w:rPr>
          <w:rFonts w:ascii="Athiti" w:eastAsia="Athiti" w:hAnsi="Athiti" w:cs="Athiti"/>
          <w:lang w:val="cs-CZ"/>
        </w:rPr>
        <w:t xml:space="preserve"> podle téhož zákona.</w:t>
      </w:r>
    </w:p>
    <w:p w:rsidR="008119FF" w:rsidRPr="00A614D9" w:rsidRDefault="008119FF" w:rsidP="008119FF">
      <w:pPr>
        <w:pStyle w:val="normal"/>
        <w:widowControl w:val="0"/>
        <w:numPr>
          <w:ilvl w:val="0"/>
          <w:numId w:val="5"/>
        </w:numPr>
        <w:tabs>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Pokud je obchod vyhodnocen jako podezřelý, je nutné se řídit postupem stanoveným v §§ 18 až 20 AML zákona.</w:t>
      </w:r>
    </w:p>
    <w:p w:rsidR="008119FF" w:rsidRPr="00A614D9" w:rsidRDefault="008119FF" w:rsidP="008119FF">
      <w:pPr>
        <w:pStyle w:val="normal"/>
        <w:widowControl w:val="0"/>
        <w:numPr>
          <w:ilvl w:val="0"/>
          <w:numId w:val="5"/>
        </w:numPr>
        <w:tabs>
          <w:tab w:val="left" w:pos="9356"/>
        </w:tabs>
        <w:spacing w:before="145" w:after="0" w:line="240" w:lineRule="auto"/>
        <w:ind w:left="284" w:right="4"/>
        <w:rPr>
          <w:rFonts w:ascii="Athiti" w:eastAsia="Athiti" w:hAnsi="Athiti" w:cs="Athiti"/>
          <w:lang w:val="cs-CZ"/>
        </w:rPr>
      </w:pPr>
      <w:r w:rsidRPr="00A614D9">
        <w:rPr>
          <w:rFonts w:ascii="Athiti" w:eastAsia="Athiti" w:hAnsi="Athiti" w:cs="Athiti"/>
          <w:b/>
          <w:lang w:val="cs-CZ"/>
        </w:rPr>
        <w:t>Sankční opatření mohou mít podobu příkazu, zákazu nebo omezení</w:t>
      </w:r>
      <w:r w:rsidRPr="00A614D9">
        <w:rPr>
          <w:rFonts w:ascii="Athiti" w:eastAsia="Athiti" w:hAnsi="Athiti" w:cs="Athiti"/>
          <w:lang w:val="cs-CZ"/>
        </w:rPr>
        <w:t xml:space="preserve"> a mohou být </w:t>
      </w:r>
      <w:r w:rsidRPr="00A614D9">
        <w:rPr>
          <w:rFonts w:ascii="Athiti" w:eastAsia="Athiti" w:hAnsi="Athiti" w:cs="Athiti"/>
          <w:lang w:val="cs-CZ"/>
        </w:rPr>
        <w:lastRenderedPageBreak/>
        <w:t>aplikována například na:</w:t>
      </w:r>
    </w:p>
    <w:p w:rsidR="008119FF" w:rsidRPr="00A614D9" w:rsidRDefault="008119FF" w:rsidP="008119FF">
      <w:pPr>
        <w:pStyle w:val="normal"/>
        <w:widowControl w:val="0"/>
        <w:numPr>
          <w:ilvl w:val="0"/>
          <w:numId w:val="15"/>
        </w:numPr>
        <w:tabs>
          <w:tab w:val="left" w:pos="9356"/>
        </w:tabs>
        <w:spacing w:before="145" w:after="0" w:line="240" w:lineRule="auto"/>
        <w:ind w:left="709" w:right="376" w:hanging="425"/>
        <w:rPr>
          <w:rFonts w:ascii="Athiti" w:eastAsia="Athiti" w:hAnsi="Athiti" w:cs="Athiti"/>
          <w:lang w:val="cs-CZ"/>
        </w:rPr>
      </w:pPr>
      <w:r w:rsidRPr="00A614D9">
        <w:rPr>
          <w:rFonts w:ascii="Athiti" w:eastAsia="Athiti" w:hAnsi="Athiti" w:cs="Athiti"/>
          <w:lang w:val="cs-CZ"/>
        </w:rPr>
        <w:t>území („sankcionované území“);</w:t>
      </w:r>
    </w:p>
    <w:p w:rsidR="008119FF" w:rsidRPr="00A614D9" w:rsidRDefault="008119FF" w:rsidP="008119FF">
      <w:pPr>
        <w:pStyle w:val="normal"/>
        <w:widowControl w:val="0"/>
        <w:numPr>
          <w:ilvl w:val="0"/>
          <w:numId w:val="15"/>
        </w:numPr>
        <w:tabs>
          <w:tab w:val="left" w:pos="9356"/>
        </w:tabs>
        <w:spacing w:before="145" w:after="0" w:line="240" w:lineRule="auto"/>
        <w:ind w:left="709" w:right="376" w:hanging="425"/>
        <w:rPr>
          <w:rFonts w:ascii="Athiti" w:eastAsia="Athiti" w:hAnsi="Athiti" w:cs="Athiti"/>
          <w:lang w:val="cs-CZ"/>
        </w:rPr>
      </w:pPr>
      <w:r w:rsidRPr="00A614D9">
        <w:rPr>
          <w:rFonts w:ascii="Athiti" w:eastAsia="Athiti" w:hAnsi="Athiti" w:cs="Athiti"/>
          <w:lang w:val="cs-CZ"/>
        </w:rPr>
        <w:t>právnické osoby či instituce (sankcionované subjekty),</w:t>
      </w:r>
    </w:p>
    <w:p w:rsidR="008119FF" w:rsidRPr="00A614D9" w:rsidRDefault="008119FF" w:rsidP="008119FF">
      <w:pPr>
        <w:pStyle w:val="normal"/>
        <w:widowControl w:val="0"/>
        <w:numPr>
          <w:ilvl w:val="0"/>
          <w:numId w:val="15"/>
        </w:numPr>
        <w:tabs>
          <w:tab w:val="left" w:pos="9356"/>
        </w:tabs>
        <w:spacing w:before="145" w:after="0" w:line="240" w:lineRule="auto"/>
        <w:ind w:left="709" w:right="376" w:hanging="425"/>
        <w:rPr>
          <w:rFonts w:ascii="Athiti" w:eastAsia="Athiti" w:hAnsi="Athiti" w:cs="Athiti"/>
          <w:lang w:val="cs-CZ"/>
        </w:rPr>
      </w:pPr>
      <w:r w:rsidRPr="00A614D9">
        <w:rPr>
          <w:rFonts w:ascii="Athiti" w:eastAsia="Athiti" w:hAnsi="Athiti" w:cs="Athiti"/>
          <w:lang w:val="cs-CZ"/>
        </w:rPr>
        <w:t>jednotlivce</w:t>
      </w:r>
      <w:r w:rsidRPr="00A614D9">
        <w:rPr>
          <w:rFonts w:ascii="Athiti" w:eastAsia="Athiti" w:hAnsi="Athiti" w:cs="Athiti"/>
          <w:b/>
          <w:lang w:val="cs-CZ"/>
        </w:rPr>
        <w:t xml:space="preserve"> (sankcionované osoby),</w:t>
      </w:r>
    </w:p>
    <w:p w:rsidR="008119FF" w:rsidRPr="00A614D9" w:rsidRDefault="008119FF" w:rsidP="008119FF">
      <w:pPr>
        <w:pStyle w:val="normal"/>
        <w:widowControl w:val="0"/>
        <w:numPr>
          <w:ilvl w:val="0"/>
          <w:numId w:val="15"/>
        </w:numPr>
        <w:tabs>
          <w:tab w:val="left" w:pos="9356"/>
        </w:tabs>
        <w:spacing w:before="145" w:after="0" w:line="240" w:lineRule="auto"/>
        <w:ind w:left="709" w:right="376" w:hanging="425"/>
        <w:rPr>
          <w:rFonts w:ascii="Athiti" w:eastAsia="Athiti" w:hAnsi="Athiti" w:cs="Athiti"/>
          <w:lang w:val="cs-CZ"/>
        </w:rPr>
      </w:pPr>
      <w:r w:rsidRPr="00A614D9">
        <w:rPr>
          <w:rFonts w:ascii="Athiti" w:eastAsia="Athiti" w:hAnsi="Athiti" w:cs="Athiti"/>
          <w:lang w:val="cs-CZ"/>
        </w:rPr>
        <w:t xml:space="preserve">majetek </w:t>
      </w:r>
      <w:r w:rsidRPr="00A614D9">
        <w:rPr>
          <w:rFonts w:ascii="Athiti" w:eastAsia="Athiti" w:hAnsi="Athiti" w:cs="Athiti"/>
          <w:b/>
          <w:lang w:val="cs-CZ"/>
        </w:rPr>
        <w:t>(sankcionovaný majetek),</w:t>
      </w:r>
    </w:p>
    <w:p w:rsidR="008119FF" w:rsidRPr="00A614D9" w:rsidRDefault="008119FF" w:rsidP="008119FF">
      <w:pPr>
        <w:pStyle w:val="normal"/>
        <w:widowControl w:val="0"/>
        <w:numPr>
          <w:ilvl w:val="0"/>
          <w:numId w:val="15"/>
        </w:numPr>
        <w:tabs>
          <w:tab w:val="left" w:pos="9356"/>
        </w:tabs>
        <w:spacing w:before="145" w:after="0" w:line="240" w:lineRule="auto"/>
        <w:ind w:left="709" w:right="376" w:hanging="425"/>
        <w:rPr>
          <w:rFonts w:ascii="Athiti" w:eastAsia="Athiti" w:hAnsi="Athiti" w:cs="Athiti"/>
          <w:lang w:val="cs-CZ"/>
        </w:rPr>
      </w:pPr>
      <w:r w:rsidRPr="00A614D9">
        <w:rPr>
          <w:rFonts w:ascii="Athiti" w:eastAsia="Athiti" w:hAnsi="Athiti" w:cs="Athiti"/>
          <w:lang w:val="cs-CZ"/>
        </w:rPr>
        <w:t>nebo konkrétní druhy zboží (sankcionované zboží).</w:t>
      </w:r>
    </w:p>
    <w:p w:rsidR="008119FF" w:rsidRPr="00A614D9" w:rsidRDefault="008119FF" w:rsidP="008119FF">
      <w:pPr>
        <w:pStyle w:val="normal"/>
        <w:widowControl w:val="0"/>
        <w:tabs>
          <w:tab w:val="left" w:pos="709"/>
          <w:tab w:val="left" w:pos="9356"/>
        </w:tabs>
        <w:spacing w:before="145" w:after="0" w:line="240" w:lineRule="auto"/>
        <w:ind w:left="284" w:right="4"/>
        <w:rPr>
          <w:rFonts w:ascii="Athiti" w:eastAsia="Athiti" w:hAnsi="Athiti" w:cs="Athiti"/>
          <w:lang w:val="cs-CZ"/>
        </w:rPr>
      </w:pPr>
      <w:r w:rsidRPr="00A614D9">
        <w:rPr>
          <w:rFonts w:ascii="Athiti" w:eastAsia="Athiti" w:hAnsi="Athiti" w:cs="Athiti"/>
          <w:b/>
          <w:lang w:val="cs-CZ"/>
        </w:rPr>
        <w:t>Tyto opatření se mohou týkat řady oblastí, včetně těch, které přímo souvisejí s činností Společnosti, jako jsou:</w:t>
      </w:r>
    </w:p>
    <w:p w:rsidR="008119FF" w:rsidRPr="00A614D9" w:rsidRDefault="008119FF" w:rsidP="008119FF">
      <w:pPr>
        <w:pStyle w:val="normal"/>
        <w:widowControl w:val="0"/>
        <w:numPr>
          <w:ilvl w:val="0"/>
          <w:numId w:val="15"/>
        </w:numPr>
        <w:tabs>
          <w:tab w:val="left" w:pos="9356"/>
        </w:tabs>
        <w:spacing w:before="145" w:after="0" w:line="240" w:lineRule="auto"/>
        <w:ind w:left="709" w:right="376" w:hanging="425"/>
        <w:rPr>
          <w:rFonts w:ascii="Athiti" w:eastAsia="Athiti" w:hAnsi="Athiti" w:cs="Athiti"/>
          <w:b/>
          <w:lang w:val="cs-CZ"/>
        </w:rPr>
      </w:pPr>
      <w:r w:rsidRPr="00A614D9">
        <w:rPr>
          <w:rFonts w:ascii="Athiti" w:eastAsia="Athiti" w:hAnsi="Athiti" w:cs="Athiti"/>
          <w:b/>
          <w:lang w:val="cs-CZ"/>
        </w:rPr>
        <w:t>obchodní a servisní aktivity,</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b/>
          <w:lang w:val="cs-CZ"/>
        </w:rPr>
      </w:pPr>
      <w:r w:rsidRPr="00A614D9">
        <w:rPr>
          <w:rFonts w:ascii="Athiti" w:eastAsia="Athiti" w:hAnsi="Athiti" w:cs="Athiti"/>
          <w:b/>
          <w:lang w:val="cs-CZ"/>
        </w:rPr>
        <w:t>finanční transakce, včetně převodů peněz, využívání platebních metod, obchodování s cennými papíry a investičními nástroji.</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Naopak oblasti, které nespadají do rámce podnikání Společnosti – např. doprava, komunikace, infrastruktura, vědecké a kulturní výměny, sport, pohyb osob, čerpání veřejných prostředků či účast ve veřejných zakázkách – nejsou v rámci hodnocení rizik dle § 21 AML zákona Společností posuzovány jako relevantní.</w:t>
      </w:r>
    </w:p>
    <w:p w:rsidR="008119FF" w:rsidRPr="00A614D9" w:rsidRDefault="008119FF" w:rsidP="008119FF">
      <w:pPr>
        <w:pStyle w:val="normal"/>
        <w:widowControl w:val="0"/>
        <w:tabs>
          <w:tab w:val="left" w:pos="9356"/>
        </w:tabs>
        <w:spacing w:before="145" w:after="0" w:line="240" w:lineRule="auto"/>
        <w:ind w:left="709" w:right="376"/>
        <w:rPr>
          <w:rFonts w:ascii="Athiti" w:eastAsia="Athiti" w:hAnsi="Athiti" w:cs="Athiti"/>
          <w:sz w:val="22"/>
          <w:szCs w:val="22"/>
          <w:lang w:val="cs-CZ"/>
        </w:rPr>
      </w:pPr>
    </w:p>
    <w:p w:rsidR="008119FF" w:rsidRPr="00A614D9" w:rsidRDefault="008119FF" w:rsidP="008119FF">
      <w:pPr>
        <w:pStyle w:val="Nadpis1"/>
        <w:keepNext w:val="0"/>
        <w:keepLines w:val="0"/>
        <w:widowControl w:val="0"/>
        <w:numPr>
          <w:ilvl w:val="0"/>
          <w:numId w:val="4"/>
        </w:numPr>
        <w:tabs>
          <w:tab w:val="left" w:pos="713"/>
          <w:tab w:val="left" w:pos="9356"/>
        </w:tabs>
        <w:spacing w:before="101" w:after="0" w:line="240" w:lineRule="auto"/>
        <w:ind w:left="1276" w:hanging="556"/>
        <w:rPr>
          <w:rFonts w:ascii="Athiti" w:eastAsia="Athiti" w:hAnsi="Athiti" w:cs="Athiti"/>
          <w:color w:val="2C74B5"/>
          <w:sz w:val="32"/>
          <w:szCs w:val="32"/>
          <w:lang w:val="cs-CZ"/>
        </w:rPr>
      </w:pPr>
      <w:r w:rsidRPr="00A614D9">
        <w:rPr>
          <w:rFonts w:ascii="Athiti" w:eastAsia="Athiti" w:hAnsi="Athiti" w:cs="Athiti"/>
          <w:color w:val="2C74B5"/>
          <w:sz w:val="32"/>
          <w:szCs w:val="32"/>
          <w:lang w:val="cs-CZ"/>
        </w:rPr>
        <w:t>OHLAŠOVACÍ POVINNOSTI TÝKAJÍCÍ SE SANKCIONOVANÝCH OSOB A MAJETKU</w:t>
      </w:r>
    </w:p>
    <w:p w:rsidR="008119FF" w:rsidRPr="00A614D9" w:rsidRDefault="008119FF" w:rsidP="008119FF">
      <w:pPr>
        <w:pStyle w:val="normal"/>
        <w:widowControl w:val="0"/>
        <w:numPr>
          <w:ilvl w:val="0"/>
          <w:numId w:val="16"/>
        </w:numPr>
        <w:tabs>
          <w:tab w:val="left" w:pos="709"/>
          <w:tab w:val="left" w:pos="9356"/>
        </w:tabs>
        <w:spacing w:before="145" w:after="0" w:line="240" w:lineRule="auto"/>
        <w:ind w:left="284" w:right="-279"/>
        <w:rPr>
          <w:rFonts w:ascii="Athiti" w:eastAsia="Athiti" w:hAnsi="Athiti" w:cs="Athiti"/>
          <w:lang w:val="cs-CZ"/>
        </w:rPr>
      </w:pPr>
      <w:r w:rsidRPr="00A614D9">
        <w:rPr>
          <w:rFonts w:ascii="Athiti" w:eastAsia="Athiti" w:hAnsi="Athiti" w:cs="Athiti"/>
          <w:lang w:val="cs-CZ"/>
        </w:rPr>
        <w:t xml:space="preserve">Podle § 10 prováděcího zákona má každý, kdo se věrohodným způsobem dozví o přítomnosti </w:t>
      </w:r>
      <w:r w:rsidRPr="00A614D9">
        <w:rPr>
          <w:rFonts w:ascii="Athiti" w:eastAsia="Athiti" w:hAnsi="Athiti" w:cs="Athiti"/>
          <w:b/>
          <w:lang w:val="cs-CZ"/>
        </w:rPr>
        <w:t>sankcionovaného majetku</w:t>
      </w:r>
      <w:r w:rsidRPr="00A614D9">
        <w:rPr>
          <w:rFonts w:ascii="Athiti" w:eastAsia="Athiti" w:hAnsi="Athiti" w:cs="Athiti"/>
          <w:lang w:val="cs-CZ"/>
        </w:rPr>
        <w:t xml:space="preserve"> ve své držbě, povinnost neprodleně tuto skutečnost oznámit Finančnímu analytickému úřadu (FAÚ). V souvislosti s tímto oznámením se neuplatňuje právo na využití údajů podle zákona o právu na digitální služby.</w:t>
      </w:r>
    </w:p>
    <w:p w:rsidR="008119FF" w:rsidRPr="00A614D9" w:rsidRDefault="008119FF" w:rsidP="008119FF">
      <w:pPr>
        <w:pStyle w:val="normal"/>
        <w:widowControl w:val="0"/>
        <w:numPr>
          <w:ilvl w:val="0"/>
          <w:numId w:val="16"/>
        </w:numPr>
        <w:tabs>
          <w:tab w:val="left" w:pos="709"/>
          <w:tab w:val="left" w:pos="9356"/>
        </w:tabs>
        <w:spacing w:before="145" w:after="0" w:line="240" w:lineRule="auto"/>
        <w:ind w:left="284" w:right="-279"/>
        <w:rPr>
          <w:rFonts w:ascii="Athiti" w:eastAsia="Athiti" w:hAnsi="Athiti" w:cs="Athiti"/>
          <w:lang w:val="cs-CZ"/>
        </w:rPr>
      </w:pPr>
      <w:r w:rsidRPr="00A614D9">
        <w:rPr>
          <w:rFonts w:ascii="Athiti" w:eastAsia="Athiti" w:hAnsi="Athiti" w:cs="Athiti"/>
          <w:lang w:val="cs-CZ"/>
        </w:rPr>
        <w:t>Dále § 11 prováděcího zákona stanoví, že pokud v průběhu přípravy nebo uzavírání smlouvy vznikne podezření, že jedna ze smluvních stran (např. potenciální klient)</w:t>
      </w:r>
      <w:r w:rsidRPr="00A614D9">
        <w:rPr>
          <w:rFonts w:ascii="Athiti" w:eastAsia="Athiti" w:hAnsi="Athiti" w:cs="Athiti"/>
          <w:b/>
          <w:lang w:val="cs-CZ"/>
        </w:rPr>
        <w:t xml:space="preserve"> je osobou</w:t>
      </w:r>
      <w:r w:rsidRPr="00A614D9">
        <w:rPr>
          <w:rFonts w:ascii="Athiti" w:eastAsia="Athiti" w:hAnsi="Athiti" w:cs="Athiti"/>
          <w:lang w:val="cs-CZ"/>
        </w:rPr>
        <w:t xml:space="preserve"> podléhající mezinárodním sankcím, nebo že se smlouva týká </w:t>
      </w:r>
      <w:r w:rsidRPr="00A614D9">
        <w:rPr>
          <w:rFonts w:ascii="Athiti" w:eastAsia="Athiti" w:hAnsi="Athiti" w:cs="Athiti"/>
          <w:b/>
          <w:lang w:val="cs-CZ"/>
        </w:rPr>
        <w:t>sankcionovaného majetku</w:t>
      </w:r>
      <w:r w:rsidRPr="00A614D9">
        <w:rPr>
          <w:rFonts w:ascii="Athiti" w:eastAsia="Athiti" w:hAnsi="Athiti" w:cs="Athiti"/>
          <w:lang w:val="cs-CZ"/>
        </w:rPr>
        <w:t>, a toto podezření nelze důvěryhodně ověřit předem, oznamovací povinnost Finančnímu analytickému úřadu nastává bezprostředně po uzavření smlouvy.</w:t>
      </w:r>
    </w:p>
    <w:p w:rsidR="008119FF" w:rsidRPr="00A614D9" w:rsidRDefault="008119FF" w:rsidP="008119FF">
      <w:pPr>
        <w:pStyle w:val="normal"/>
        <w:widowControl w:val="0"/>
        <w:numPr>
          <w:ilvl w:val="0"/>
          <w:numId w:val="16"/>
        </w:numPr>
        <w:tabs>
          <w:tab w:val="left" w:pos="709"/>
          <w:tab w:val="left" w:pos="9356"/>
        </w:tabs>
        <w:spacing w:before="145" w:after="0" w:line="240" w:lineRule="auto"/>
        <w:ind w:left="284" w:right="376"/>
        <w:rPr>
          <w:rFonts w:ascii="Athiti" w:eastAsia="Athiti" w:hAnsi="Athiti" w:cs="Athiti"/>
          <w:lang w:val="cs-CZ"/>
        </w:rPr>
      </w:pPr>
      <w:r w:rsidRPr="00A614D9">
        <w:rPr>
          <w:rFonts w:ascii="Athiti" w:eastAsia="Athiti" w:hAnsi="Athiti" w:cs="Athiti"/>
          <w:lang w:val="cs-CZ"/>
        </w:rPr>
        <w:t>Takové oznámení je možné podat buď písemně, nebo ústně formou protokolárního záznamu.</w:t>
      </w:r>
    </w:p>
    <w:p w:rsidR="008119FF" w:rsidRPr="00A614D9" w:rsidRDefault="008119FF" w:rsidP="008119FF">
      <w:pPr>
        <w:pStyle w:val="Nadpis1"/>
        <w:keepNext w:val="0"/>
        <w:keepLines w:val="0"/>
        <w:widowControl w:val="0"/>
        <w:numPr>
          <w:ilvl w:val="0"/>
          <w:numId w:val="4"/>
        </w:numPr>
        <w:tabs>
          <w:tab w:val="left" w:pos="713"/>
          <w:tab w:val="left" w:pos="9356"/>
        </w:tabs>
        <w:spacing w:before="101" w:after="0" w:line="240" w:lineRule="auto"/>
        <w:ind w:left="1276" w:hanging="556"/>
        <w:jc w:val="left"/>
        <w:rPr>
          <w:rFonts w:ascii="Athiti" w:eastAsia="Athiti" w:hAnsi="Athiti" w:cs="Athiti"/>
          <w:color w:val="2C74B5"/>
          <w:sz w:val="32"/>
          <w:szCs w:val="32"/>
          <w:lang w:val="cs-CZ"/>
        </w:rPr>
      </w:pPr>
      <w:r w:rsidRPr="00A614D9">
        <w:rPr>
          <w:rFonts w:ascii="Athiti" w:eastAsia="Athiti" w:hAnsi="Athiti" w:cs="Athiti"/>
          <w:color w:val="2C74B5"/>
          <w:sz w:val="32"/>
          <w:szCs w:val="32"/>
          <w:lang w:val="cs-CZ"/>
        </w:rPr>
        <w:t>ZACHÁZENÍ SE SANKCIONOVANÝM MAJETKEM</w:t>
      </w:r>
    </w:p>
    <w:p w:rsidR="008119FF" w:rsidRPr="00A614D9" w:rsidRDefault="008119FF" w:rsidP="008119FF">
      <w:pPr>
        <w:pStyle w:val="normal"/>
        <w:widowControl w:val="0"/>
        <w:numPr>
          <w:ilvl w:val="0"/>
          <w:numId w:val="19"/>
        </w:numPr>
        <w:tabs>
          <w:tab w:val="left" w:pos="284"/>
          <w:tab w:val="left" w:pos="9072"/>
        </w:tabs>
        <w:spacing w:before="145" w:after="0" w:line="240" w:lineRule="auto"/>
        <w:ind w:left="284" w:right="-279"/>
        <w:rPr>
          <w:rFonts w:ascii="Athiti" w:eastAsia="Athiti" w:hAnsi="Athiti" w:cs="Athiti"/>
          <w:lang w:val="cs-CZ"/>
        </w:rPr>
      </w:pPr>
      <w:r w:rsidRPr="00A614D9">
        <w:rPr>
          <w:rFonts w:ascii="Athiti" w:eastAsia="Athiti" w:hAnsi="Athiti" w:cs="Athiti"/>
          <w:lang w:val="cs-CZ"/>
        </w:rPr>
        <w:t>Jak stanoví § 11 prováděcího zákona, osoba, která se důvěryhodně dozví, že má ve svém držení majetek podléhající mezinárodním sankcím, nesmí s tímto majetkem jakkoliv nakládat, s výjimkou případů, kdy je cílem jeho ochrana před ztrátou, poškozením, zničením nebo znehodnocením. Tato povinnost platí od okamžiku, kdy je skutečnost o sankční povaze majetku známa.</w:t>
      </w:r>
    </w:p>
    <w:p w:rsidR="008119FF" w:rsidRPr="00A614D9" w:rsidRDefault="008119FF" w:rsidP="008119FF">
      <w:pPr>
        <w:pStyle w:val="normal"/>
        <w:widowControl w:val="0"/>
        <w:numPr>
          <w:ilvl w:val="0"/>
          <w:numId w:val="19"/>
        </w:numPr>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Osoba, u níž se nachází majetek zatížený mezinárodními sankcemi, má právo žádat stát o proplacení nezbytných výdajů spojených s jeho správou a ochranou, a to od chvíle, kdy bylo FAÚ doručeno oznámení dle článku 4. Toto právo na náhradu však neplatí pro samotný sankcionovaný subjekt či osobu, stejně jako pro jejich spolupracovníky, blízké osoby nebo další osoby s nimi majetkově či jinak propojené.</w:t>
      </w:r>
    </w:p>
    <w:p w:rsidR="008119FF" w:rsidRPr="00A614D9" w:rsidRDefault="008119FF" w:rsidP="008119FF">
      <w:pPr>
        <w:pStyle w:val="normal"/>
        <w:widowControl w:val="0"/>
        <w:tabs>
          <w:tab w:val="left" w:pos="9356"/>
        </w:tabs>
        <w:spacing w:after="0" w:line="240" w:lineRule="auto"/>
        <w:ind w:left="425" w:right="374"/>
        <w:rPr>
          <w:rFonts w:ascii="Athiti" w:eastAsia="Athiti" w:hAnsi="Athiti" w:cs="Athiti"/>
          <w:sz w:val="22"/>
          <w:szCs w:val="22"/>
          <w:highlight w:val="yellow"/>
          <w:lang w:val="cs-CZ"/>
        </w:rPr>
      </w:pPr>
    </w:p>
    <w:p w:rsidR="008119FF" w:rsidRPr="00A614D9" w:rsidRDefault="008119FF" w:rsidP="008119FF">
      <w:pPr>
        <w:pStyle w:val="Nadpis1"/>
        <w:keepNext w:val="0"/>
        <w:keepLines w:val="0"/>
        <w:widowControl w:val="0"/>
        <w:numPr>
          <w:ilvl w:val="0"/>
          <w:numId w:val="4"/>
        </w:numPr>
        <w:tabs>
          <w:tab w:val="left" w:pos="713"/>
          <w:tab w:val="left" w:pos="9356"/>
        </w:tabs>
        <w:spacing w:before="0" w:after="0" w:line="240" w:lineRule="auto"/>
        <w:ind w:left="1276" w:hanging="556"/>
        <w:rPr>
          <w:rFonts w:ascii="Athiti" w:eastAsia="Athiti" w:hAnsi="Athiti" w:cs="Athiti"/>
          <w:color w:val="2C74B5"/>
          <w:sz w:val="32"/>
          <w:szCs w:val="32"/>
          <w:lang w:val="cs-CZ"/>
        </w:rPr>
      </w:pPr>
      <w:r w:rsidRPr="00A614D9">
        <w:rPr>
          <w:rFonts w:ascii="Athiti" w:eastAsia="Athiti" w:hAnsi="Athiti" w:cs="Athiti"/>
          <w:color w:val="2C74B5"/>
          <w:sz w:val="32"/>
          <w:szCs w:val="32"/>
          <w:lang w:val="cs-CZ"/>
        </w:rPr>
        <w:t>VYHODNOCENÍ VYŠŠÍHO RIZIKA KLIENTA PŘED UZAVŘENÍM OBCHODNÍHO VZTAHU NEBO TRANSAKCE</w:t>
      </w:r>
    </w:p>
    <w:p w:rsidR="008119FF" w:rsidRPr="00A614D9" w:rsidRDefault="008119FF" w:rsidP="008119FF">
      <w:pPr>
        <w:pStyle w:val="normal"/>
        <w:widowControl w:val="0"/>
        <w:numPr>
          <w:ilvl w:val="0"/>
          <w:numId w:val="20"/>
        </w:numPr>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 xml:space="preserve">V souladu s § 9 odst. 3 prováděcí vyhlášky je Společnost povinna vždy vyhodnotit klienta jako vysoce rizikového, pokud se u něj vyskytne jeden nebo více faktorů zvýšeného rizika souvisejících s mezinárodními sankcemi </w:t>
      </w:r>
      <w:r w:rsidRPr="00A614D9">
        <w:rPr>
          <w:rFonts w:ascii="Athiti" w:eastAsia="Athiti" w:hAnsi="Athiti" w:cs="Athiti"/>
          <w:b/>
          <w:lang w:val="cs-CZ"/>
        </w:rPr>
        <w:t>(tzv. sankční riziko):</w:t>
      </w:r>
    </w:p>
    <w:p w:rsidR="008119FF" w:rsidRPr="00A614D9" w:rsidRDefault="008119FF" w:rsidP="008119FF">
      <w:pPr>
        <w:pStyle w:val="normal"/>
        <w:widowControl w:val="0"/>
        <w:numPr>
          <w:ilvl w:val="0"/>
          <w:numId w:val="15"/>
        </w:numPr>
        <w:tabs>
          <w:tab w:val="left" w:pos="709"/>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 xml:space="preserve">některá </w:t>
      </w:r>
      <w:r w:rsidRPr="00A614D9">
        <w:rPr>
          <w:rFonts w:ascii="Athiti" w:eastAsia="Athiti" w:hAnsi="Athiti" w:cs="Athiti"/>
          <w:b/>
          <w:lang w:val="cs-CZ"/>
        </w:rPr>
        <w:t>ze zemí původu</w:t>
      </w:r>
      <w:r w:rsidRPr="00A614D9">
        <w:rPr>
          <w:rFonts w:ascii="Athiti" w:eastAsia="Athiti" w:hAnsi="Athiti" w:cs="Athiti"/>
          <w:lang w:val="cs-CZ"/>
        </w:rPr>
        <w:t xml:space="preserve"> klienta, osoby oprávněné s institucí jednat jménem klienta, nebo některá ze zemí původu skutečného majitele klienta, je třetí zemí, která má strategické nedostatky v boji proti legalizaci výnosů z trestné činnosti a pokud domovská země klienta, jeho oprávněného zástupce nebo skutečného majitele patří mezi třetí země s nedostatečnými opatřeními proti praní špinavých peněz a financování terorismu dle přímo použitelného právního předpisu EU, případně je taková země označena FATF jako vysoce riziková, nebo pokud Společnost uzná jiný důvod k jejímu zařazení mezi rizikové,</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 xml:space="preserve">jestliže je klient, jeho zástupce, skutečný majitel nebo jiné osoby ve vlastnické či řídící struktuře uvedeny na oficiálním </w:t>
      </w:r>
      <w:r w:rsidRPr="00A614D9">
        <w:rPr>
          <w:rFonts w:ascii="Athiti" w:eastAsia="Athiti" w:hAnsi="Athiti" w:cs="Athiti"/>
          <w:b/>
          <w:lang w:val="cs-CZ"/>
        </w:rPr>
        <w:t>sankčním seznamu</w:t>
      </w:r>
      <w:r w:rsidRPr="00A614D9">
        <w:rPr>
          <w:rFonts w:ascii="Athiti" w:eastAsia="Athiti" w:hAnsi="Athiti" w:cs="Athiti"/>
          <w:lang w:val="cs-CZ"/>
        </w:rPr>
        <w:t xml:space="preserve"> (např. EU, OSN nebo ČR),</w:t>
      </w:r>
    </w:p>
    <w:p w:rsidR="008119FF" w:rsidRPr="00A614D9" w:rsidRDefault="008119FF" w:rsidP="008119FF">
      <w:pPr>
        <w:pStyle w:val="normal"/>
        <w:widowControl w:val="0"/>
        <w:numPr>
          <w:ilvl w:val="0"/>
          <w:numId w:val="20"/>
        </w:numPr>
        <w:tabs>
          <w:tab w:val="left" w:pos="284"/>
          <w:tab w:val="left" w:pos="9356"/>
        </w:tabs>
        <w:spacing w:before="145" w:after="0" w:line="240" w:lineRule="auto"/>
        <w:ind w:left="426" w:right="4"/>
        <w:rPr>
          <w:rFonts w:ascii="Athiti" w:eastAsia="Athiti" w:hAnsi="Athiti" w:cs="Athiti"/>
          <w:b/>
          <w:lang w:val="cs-CZ"/>
        </w:rPr>
      </w:pPr>
      <w:r w:rsidRPr="00A614D9">
        <w:rPr>
          <w:rFonts w:ascii="Athiti" w:eastAsia="Athiti" w:hAnsi="Athiti" w:cs="Athiti"/>
          <w:lang w:val="cs-CZ"/>
        </w:rPr>
        <w:t>Společnost podle uvedeného ustanovení sleduje u klientů dvě klíčové</w:t>
      </w:r>
      <w:r w:rsidRPr="00A614D9">
        <w:rPr>
          <w:rFonts w:ascii="Athiti" w:eastAsia="Athiti" w:hAnsi="Athiti" w:cs="Athiti"/>
          <w:b/>
          <w:lang w:val="cs-CZ"/>
        </w:rPr>
        <w:t xml:space="preserve"> oblasti zvýšeného rizika:</w:t>
      </w:r>
    </w:p>
    <w:p w:rsidR="008119FF" w:rsidRPr="00A614D9" w:rsidRDefault="008119FF" w:rsidP="008119FF">
      <w:pPr>
        <w:pStyle w:val="normal"/>
        <w:widowControl w:val="0"/>
        <w:numPr>
          <w:ilvl w:val="0"/>
          <w:numId w:val="15"/>
        </w:numPr>
        <w:tabs>
          <w:tab w:val="left" w:pos="709"/>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zařazení na sankční seznamy Evropské unie, OSN nebo České republiky,</w:t>
      </w:r>
    </w:p>
    <w:p w:rsidR="008119FF" w:rsidRPr="00A614D9" w:rsidRDefault="008119FF" w:rsidP="008119FF">
      <w:pPr>
        <w:pStyle w:val="normal"/>
        <w:widowControl w:val="0"/>
        <w:numPr>
          <w:ilvl w:val="0"/>
          <w:numId w:val="15"/>
        </w:numPr>
        <w:tabs>
          <w:tab w:val="left" w:pos="709"/>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původ ze státu označeného jako vysoce riziková jurisdikce.</w:t>
      </w:r>
    </w:p>
    <w:p w:rsidR="008119FF" w:rsidRPr="00A614D9" w:rsidRDefault="008119FF" w:rsidP="008119FF">
      <w:pPr>
        <w:pStyle w:val="normal"/>
        <w:widowControl w:val="0"/>
        <w:tabs>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Toto riziko je nutné vždy ověřit v souladu s § 7 a § 8 odst. 8 a 9 AML zákona, a to při:</w:t>
      </w:r>
    </w:p>
    <w:p w:rsidR="008119FF" w:rsidRPr="00A614D9" w:rsidRDefault="008119FF" w:rsidP="008119FF">
      <w:pPr>
        <w:pStyle w:val="normal"/>
        <w:widowControl w:val="0"/>
        <w:numPr>
          <w:ilvl w:val="0"/>
          <w:numId w:val="15"/>
        </w:numPr>
        <w:tabs>
          <w:tab w:val="left" w:pos="709"/>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plánované transakci přesahující hodnotu 1 000 eur,</w:t>
      </w:r>
    </w:p>
    <w:p w:rsidR="008119FF" w:rsidRPr="00A614D9" w:rsidRDefault="008119FF" w:rsidP="008119FF">
      <w:pPr>
        <w:pStyle w:val="normal"/>
        <w:widowControl w:val="0"/>
        <w:numPr>
          <w:ilvl w:val="0"/>
          <w:numId w:val="15"/>
        </w:numPr>
        <w:tabs>
          <w:tab w:val="left" w:pos="709"/>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navázání obchodního vztahu s klientem,</w:t>
      </w:r>
    </w:p>
    <w:p w:rsidR="008119FF" w:rsidRPr="00A614D9" w:rsidRDefault="008119FF" w:rsidP="008119FF">
      <w:pPr>
        <w:pStyle w:val="normal"/>
        <w:widowControl w:val="0"/>
        <w:numPr>
          <w:ilvl w:val="0"/>
          <w:numId w:val="15"/>
        </w:numPr>
        <w:tabs>
          <w:tab w:val="left" w:pos="709"/>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vzniku podezření nebo samotném výskytu podezřelého obchodu.</w:t>
      </w:r>
    </w:p>
    <w:p w:rsidR="008119FF" w:rsidRPr="00A614D9" w:rsidRDefault="008119FF" w:rsidP="008119FF">
      <w:pPr>
        <w:pStyle w:val="normal"/>
        <w:widowControl w:val="0"/>
        <w:tabs>
          <w:tab w:val="left" w:pos="709"/>
          <w:tab w:val="left" w:pos="9356"/>
        </w:tabs>
        <w:spacing w:before="145" w:after="0" w:line="240" w:lineRule="auto"/>
        <w:ind w:left="284" w:right="4"/>
        <w:rPr>
          <w:rFonts w:ascii="Athiti" w:eastAsia="Athiti" w:hAnsi="Athiti" w:cs="Athiti"/>
          <w:b/>
          <w:lang w:val="cs-CZ"/>
        </w:rPr>
      </w:pPr>
      <w:r w:rsidRPr="00A614D9">
        <w:rPr>
          <w:rFonts w:ascii="Athiti" w:eastAsia="Athiti" w:hAnsi="Athiti" w:cs="Athiti"/>
          <w:lang w:val="cs-CZ"/>
        </w:rPr>
        <w:t>Společnost</w:t>
      </w:r>
      <w:r w:rsidRPr="00A614D9">
        <w:rPr>
          <w:rFonts w:ascii="Athiti" w:eastAsia="Athiti" w:hAnsi="Athiti" w:cs="Athiti"/>
          <w:b/>
          <w:lang w:val="cs-CZ"/>
        </w:rPr>
        <w:t xml:space="preserve"> provádí tyto kontroly prostřednictvím automatizovaného nástroje SumSub, který ověřuje a zaznamenává:</w:t>
      </w:r>
    </w:p>
    <w:p w:rsidR="008119FF" w:rsidRPr="00A614D9" w:rsidRDefault="008119FF" w:rsidP="008119FF">
      <w:pPr>
        <w:pStyle w:val="normal"/>
        <w:widowControl w:val="0"/>
        <w:numPr>
          <w:ilvl w:val="0"/>
          <w:numId w:val="15"/>
        </w:numPr>
        <w:tabs>
          <w:tab w:val="left" w:pos="709"/>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samotného klienta,</w:t>
      </w:r>
    </w:p>
    <w:p w:rsidR="008119FF" w:rsidRPr="00A614D9" w:rsidRDefault="008119FF" w:rsidP="008119FF">
      <w:pPr>
        <w:pStyle w:val="normal"/>
        <w:widowControl w:val="0"/>
        <w:numPr>
          <w:ilvl w:val="0"/>
          <w:numId w:val="15"/>
        </w:numPr>
        <w:tabs>
          <w:tab w:val="left" w:pos="709"/>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zástupce jednajícího za klienta,</w:t>
      </w:r>
    </w:p>
    <w:p w:rsidR="008119FF" w:rsidRPr="00A614D9" w:rsidRDefault="008119FF" w:rsidP="008119FF">
      <w:pPr>
        <w:pStyle w:val="normal"/>
        <w:widowControl w:val="0"/>
        <w:numPr>
          <w:ilvl w:val="0"/>
          <w:numId w:val="15"/>
        </w:numPr>
        <w:tabs>
          <w:tab w:val="left" w:pos="709"/>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skutečného majitele, pokud je znám,</w:t>
      </w:r>
    </w:p>
    <w:p w:rsidR="008119FF" w:rsidRPr="00A614D9" w:rsidRDefault="008119FF" w:rsidP="008119FF">
      <w:pPr>
        <w:pStyle w:val="normal"/>
        <w:widowControl w:val="0"/>
        <w:numPr>
          <w:ilvl w:val="0"/>
          <w:numId w:val="15"/>
        </w:numPr>
        <w:tabs>
          <w:tab w:val="left" w:pos="709"/>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další osoby ve vlastnické nebo řídicí struktuře, jsou-li identifikovatelné (blíže viz odst. 6).</w:t>
      </w:r>
    </w:p>
    <w:p w:rsidR="008119FF" w:rsidRPr="00A614D9" w:rsidRDefault="008119FF" w:rsidP="008119FF">
      <w:pPr>
        <w:pStyle w:val="normal"/>
        <w:widowControl w:val="0"/>
        <w:tabs>
          <w:tab w:val="left" w:pos="709"/>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Hlavním cílem je dle § 8 odst. 8 AML zákona prověřit, zda žádná z těchto osob není subjektem mezinárodních sankcí uplatňovaných Českou republikou, a v případě zjištění vazby na rizikovou jurisdikci přijmout odpovídající opatření.</w:t>
      </w:r>
    </w:p>
    <w:p w:rsidR="008119FF" w:rsidRPr="00A614D9" w:rsidRDefault="008119FF" w:rsidP="008119FF">
      <w:pPr>
        <w:pStyle w:val="normal"/>
        <w:widowControl w:val="0"/>
        <w:numPr>
          <w:ilvl w:val="0"/>
          <w:numId w:val="20"/>
        </w:numPr>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Pokud dojde k poruše nebo nedostupnosti automatizovaného systému, provádí se kontrola klientů – a v případě potřeby také zaměstnanců, spolupracovníků a externích obchodních partnerů (viz kapitola 10) – ručně prostřednictvím sankčních seznamů dostupných na oficiálních internetových stránkách:</w:t>
      </w:r>
    </w:p>
    <w:p w:rsidR="008119FF" w:rsidRPr="00A614D9" w:rsidRDefault="008119FF" w:rsidP="008119FF">
      <w:pPr>
        <w:pStyle w:val="normal"/>
        <w:widowControl w:val="0"/>
        <w:numPr>
          <w:ilvl w:val="0"/>
          <w:numId w:val="20"/>
        </w:numPr>
        <w:tabs>
          <w:tab w:val="left" w:pos="284"/>
          <w:tab w:val="left" w:pos="9356"/>
        </w:tabs>
        <w:spacing w:before="145" w:after="0" w:line="240" w:lineRule="auto"/>
        <w:ind w:left="284" w:right="4"/>
        <w:rPr>
          <w:rFonts w:ascii="Athiti" w:eastAsia="Athiti" w:hAnsi="Athiti" w:cs="Athiti"/>
          <w:lang w:val="cs-CZ"/>
        </w:rPr>
      </w:pPr>
    </w:p>
    <w:p w:rsidR="008119FF" w:rsidRPr="00A614D9" w:rsidRDefault="008119FF" w:rsidP="008119FF">
      <w:pPr>
        <w:pStyle w:val="normal"/>
        <w:widowControl w:val="0"/>
        <w:numPr>
          <w:ilvl w:val="0"/>
          <w:numId w:val="17"/>
        </w:numPr>
        <w:tabs>
          <w:tab w:val="left" w:pos="426"/>
          <w:tab w:val="left" w:pos="9356"/>
        </w:tabs>
        <w:spacing w:before="145" w:after="0" w:line="240" w:lineRule="auto"/>
        <w:ind w:left="709" w:right="4" w:hanging="283"/>
        <w:rPr>
          <w:rFonts w:ascii="Athiti" w:eastAsia="Athiti" w:hAnsi="Athiti" w:cs="Athiti"/>
          <w:lang w:val="cs-CZ"/>
        </w:rPr>
      </w:pPr>
      <w:r w:rsidRPr="00A614D9">
        <w:rPr>
          <w:rFonts w:ascii="Athiti" w:eastAsia="Athiti" w:hAnsi="Athiti" w:cs="Athiti"/>
          <w:b/>
          <w:lang w:val="cs-CZ"/>
        </w:rPr>
        <w:t>EU Sanctions Helpdesk</w:t>
      </w:r>
      <w:r w:rsidRPr="00A614D9">
        <w:rPr>
          <w:rFonts w:ascii="Athiti" w:eastAsia="Athiti" w:hAnsi="Athiti" w:cs="Athiti"/>
          <w:lang w:val="cs-CZ"/>
        </w:rPr>
        <w:t>:</w:t>
      </w:r>
      <w:hyperlink r:id="rId11">
        <w:r w:rsidRPr="00A614D9">
          <w:rPr>
            <w:rFonts w:ascii="Athiti" w:eastAsia="Athiti" w:hAnsi="Athiti" w:cs="Athiti"/>
            <w:lang w:val="cs-CZ"/>
          </w:rPr>
          <w:t xml:space="preserve"> </w:t>
        </w:r>
      </w:hyperlink>
      <w:hyperlink r:id="rId12">
        <w:r w:rsidRPr="00A614D9">
          <w:rPr>
            <w:rFonts w:ascii="Athiti" w:eastAsia="Athiti" w:hAnsi="Athiti" w:cs="Athiti"/>
            <w:color w:val="1155CC"/>
            <w:u w:val="single"/>
            <w:lang w:val="cs-CZ"/>
          </w:rPr>
          <w:t>https://eu-sanctions-compliance-helpdesk.europa.eu</w:t>
        </w:r>
      </w:hyperlink>
      <w:r w:rsidRPr="00A614D9">
        <w:rPr>
          <w:rFonts w:ascii="Athiti" w:eastAsia="Athiti" w:hAnsi="Athiti" w:cs="Athiti"/>
          <w:lang w:val="cs-CZ"/>
        </w:rPr>
        <w:t xml:space="preserve"> – v sekci „Resources“ pod záložkou „Sanction Lists and Tools“ je dostupný odkaz na aktuální seznamy sankcí vydaných Evropskou unií, včetně tzv. EU Sanction Map, která přehledně zobrazuje všechny sankční režimy.</w:t>
      </w:r>
    </w:p>
    <w:p w:rsidR="008119FF" w:rsidRPr="00A614D9" w:rsidRDefault="008119FF" w:rsidP="008119FF">
      <w:pPr>
        <w:pStyle w:val="normal"/>
        <w:widowControl w:val="0"/>
        <w:numPr>
          <w:ilvl w:val="0"/>
          <w:numId w:val="17"/>
        </w:numPr>
        <w:tabs>
          <w:tab w:val="left" w:pos="426"/>
          <w:tab w:val="left" w:pos="9356"/>
        </w:tabs>
        <w:spacing w:before="145" w:after="0" w:line="240" w:lineRule="auto"/>
        <w:ind w:left="709" w:right="4" w:hanging="283"/>
        <w:rPr>
          <w:rFonts w:ascii="Athiti" w:eastAsia="Athiti" w:hAnsi="Athiti" w:cs="Athiti"/>
          <w:lang w:val="cs-CZ"/>
        </w:rPr>
      </w:pPr>
      <w:r w:rsidRPr="00A614D9">
        <w:rPr>
          <w:rFonts w:ascii="Athiti" w:eastAsia="Athiti" w:hAnsi="Athiti" w:cs="Athiti"/>
          <w:b/>
          <w:lang w:val="cs-CZ"/>
        </w:rPr>
        <w:t>Ministerstvo zahraničních věcí ČR</w:t>
      </w:r>
      <w:r w:rsidRPr="00A614D9">
        <w:rPr>
          <w:rFonts w:ascii="Athiti" w:eastAsia="Athiti" w:hAnsi="Athiti" w:cs="Athiti"/>
          <w:lang w:val="cs-CZ"/>
        </w:rPr>
        <w:t>:</w:t>
      </w:r>
      <w:hyperlink r:id="rId13">
        <w:r w:rsidRPr="00A614D9">
          <w:rPr>
            <w:rFonts w:ascii="Athiti" w:eastAsia="Athiti" w:hAnsi="Athiti" w:cs="Athiti"/>
            <w:lang w:val="cs-CZ"/>
          </w:rPr>
          <w:t xml:space="preserve"> </w:t>
        </w:r>
      </w:hyperlink>
      <w:hyperlink r:id="rId14">
        <w:r w:rsidRPr="00A614D9">
          <w:rPr>
            <w:rFonts w:ascii="Athiti" w:eastAsia="Athiti" w:hAnsi="Athiti" w:cs="Athiti"/>
            <w:color w:val="1155CC"/>
            <w:u w:val="single"/>
            <w:lang w:val="cs-CZ"/>
          </w:rPr>
          <w:t>https://mzv.gov.cz/jnp/cz/zahranicni_vztahy/sankcni_politika/sankcni_seznam_cr/index.html</w:t>
        </w:r>
      </w:hyperlink>
      <w:r w:rsidRPr="00A614D9">
        <w:rPr>
          <w:rFonts w:ascii="Athiti" w:eastAsia="Athiti" w:hAnsi="Athiti" w:cs="Athiti"/>
          <w:lang w:val="cs-CZ"/>
        </w:rPr>
        <w:t xml:space="preserve"> – zde je k dispozici oficiální sankční seznam České republiky.</w:t>
      </w:r>
    </w:p>
    <w:p w:rsidR="008119FF" w:rsidRPr="00A614D9" w:rsidRDefault="008119FF" w:rsidP="008119FF">
      <w:pPr>
        <w:pStyle w:val="normal"/>
        <w:widowControl w:val="0"/>
        <w:numPr>
          <w:ilvl w:val="0"/>
          <w:numId w:val="17"/>
        </w:numPr>
        <w:tabs>
          <w:tab w:val="left" w:pos="426"/>
          <w:tab w:val="left" w:pos="9356"/>
        </w:tabs>
        <w:spacing w:before="145" w:after="0" w:line="240" w:lineRule="auto"/>
        <w:ind w:left="709" w:right="4" w:hanging="283"/>
        <w:rPr>
          <w:rFonts w:ascii="Athiti" w:eastAsia="Athiti" w:hAnsi="Athiti" w:cs="Athiti"/>
          <w:lang w:val="cs-CZ"/>
        </w:rPr>
      </w:pPr>
      <w:r w:rsidRPr="00A614D9">
        <w:rPr>
          <w:rFonts w:ascii="Athiti" w:eastAsia="Athiti" w:hAnsi="Athiti" w:cs="Athiti"/>
          <w:b/>
          <w:lang w:val="cs-CZ"/>
        </w:rPr>
        <w:t>Finanční analytický úřad (FAÚ)</w:t>
      </w:r>
      <w:r w:rsidRPr="00A614D9">
        <w:rPr>
          <w:rFonts w:ascii="Athiti" w:eastAsia="Athiti" w:hAnsi="Athiti" w:cs="Athiti"/>
          <w:lang w:val="cs-CZ"/>
        </w:rPr>
        <w:t>:</w:t>
      </w:r>
      <w:hyperlink r:id="rId15" w:anchor="vysoce-rizikove-treti-zeme">
        <w:r w:rsidRPr="00A614D9">
          <w:rPr>
            <w:rFonts w:ascii="Athiti" w:eastAsia="Athiti" w:hAnsi="Athiti" w:cs="Athiti"/>
            <w:lang w:val="cs-CZ"/>
          </w:rPr>
          <w:t xml:space="preserve"> </w:t>
        </w:r>
      </w:hyperlink>
      <w:hyperlink r:id="rId16" w:anchor="vysoce-rizikove-treti-zeme">
        <w:r w:rsidRPr="00A614D9">
          <w:rPr>
            <w:rFonts w:ascii="Athiti" w:eastAsia="Athiti" w:hAnsi="Athiti" w:cs="Athiti"/>
            <w:color w:val="1155CC"/>
            <w:u w:val="single"/>
            <w:lang w:val="cs-CZ"/>
          </w:rPr>
          <w:t>https://fau.gov.cz/stanoviska-fau#vysoce-rizikove-treti-zeme</w:t>
        </w:r>
      </w:hyperlink>
      <w:r w:rsidRPr="00A614D9">
        <w:rPr>
          <w:rFonts w:ascii="Athiti" w:eastAsia="Athiti" w:hAnsi="Athiti" w:cs="Athiti"/>
          <w:lang w:val="cs-CZ"/>
        </w:rPr>
        <w:t xml:space="preserve"> – na této stránce lze najít seznam třetích zemí, které jsou považovány za vysoce rizikové z hlediska opatření proti legalizaci výnosů z trestné činnosti a financování terorismu.</w:t>
      </w:r>
    </w:p>
    <w:p w:rsidR="008119FF" w:rsidRPr="00A614D9" w:rsidRDefault="008119FF" w:rsidP="008119FF">
      <w:pPr>
        <w:pStyle w:val="normal"/>
        <w:widowControl w:val="0"/>
        <w:numPr>
          <w:ilvl w:val="0"/>
          <w:numId w:val="20"/>
        </w:numPr>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Sankční seznamy uvedené na výše zmíněných stránkách poskytují klíčové identifikační údaje – u fyzických osob například jméno, datum narození a adresu bydliště, u právnických osob pak obchodní název a sídlo. Při ruční kontrole je nezbytné tyto informace důkladně vyhodnotit ve vzájemných souvislostech a v souladu s postupem popsaným v kapitole 7 odst. 2. Cílem je přijmout kvalifikované rozhodnutí, zda konkrétní osoba nebo subjekt skutečně představuje sankční riziko.</w:t>
      </w:r>
    </w:p>
    <w:p w:rsidR="008119FF" w:rsidRPr="00A614D9" w:rsidRDefault="008119FF" w:rsidP="008119FF">
      <w:pPr>
        <w:pStyle w:val="normal"/>
        <w:widowControl w:val="0"/>
        <w:numPr>
          <w:ilvl w:val="0"/>
          <w:numId w:val="20"/>
        </w:numPr>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Pokud je (potenciálním) klientem právnická osoba, je Společnost povinna podle § 9 odst. 2 písm. b) AML zákona identifikovat jejího skutečného majitele, a to prostřednictvím ověřených a důvěryhodných zdrojů. V případech, kdy má klient povinnost být zapsán v evidenci skutečných majitelů nebo obdobném registru, provádí se ověření vždy alespoň pomocí tohoto registru a zároveň ještě jednoho nezávislého zdroje. Při tomto postupu se Společnost řídí Metodickým pokynem FAÚ č. 3.</w:t>
      </w:r>
    </w:p>
    <w:p w:rsidR="008119FF" w:rsidRPr="00A614D9" w:rsidRDefault="008119FF" w:rsidP="008119FF">
      <w:pPr>
        <w:pStyle w:val="normal"/>
        <w:widowControl w:val="0"/>
        <w:numPr>
          <w:ilvl w:val="0"/>
          <w:numId w:val="20"/>
        </w:numPr>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Pokud je (potenciálním) klientem právnická osoba nebo svěřenský fond, má Společnost podle § 9 odst. 2 písm. c) AML zákona povinnost získat informace o jeho vlastnické a řídicí struktuře.</w:t>
      </w:r>
    </w:p>
    <w:p w:rsidR="008119FF" w:rsidRPr="00A614D9" w:rsidRDefault="008119FF" w:rsidP="008119FF">
      <w:pPr>
        <w:pStyle w:val="normal"/>
        <w:widowControl w:val="0"/>
        <w:numPr>
          <w:ilvl w:val="0"/>
          <w:numId w:val="20"/>
        </w:numPr>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b/>
          <w:lang w:val="cs-CZ"/>
        </w:rPr>
        <w:t>Pokud se během prověřování zjistí, že některá z osob uvedených v odstavci 2 je vedena v sankčních seznamech EU, OSN nebo ČR, je to považováno za nepřijatelné riziko</w:t>
      </w:r>
      <w:r w:rsidRPr="00A614D9">
        <w:rPr>
          <w:rFonts w:ascii="Athiti" w:eastAsia="Athiti" w:hAnsi="Athiti" w:cs="Athiti"/>
          <w:lang w:val="cs-CZ"/>
        </w:rPr>
        <w:t>. V takovém případě Společnost buď odmítne navázat obchodní vztah, nebo bez prodlení ukončí již existující spolupráci. Požadovaná transakce se tedy neuskuteční. Klienti jsou o této skutečnosti předem informováni prostřednictvím Všeobecných obchodních podmínek.</w:t>
      </w:r>
    </w:p>
    <w:p w:rsidR="008119FF" w:rsidRPr="00A614D9" w:rsidRDefault="008119FF" w:rsidP="008119FF">
      <w:pPr>
        <w:pStyle w:val="normal"/>
        <w:widowControl w:val="0"/>
        <w:numPr>
          <w:ilvl w:val="0"/>
          <w:numId w:val="20"/>
        </w:numPr>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b/>
          <w:lang w:val="cs-CZ"/>
        </w:rPr>
        <w:t>Pokud je identifikováno riziko spojené se zemí původu klienta, která je považována za vysoce rizikovou jurisdikci, je dle § 9 odst. 1 bod 3 AML zákona nutné provést důkladnou kontrolu klienta.</w:t>
      </w:r>
      <w:r w:rsidRPr="00A614D9">
        <w:rPr>
          <w:rFonts w:ascii="Athiti" w:eastAsia="Athiti" w:hAnsi="Athiti" w:cs="Athiti"/>
          <w:lang w:val="cs-CZ"/>
        </w:rPr>
        <w:t xml:space="preserve"> V případě, že při této kontrole nejsou zjištěny žádné další rizikové faktory (například že není možné kontrolu reálně a účinně dokončit) a zároveň se nejedná o podezřelý obchod, může AML Officer – po získání souhlasu vedení – povolit, aby klient zůstal v portfoliu, ovšem za podmínky zesíleného monitorování během trvání obchodního vztahu. V opačném případě rozhoduje AML Officer bezodkladně o tom, zda obchod oznámit jako podezřelý, případně o odmítnutí či okamžitém ukončení obchodního vztahu.</w:t>
      </w:r>
    </w:p>
    <w:p w:rsidR="008119FF" w:rsidRPr="00A614D9" w:rsidRDefault="008119FF" w:rsidP="008119FF">
      <w:pPr>
        <w:pStyle w:val="normal"/>
        <w:widowControl w:val="0"/>
        <w:numPr>
          <w:ilvl w:val="0"/>
          <w:numId w:val="20"/>
        </w:numPr>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Každá hloubková kontrola musí být vedena v souladu se zásadou přístupu založeného na míře rizika (</w:t>
      </w:r>
      <w:r w:rsidRPr="00A614D9">
        <w:rPr>
          <w:rFonts w:ascii="Athiti" w:eastAsia="Athiti" w:hAnsi="Athiti" w:cs="Athiti"/>
          <w:b/>
          <w:lang w:val="cs-CZ"/>
        </w:rPr>
        <w:t>„risk-based approach“, RBA</w:t>
      </w:r>
      <w:r w:rsidRPr="00A614D9">
        <w:rPr>
          <w:rFonts w:ascii="Athiti" w:eastAsia="Athiti" w:hAnsi="Athiti" w:cs="Athiti"/>
          <w:lang w:val="cs-CZ"/>
        </w:rPr>
        <w:t xml:space="preserve">). To znamená, že čím vyšší je rizikovost konkrétního případu, tím intenzivnější a důkladnější musí být sledování a vyhodnocování </w:t>
      </w:r>
      <w:r w:rsidRPr="00A614D9">
        <w:rPr>
          <w:rFonts w:ascii="Athiti" w:eastAsia="Athiti" w:hAnsi="Athiti" w:cs="Athiti"/>
          <w:lang w:val="cs-CZ"/>
        </w:rPr>
        <w:lastRenderedPageBreak/>
        <w:t>obchodního vztahu. V situacích, kdy vzniknou pochybnosti, se doporučuje postupovat podle metodických pokynů FAÚ (zejména Pokyn č. 1) a v případě potřeby využít i Sankční helpdesk EU:</w:t>
      </w:r>
      <w:hyperlink r:id="rId17">
        <w:r w:rsidRPr="00A614D9">
          <w:rPr>
            <w:rFonts w:ascii="Athiti" w:eastAsia="Athiti" w:hAnsi="Athiti" w:cs="Athiti"/>
            <w:lang w:val="cs-CZ"/>
          </w:rPr>
          <w:t xml:space="preserve"> </w:t>
        </w:r>
      </w:hyperlink>
      <w:hyperlink r:id="rId18">
        <w:r w:rsidRPr="00A614D9">
          <w:rPr>
            <w:rFonts w:ascii="Athiti" w:eastAsia="Athiti" w:hAnsi="Athiti" w:cs="Athiti"/>
            <w:color w:val="1155CC"/>
            <w:u w:val="single"/>
            <w:lang w:val="cs-CZ"/>
          </w:rPr>
          <w:t>https://fau.gov.cz/blog/sankcni-helpdesk-eu</w:t>
        </w:r>
      </w:hyperlink>
      <w:r w:rsidRPr="00A614D9">
        <w:rPr>
          <w:rFonts w:ascii="Athiti" w:eastAsia="Athiti" w:hAnsi="Athiti" w:cs="Athiti"/>
          <w:lang w:val="cs-CZ"/>
        </w:rPr>
        <w:t>.</w:t>
      </w:r>
    </w:p>
    <w:p w:rsidR="008119FF" w:rsidRPr="00A614D9" w:rsidRDefault="008119FF" w:rsidP="008119FF">
      <w:pPr>
        <w:pStyle w:val="normal"/>
        <w:widowControl w:val="0"/>
        <w:tabs>
          <w:tab w:val="left" w:pos="426"/>
          <w:tab w:val="left" w:pos="9356"/>
        </w:tabs>
        <w:spacing w:before="145" w:after="0" w:line="240" w:lineRule="auto"/>
        <w:ind w:right="376"/>
        <w:rPr>
          <w:rFonts w:ascii="Athiti" w:eastAsia="Athiti" w:hAnsi="Athiti" w:cs="Athiti"/>
          <w:sz w:val="22"/>
          <w:szCs w:val="22"/>
          <w:lang w:val="cs-CZ"/>
        </w:rPr>
      </w:pPr>
    </w:p>
    <w:p w:rsidR="008119FF" w:rsidRPr="00A614D9" w:rsidRDefault="008119FF" w:rsidP="008119FF">
      <w:pPr>
        <w:pStyle w:val="Nadpis1"/>
        <w:keepNext w:val="0"/>
        <w:keepLines w:val="0"/>
        <w:widowControl w:val="0"/>
        <w:numPr>
          <w:ilvl w:val="0"/>
          <w:numId w:val="18"/>
        </w:numPr>
        <w:tabs>
          <w:tab w:val="left" w:pos="713"/>
          <w:tab w:val="left" w:pos="9356"/>
        </w:tabs>
        <w:spacing w:before="0" w:after="0" w:line="240" w:lineRule="auto"/>
        <w:ind w:left="1276" w:hanging="556"/>
        <w:rPr>
          <w:rFonts w:ascii="Athiti" w:eastAsia="Athiti" w:hAnsi="Athiti" w:cs="Athiti"/>
          <w:color w:val="2C74B5"/>
          <w:sz w:val="32"/>
          <w:szCs w:val="32"/>
          <w:lang w:val="cs-CZ"/>
        </w:rPr>
      </w:pPr>
      <w:r w:rsidRPr="00A614D9">
        <w:rPr>
          <w:rFonts w:ascii="Athiti" w:eastAsia="Athiti" w:hAnsi="Athiti" w:cs="Athiti"/>
          <w:color w:val="2C74B5"/>
          <w:sz w:val="32"/>
          <w:szCs w:val="32"/>
          <w:lang w:val="cs-CZ"/>
        </w:rPr>
        <w:t>VYHODNOCENÍ ZVÝŠENÉHO RIZIKA KLIENTA BĚHEM TRVÁNÍ OBCHODNÍHO VZTAHU</w:t>
      </w:r>
    </w:p>
    <w:p w:rsidR="008119FF" w:rsidRPr="00A614D9" w:rsidRDefault="008119FF" w:rsidP="008119FF">
      <w:pPr>
        <w:pStyle w:val="normal"/>
        <w:widowControl w:val="0"/>
        <w:numPr>
          <w:ilvl w:val="0"/>
          <w:numId w:val="12"/>
        </w:numPr>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 xml:space="preserve">Společnost pokračuje ve vyhodnocování rizik i po navázání obchodního vztahu. V souladu s kapitolou 6 odst. 2 provádí opakovanou kontrolu klientů i souvisejících osob, a to se zaměřením na jejich přítomnost v sankčních seznamech nebo na původ ze států s vysokým rizikem. Tyto úkony jsou součástí kontinuálního </w:t>
      </w:r>
      <w:r w:rsidRPr="00A614D9">
        <w:rPr>
          <w:rFonts w:ascii="Athiti" w:eastAsia="Athiti" w:hAnsi="Athiti" w:cs="Athiti"/>
          <w:b/>
          <w:lang w:val="cs-CZ"/>
        </w:rPr>
        <w:t xml:space="preserve">transakčního monitoringu. </w:t>
      </w:r>
      <w:r w:rsidRPr="00A614D9">
        <w:rPr>
          <w:rFonts w:ascii="Athiti" w:eastAsia="Athiti" w:hAnsi="Athiti" w:cs="Athiti"/>
          <w:lang w:val="cs-CZ"/>
        </w:rPr>
        <w:t xml:space="preserve">Sledování probíhá na úrovni jednotlivých operací, ať už se jedná o směny kryptoaktiv, převody finančních prostředků, hotovostní platby nebo jakékoli jiné transakce spojené s poskytováním služeb v oblasti kryptoaktiv. </w:t>
      </w:r>
    </w:p>
    <w:p w:rsidR="008119FF" w:rsidRPr="00A614D9" w:rsidRDefault="008119FF" w:rsidP="008119FF">
      <w:pPr>
        <w:pStyle w:val="normal"/>
        <w:widowControl w:val="0"/>
        <w:numPr>
          <w:ilvl w:val="0"/>
          <w:numId w:val="12"/>
        </w:numPr>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Veškeré informace zjištěné při identifikaci a kontrole klienta jsou při transakčním monitoringu zohledňovány, neboť transakční monitoring mj. v souladu s benchmarkem ČNB zohledňuje, zda transakce odpovídají deklarovanému profilu zákazníka (tedy monitoruje se např., zda transakce nejsou realizovány vůči jiné než klientem.</w:t>
      </w:r>
    </w:p>
    <w:p w:rsidR="008119FF" w:rsidRPr="00A614D9" w:rsidRDefault="008119FF" w:rsidP="008119FF">
      <w:pPr>
        <w:pStyle w:val="normal"/>
        <w:widowControl w:val="0"/>
        <w:numPr>
          <w:ilvl w:val="0"/>
          <w:numId w:val="12"/>
        </w:numPr>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Informace získané během úvodní identifikace a kontroly klienta jsou dále zohledňovány při transakčním monitoringu. Ten je veden v souladu s benchmarkem ČNB a sleduje, zda jednotlivé transakce odpovídají předem deklarovanému profilu klienta (například se ověřuje, zda nejsou směrovány do jiných zemí, než jaké klient uvedl). Cílem je odhalit potenciální sankční rizika. Zjištěné údaje, včetně případných varovných signálů, jsou použity při posouzení, zda daný obchod vykazuje znaky podezřelé transakce – což vždy platí, pokud je klient uveden na sankčním seznamu (viz kapitola 3). Pokud se takový případ vyskytne, AML Officer okamžitě rozhodne o dalším postupu – a to buď o oznámení podezřelého obchodu, nebo o odmítnutí či ukončení obchodního vztahu. Se sankcionovanou osobou není dovoleno realizovat žádné další transakce.</w:t>
      </w:r>
    </w:p>
    <w:p w:rsidR="008119FF" w:rsidRPr="00A614D9" w:rsidRDefault="008119FF" w:rsidP="008119FF">
      <w:pPr>
        <w:pStyle w:val="normal"/>
        <w:widowControl w:val="0"/>
        <w:numPr>
          <w:ilvl w:val="0"/>
          <w:numId w:val="12"/>
        </w:numPr>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 xml:space="preserve">Pokud klient pochází ze země považované za vysoce rizikovou, musí být provedena důkladná kontrola, během níž se posuzují všechny dostupné informace v jejich kontextu. Na základě toho je třeba podle postupu uvedeného v kapitole 6 odst. 8 rozhodnout, zda se jedná o podezřelou transakci, a zda je nutné obchodní vztah okamžitě ukončit. </w:t>
      </w:r>
    </w:p>
    <w:p w:rsidR="008119FF" w:rsidRPr="00A614D9" w:rsidRDefault="008119FF" w:rsidP="008119FF">
      <w:pPr>
        <w:pStyle w:val="normal"/>
        <w:widowControl w:val="0"/>
        <w:numPr>
          <w:ilvl w:val="0"/>
          <w:numId w:val="12"/>
        </w:numPr>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 xml:space="preserve">Při vyhodnocování veškerých dostupných údajů o klientovi a jeho transakcích za účelem posouzení možných rizik, a tedy i určení, zda se jedná o podezřelý obchod, se vždy postupuje podle </w:t>
      </w:r>
      <w:r w:rsidRPr="00A614D9">
        <w:rPr>
          <w:rFonts w:ascii="Athiti" w:eastAsia="Athiti" w:hAnsi="Athiti" w:cs="Athiti"/>
          <w:b/>
          <w:lang w:val="cs-CZ"/>
        </w:rPr>
        <w:t xml:space="preserve">zásady „risk-based approach“ (RBA) a podle hodnocení rizik </w:t>
      </w:r>
      <w:r w:rsidRPr="00A614D9">
        <w:rPr>
          <w:rFonts w:ascii="Athiti" w:eastAsia="Athiti" w:hAnsi="Athiti" w:cs="Athiti"/>
          <w:lang w:val="cs-CZ"/>
        </w:rPr>
        <w:t>zpracovaného v souladu s § 5 prováděcí vyhlášky. Toto hodnocení zohledňuje zejména:</w:t>
      </w:r>
    </w:p>
    <w:p w:rsidR="008119FF" w:rsidRPr="00A614D9" w:rsidRDefault="008119FF" w:rsidP="008119FF">
      <w:pPr>
        <w:pStyle w:val="normal"/>
        <w:widowControl w:val="0"/>
        <w:numPr>
          <w:ilvl w:val="0"/>
          <w:numId w:val="13"/>
        </w:numPr>
        <w:tabs>
          <w:tab w:val="left" w:pos="855"/>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charakter obchodní činnosti Společnosti,</w:t>
      </w:r>
    </w:p>
    <w:p w:rsidR="008119FF" w:rsidRPr="00A614D9" w:rsidRDefault="008119FF" w:rsidP="008119FF">
      <w:pPr>
        <w:pStyle w:val="normal"/>
        <w:widowControl w:val="0"/>
        <w:numPr>
          <w:ilvl w:val="0"/>
          <w:numId w:val="13"/>
        </w:numPr>
        <w:tabs>
          <w:tab w:val="left" w:pos="855"/>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nabízené produkty a služby a jejich případné zneužití pro praní špinavých peněz či financování terorismu,</w:t>
      </w:r>
    </w:p>
    <w:p w:rsidR="008119FF" w:rsidRPr="00A614D9" w:rsidRDefault="008119FF" w:rsidP="008119FF">
      <w:pPr>
        <w:pStyle w:val="normal"/>
        <w:widowControl w:val="0"/>
        <w:numPr>
          <w:ilvl w:val="0"/>
          <w:numId w:val="13"/>
        </w:numPr>
        <w:tabs>
          <w:tab w:val="left" w:pos="855"/>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technologická rizika související s používáním nových nástrojů a platforem,</w:t>
      </w:r>
    </w:p>
    <w:p w:rsidR="008119FF" w:rsidRPr="00A614D9" w:rsidRDefault="008119FF" w:rsidP="008119FF">
      <w:pPr>
        <w:pStyle w:val="normal"/>
        <w:widowControl w:val="0"/>
        <w:numPr>
          <w:ilvl w:val="0"/>
          <w:numId w:val="13"/>
        </w:numPr>
        <w:tabs>
          <w:tab w:val="left" w:pos="855"/>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 xml:space="preserve">rizika spojená s distribučními kanály používanými Společností, </w:t>
      </w:r>
    </w:p>
    <w:p w:rsidR="008119FF" w:rsidRDefault="008119FF" w:rsidP="008119FF">
      <w:pPr>
        <w:pStyle w:val="normal"/>
        <w:widowControl w:val="0"/>
        <w:numPr>
          <w:ilvl w:val="0"/>
          <w:numId w:val="13"/>
        </w:numPr>
        <w:tabs>
          <w:tab w:val="left" w:pos="855"/>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a opatření zavedená Společností k efektivnímu řízení těchto rizik.</w:t>
      </w:r>
    </w:p>
    <w:p w:rsidR="008626EF" w:rsidRPr="00A614D9" w:rsidRDefault="008626EF" w:rsidP="008626EF">
      <w:pPr>
        <w:pStyle w:val="normal"/>
        <w:widowControl w:val="0"/>
        <w:tabs>
          <w:tab w:val="left" w:pos="855"/>
          <w:tab w:val="left" w:pos="9356"/>
        </w:tabs>
        <w:spacing w:before="145" w:after="0" w:line="240" w:lineRule="auto"/>
        <w:ind w:left="709" w:right="4"/>
        <w:rPr>
          <w:rFonts w:ascii="Athiti" w:eastAsia="Athiti" w:hAnsi="Athiti" w:cs="Athiti"/>
          <w:lang w:val="cs-CZ"/>
        </w:rPr>
      </w:pPr>
    </w:p>
    <w:p w:rsidR="008119FF" w:rsidRPr="00A614D9" w:rsidRDefault="008119FF" w:rsidP="008119FF">
      <w:pPr>
        <w:pStyle w:val="normal"/>
        <w:widowControl w:val="0"/>
        <w:tabs>
          <w:tab w:val="left" w:pos="1080"/>
          <w:tab w:val="left" w:pos="9356"/>
        </w:tabs>
        <w:spacing w:after="0" w:line="259" w:lineRule="auto"/>
        <w:ind w:left="1080" w:right="4"/>
        <w:rPr>
          <w:rFonts w:ascii="Athiti" w:eastAsia="Athiti" w:hAnsi="Athiti" w:cs="Athiti"/>
          <w:b/>
          <w:sz w:val="22"/>
          <w:szCs w:val="22"/>
          <w:highlight w:val="green"/>
          <w:lang w:val="cs-CZ"/>
        </w:rPr>
      </w:pPr>
    </w:p>
    <w:p w:rsidR="008119FF" w:rsidRPr="00A614D9" w:rsidRDefault="008119FF" w:rsidP="008119FF">
      <w:pPr>
        <w:pStyle w:val="Nadpis1"/>
        <w:keepNext w:val="0"/>
        <w:keepLines w:val="0"/>
        <w:widowControl w:val="0"/>
        <w:numPr>
          <w:ilvl w:val="0"/>
          <w:numId w:val="18"/>
        </w:numPr>
        <w:tabs>
          <w:tab w:val="left" w:pos="720"/>
        </w:tabs>
        <w:spacing w:before="0" w:after="120" w:line="240" w:lineRule="auto"/>
        <w:rPr>
          <w:rFonts w:ascii="Athiti" w:eastAsia="Athiti" w:hAnsi="Athiti" w:cs="Athiti"/>
          <w:color w:val="2C74B5"/>
          <w:sz w:val="32"/>
          <w:szCs w:val="32"/>
          <w:lang w:val="cs-CZ"/>
        </w:rPr>
      </w:pPr>
      <w:r w:rsidRPr="00A614D9">
        <w:rPr>
          <w:rFonts w:ascii="Athiti" w:eastAsia="Athiti" w:hAnsi="Athiti" w:cs="Athiti"/>
          <w:color w:val="2C74B5"/>
          <w:sz w:val="32"/>
          <w:szCs w:val="32"/>
          <w:lang w:val="cs-CZ"/>
        </w:rPr>
        <w:lastRenderedPageBreak/>
        <w:t>AUTOMATIZOVANÝ SYSTÉM PRO TRANSAKČNÍ MONITORING</w:t>
      </w:r>
    </w:p>
    <w:p w:rsidR="008119FF" w:rsidRPr="00A614D9" w:rsidRDefault="008119FF" w:rsidP="008119FF">
      <w:pPr>
        <w:pStyle w:val="normal"/>
        <w:widowControl w:val="0"/>
        <w:numPr>
          <w:ilvl w:val="0"/>
          <w:numId w:val="11"/>
        </w:numPr>
        <w:shd w:val="clear" w:color="auto" w:fill="FFFFFF"/>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 xml:space="preserve">Aby bylo zajištěno, že každá transakce obsahuje dostatek potřebných informací a mohla být před svým provedením ověřena v rámci transakční kontroly (v souladu s požadavky uvedenými v kapitole 7), využívá Společnost automatizovaný nástroj, který provádí předběžnou kontrolu ještě před samotným uskutečněním transakce. </w:t>
      </w:r>
    </w:p>
    <w:p w:rsidR="008119FF" w:rsidRPr="00A614D9" w:rsidRDefault="008119FF" w:rsidP="008119FF">
      <w:pPr>
        <w:pStyle w:val="normal"/>
        <w:widowControl w:val="0"/>
        <w:numPr>
          <w:ilvl w:val="0"/>
          <w:numId w:val="11"/>
        </w:numPr>
        <w:shd w:val="clear" w:color="auto" w:fill="FFFFFF"/>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Tento systém rovněž zajišťuje každodenní automatickou aktualizaci sankčních seznamů vydávaných EU, OSN a Českou republikou. Kromě těchto lze do nástroje nahrát i další seznamy – například interní black list klientů nebo seznam zemí považovaných za vysoce rizikové.</w:t>
      </w:r>
    </w:p>
    <w:p w:rsidR="008119FF" w:rsidRPr="00A614D9" w:rsidRDefault="008119FF" w:rsidP="008119FF">
      <w:pPr>
        <w:pStyle w:val="normal"/>
        <w:widowControl w:val="0"/>
        <w:numPr>
          <w:ilvl w:val="0"/>
          <w:numId w:val="11"/>
        </w:numPr>
        <w:shd w:val="clear" w:color="auto" w:fill="FFFFFF"/>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 xml:space="preserve">Při prověřování klientů, jejich zástupců a dalších osob uvedených v kapitole 6 odst. 2 (včetně zaměstnanců, pracovníků a externích partnerů), a také jejich transakcí, systém využívá </w:t>
      </w:r>
      <w:r w:rsidRPr="00A614D9">
        <w:rPr>
          <w:rFonts w:ascii="Athiti" w:eastAsia="Athiti" w:hAnsi="Athiti" w:cs="Athiti"/>
          <w:b/>
          <w:lang w:val="cs-CZ"/>
        </w:rPr>
        <w:t>tzv. fuzzy logiku</w:t>
      </w:r>
      <w:r w:rsidRPr="00A614D9">
        <w:rPr>
          <w:rFonts w:ascii="Athiti" w:eastAsia="Athiti" w:hAnsi="Athiti" w:cs="Athiti"/>
          <w:lang w:val="cs-CZ"/>
        </w:rPr>
        <w:t>. Tato metoda vyhodnocuje různé identifikační údaje – jako</w:t>
      </w:r>
    </w:p>
    <w:p w:rsidR="008119FF" w:rsidRPr="00A614D9" w:rsidRDefault="008119FF" w:rsidP="008119FF">
      <w:pPr>
        <w:pStyle w:val="normal"/>
        <w:widowControl w:val="0"/>
        <w:numPr>
          <w:ilvl w:val="0"/>
          <w:numId w:val="7"/>
        </w:numPr>
        <w:shd w:val="clear" w:color="auto" w:fill="FFFFFF"/>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 xml:space="preserve">jméno a příjmení; </w:t>
      </w:r>
    </w:p>
    <w:p w:rsidR="008119FF" w:rsidRPr="00A614D9" w:rsidRDefault="008119FF" w:rsidP="008119FF">
      <w:pPr>
        <w:pStyle w:val="normal"/>
        <w:widowControl w:val="0"/>
        <w:numPr>
          <w:ilvl w:val="0"/>
          <w:numId w:val="7"/>
        </w:numPr>
        <w:shd w:val="clear" w:color="auto" w:fill="FFFFFF"/>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datum narození;</w:t>
      </w:r>
    </w:p>
    <w:p w:rsidR="008119FF" w:rsidRPr="00A614D9" w:rsidRDefault="008119FF" w:rsidP="008119FF">
      <w:pPr>
        <w:pStyle w:val="normal"/>
        <w:widowControl w:val="0"/>
        <w:numPr>
          <w:ilvl w:val="0"/>
          <w:numId w:val="7"/>
        </w:numPr>
        <w:shd w:val="clear" w:color="auto" w:fill="FFFFFF"/>
        <w:tabs>
          <w:tab w:val="left" w:pos="284"/>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a adresu;</w:t>
      </w:r>
    </w:p>
    <w:p w:rsidR="008119FF" w:rsidRPr="00A614D9" w:rsidRDefault="008119FF" w:rsidP="008119FF">
      <w:pPr>
        <w:pStyle w:val="normal"/>
        <w:widowControl w:val="0"/>
        <w:shd w:val="clear" w:color="auto" w:fill="FFFFFF"/>
        <w:tabs>
          <w:tab w:val="left" w:pos="709"/>
          <w:tab w:val="left" w:pos="9356"/>
        </w:tabs>
        <w:spacing w:before="145" w:after="0" w:line="240" w:lineRule="auto"/>
        <w:ind w:left="284" w:right="4"/>
        <w:rPr>
          <w:rFonts w:ascii="Athiti" w:eastAsia="Athiti" w:hAnsi="Athiti" w:cs="Athiti"/>
          <w:lang w:val="cs-CZ"/>
        </w:rPr>
      </w:pPr>
      <w:r w:rsidRPr="00A614D9">
        <w:rPr>
          <w:rFonts w:ascii="Athiti" w:eastAsia="Athiti" w:hAnsi="Athiti" w:cs="Athiti"/>
          <w:lang w:val="cs-CZ"/>
        </w:rPr>
        <w:t>a každému přisuzuje určitou míru podobnosti. Například jména si mohou být velmi podobná (skóre 0,8), zatímco shoda adresy může být částečná (např. skóre 0,5). Z těchto hodnot se pak vypočítává celkové skóre, které určuje, zda bude spuštěno upozornění pro další šetření.</w:t>
      </w:r>
    </w:p>
    <w:p w:rsidR="008119FF" w:rsidRPr="00A614D9" w:rsidRDefault="008119FF" w:rsidP="008119FF">
      <w:pPr>
        <w:pStyle w:val="normal"/>
        <w:widowControl w:val="0"/>
        <w:tabs>
          <w:tab w:val="left" w:pos="9356"/>
        </w:tabs>
        <w:spacing w:before="1" w:after="0" w:line="240" w:lineRule="auto"/>
        <w:jc w:val="left"/>
        <w:rPr>
          <w:rFonts w:ascii="Athiti" w:eastAsia="Athiti" w:hAnsi="Athiti" w:cs="Athiti"/>
          <w:sz w:val="22"/>
          <w:szCs w:val="22"/>
          <w:highlight w:val="green"/>
          <w:lang w:val="cs-CZ"/>
        </w:rPr>
      </w:pPr>
    </w:p>
    <w:p w:rsidR="008119FF" w:rsidRPr="00A614D9" w:rsidRDefault="008119FF" w:rsidP="008119FF">
      <w:pPr>
        <w:pStyle w:val="Nadpis1"/>
        <w:keepNext w:val="0"/>
        <w:keepLines w:val="0"/>
        <w:widowControl w:val="0"/>
        <w:numPr>
          <w:ilvl w:val="0"/>
          <w:numId w:val="18"/>
        </w:numPr>
        <w:tabs>
          <w:tab w:val="left" w:pos="720"/>
        </w:tabs>
        <w:spacing w:before="0" w:after="120" w:line="240" w:lineRule="auto"/>
        <w:ind w:left="1276" w:hanging="556"/>
        <w:rPr>
          <w:rFonts w:ascii="Athiti" w:eastAsia="Athiti" w:hAnsi="Athiti" w:cs="Athiti"/>
          <w:color w:val="2C74B5"/>
          <w:sz w:val="32"/>
          <w:szCs w:val="32"/>
          <w:lang w:val="cs-CZ"/>
        </w:rPr>
      </w:pPr>
      <w:r w:rsidRPr="00A614D9">
        <w:rPr>
          <w:rFonts w:ascii="Athiti" w:eastAsia="Athiti" w:hAnsi="Athiti" w:cs="Athiti"/>
          <w:color w:val="2C74B5"/>
          <w:sz w:val="32"/>
          <w:szCs w:val="32"/>
          <w:lang w:val="cs-CZ"/>
        </w:rPr>
        <w:t>INTERNÍ ŘÍDÍCÍ A KONTROLNÍ SYSTÉM PRO DODRŽOVÁNÍ PRAVIDEL</w:t>
      </w:r>
    </w:p>
    <w:p w:rsidR="008119FF" w:rsidRPr="00A614D9" w:rsidRDefault="008119FF" w:rsidP="008119FF">
      <w:pPr>
        <w:pStyle w:val="normal"/>
        <w:widowControl w:val="0"/>
        <w:numPr>
          <w:ilvl w:val="0"/>
          <w:numId w:val="6"/>
        </w:numPr>
        <w:tabs>
          <w:tab w:val="left" w:pos="9356"/>
        </w:tabs>
        <w:spacing w:before="139" w:after="0" w:line="240" w:lineRule="auto"/>
        <w:ind w:left="284" w:hanging="426"/>
        <w:rPr>
          <w:rFonts w:ascii="Athiti" w:eastAsia="Athiti" w:hAnsi="Athiti" w:cs="Athiti"/>
          <w:lang w:val="cs-CZ"/>
        </w:rPr>
      </w:pPr>
      <w:r w:rsidRPr="00A614D9">
        <w:rPr>
          <w:rFonts w:ascii="Athiti" w:eastAsia="Athiti" w:hAnsi="Athiti" w:cs="Athiti"/>
          <w:lang w:val="cs-CZ"/>
        </w:rPr>
        <w:t>Za implementaci a dohled nad dodržováním těchto Pravidel odpovídá AML Officer. Ten má za úkol nejen sledovat plnění povinností zaměstnanců a pracovníků vyplývajících z tohoto předpisu, ale také zajistit správnou funkčnost navrženého a realizovaného IT řešení pro oblast identifikace a ověřování klientů, včetně systému transakčního monitoringu. AML Officer při této činnosti přihlíží mimo jiné k těmto aspektům:</w:t>
      </w:r>
    </w:p>
    <w:p w:rsidR="008119FF" w:rsidRPr="00A614D9" w:rsidRDefault="008119FF" w:rsidP="008119FF">
      <w:pPr>
        <w:pStyle w:val="normal"/>
        <w:widowControl w:val="0"/>
        <w:numPr>
          <w:ilvl w:val="0"/>
          <w:numId w:val="15"/>
        </w:numPr>
        <w:tabs>
          <w:tab w:val="left" w:pos="9356"/>
        </w:tabs>
        <w:spacing w:before="145" w:after="0" w:line="240" w:lineRule="auto"/>
        <w:ind w:left="709" w:right="376" w:hanging="425"/>
        <w:rPr>
          <w:rFonts w:ascii="Athiti" w:eastAsia="Athiti" w:hAnsi="Athiti" w:cs="Athiti"/>
          <w:lang w:val="cs-CZ"/>
        </w:rPr>
      </w:pPr>
      <w:r w:rsidRPr="00A614D9">
        <w:rPr>
          <w:rFonts w:ascii="Athiti" w:eastAsia="Athiti" w:hAnsi="Athiti" w:cs="Athiti"/>
          <w:lang w:val="cs-CZ"/>
        </w:rPr>
        <w:t>požadavkům na kontinuitu provozu společnosti (viz interní směrnice Business Continuity);</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efektivitě transakčního monitoringu (kapitola 7 a 8), včetně kompatibility s externími nástroji pracujícími s rozšířenými datovými sadami.</w:t>
      </w:r>
    </w:p>
    <w:p w:rsidR="008119FF" w:rsidRPr="00A614D9" w:rsidRDefault="008119FF" w:rsidP="008119FF">
      <w:pPr>
        <w:pStyle w:val="normal"/>
        <w:widowControl w:val="0"/>
        <w:numPr>
          <w:ilvl w:val="0"/>
          <w:numId w:val="6"/>
        </w:numPr>
        <w:tabs>
          <w:tab w:val="left" w:pos="9356"/>
        </w:tabs>
        <w:spacing w:before="139" w:after="0" w:line="240" w:lineRule="auto"/>
        <w:ind w:left="284"/>
        <w:rPr>
          <w:rFonts w:ascii="Athiti" w:eastAsia="Athiti" w:hAnsi="Athiti" w:cs="Athiti"/>
          <w:lang w:val="cs-CZ"/>
        </w:rPr>
      </w:pPr>
      <w:r w:rsidRPr="00A614D9">
        <w:rPr>
          <w:rFonts w:ascii="Athiti" w:eastAsia="Athiti" w:hAnsi="Athiti" w:cs="Athiti"/>
          <w:lang w:val="cs-CZ"/>
        </w:rPr>
        <w:t>Za účelem ověřování správného fungování systému transakčního monitoringu v rámci informačních systémů společnosti je čtvrtletně generována zpráva z manažerského informačního systému, která obsahuje minimálně tyto informace:</w:t>
      </w:r>
    </w:p>
    <w:p w:rsidR="008119FF" w:rsidRPr="00A614D9" w:rsidRDefault="008119FF" w:rsidP="008119FF">
      <w:pPr>
        <w:pStyle w:val="normal"/>
        <w:widowControl w:val="0"/>
        <w:numPr>
          <w:ilvl w:val="0"/>
          <w:numId w:val="15"/>
        </w:numPr>
        <w:tabs>
          <w:tab w:val="left" w:pos="9356"/>
        </w:tabs>
        <w:spacing w:before="145" w:after="0" w:line="240" w:lineRule="auto"/>
        <w:ind w:left="709" w:right="376" w:hanging="425"/>
        <w:rPr>
          <w:rFonts w:ascii="Athiti" w:eastAsia="Athiti" w:hAnsi="Athiti" w:cs="Athiti"/>
          <w:lang w:val="cs-CZ"/>
        </w:rPr>
      </w:pPr>
      <w:r w:rsidRPr="00A614D9">
        <w:rPr>
          <w:rFonts w:ascii="Athiti" w:eastAsia="Athiti" w:hAnsi="Athiti" w:cs="Athiti"/>
          <w:lang w:val="cs-CZ"/>
        </w:rPr>
        <w:t>počet provedených prověrek;</w:t>
      </w:r>
    </w:p>
    <w:p w:rsidR="008119FF" w:rsidRPr="00A614D9" w:rsidRDefault="008119FF" w:rsidP="008119FF">
      <w:pPr>
        <w:pStyle w:val="normal"/>
        <w:widowControl w:val="0"/>
        <w:numPr>
          <w:ilvl w:val="0"/>
          <w:numId w:val="15"/>
        </w:numPr>
        <w:tabs>
          <w:tab w:val="left" w:pos="9356"/>
        </w:tabs>
        <w:spacing w:before="145" w:after="0" w:line="240" w:lineRule="auto"/>
        <w:ind w:left="709" w:right="376" w:hanging="425"/>
        <w:rPr>
          <w:rFonts w:ascii="Athiti" w:eastAsia="Athiti" w:hAnsi="Athiti" w:cs="Athiti"/>
          <w:lang w:val="cs-CZ"/>
        </w:rPr>
      </w:pPr>
      <w:r w:rsidRPr="00A614D9">
        <w:rPr>
          <w:rFonts w:ascii="Athiti" w:eastAsia="Athiti" w:hAnsi="Athiti" w:cs="Athiti"/>
          <w:lang w:val="cs-CZ"/>
        </w:rPr>
        <w:t>počet a procento vygenerovaných upozornění (alertů);</w:t>
      </w:r>
    </w:p>
    <w:p w:rsidR="008119FF" w:rsidRPr="00A614D9" w:rsidRDefault="008119FF" w:rsidP="008119FF">
      <w:pPr>
        <w:pStyle w:val="normal"/>
        <w:widowControl w:val="0"/>
        <w:numPr>
          <w:ilvl w:val="0"/>
          <w:numId w:val="15"/>
        </w:numPr>
        <w:tabs>
          <w:tab w:val="left" w:pos="9356"/>
        </w:tabs>
        <w:spacing w:before="145" w:after="0" w:line="240" w:lineRule="auto"/>
        <w:ind w:left="709" w:right="376" w:hanging="425"/>
        <w:rPr>
          <w:rFonts w:ascii="Athiti" w:eastAsia="Athiti" w:hAnsi="Athiti" w:cs="Athiti"/>
          <w:lang w:val="cs-CZ"/>
        </w:rPr>
      </w:pPr>
      <w:r w:rsidRPr="00A614D9">
        <w:rPr>
          <w:rFonts w:ascii="Athiti" w:eastAsia="Athiti" w:hAnsi="Athiti" w:cs="Athiti"/>
          <w:lang w:val="cs-CZ"/>
        </w:rPr>
        <w:t>počet a procento nalezených sankčních záznamů;</w:t>
      </w:r>
    </w:p>
    <w:p w:rsidR="008119FF" w:rsidRPr="00A614D9" w:rsidRDefault="008119FF" w:rsidP="008119FF">
      <w:pPr>
        <w:pStyle w:val="normal"/>
        <w:widowControl w:val="0"/>
        <w:numPr>
          <w:ilvl w:val="0"/>
          <w:numId w:val="15"/>
        </w:numPr>
        <w:tabs>
          <w:tab w:val="left" w:pos="9356"/>
        </w:tabs>
        <w:spacing w:before="145" w:after="0" w:line="240" w:lineRule="auto"/>
        <w:ind w:left="709" w:right="376" w:hanging="425"/>
        <w:rPr>
          <w:rFonts w:ascii="Athiti" w:eastAsia="Athiti" w:hAnsi="Athiti" w:cs="Athiti"/>
          <w:lang w:val="cs-CZ"/>
        </w:rPr>
      </w:pPr>
      <w:r w:rsidRPr="00A614D9">
        <w:rPr>
          <w:rFonts w:ascii="Athiti" w:eastAsia="Athiti" w:hAnsi="Athiti" w:cs="Athiti"/>
          <w:lang w:val="cs-CZ"/>
        </w:rPr>
        <w:t>poměr potvrzených záznamů k celkovému počtu alertů (s vyloučením tzv. „false positives“);</w:t>
      </w:r>
    </w:p>
    <w:p w:rsidR="008119FF" w:rsidRPr="00A614D9" w:rsidRDefault="008119FF" w:rsidP="008119FF">
      <w:pPr>
        <w:pStyle w:val="normal"/>
        <w:widowControl w:val="0"/>
        <w:numPr>
          <w:ilvl w:val="0"/>
          <w:numId w:val="15"/>
        </w:numPr>
        <w:tabs>
          <w:tab w:val="left" w:pos="9356"/>
        </w:tabs>
        <w:spacing w:before="145" w:after="0" w:line="240" w:lineRule="auto"/>
        <w:ind w:left="709" w:right="376" w:hanging="425"/>
        <w:rPr>
          <w:rFonts w:ascii="Athiti" w:eastAsia="Athiti" w:hAnsi="Athiti" w:cs="Athiti"/>
          <w:lang w:val="cs-CZ"/>
        </w:rPr>
      </w:pPr>
      <w:r w:rsidRPr="00A614D9">
        <w:rPr>
          <w:rFonts w:ascii="Athiti" w:eastAsia="Athiti" w:hAnsi="Athiti" w:cs="Athiti"/>
          <w:lang w:val="cs-CZ"/>
        </w:rPr>
        <w:lastRenderedPageBreak/>
        <w:t>průměrný čas potřebný pro vyřízení upozornění;</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lang w:val="cs-CZ"/>
        </w:rPr>
        <w:t>počet a procento upozornění nevyřízených ve stanovené lhůtě a příslušné zdůvodnění.</w:t>
      </w:r>
    </w:p>
    <w:p w:rsidR="008119FF" w:rsidRPr="00A614D9" w:rsidRDefault="008119FF" w:rsidP="008119FF">
      <w:pPr>
        <w:pStyle w:val="normal"/>
        <w:widowControl w:val="0"/>
        <w:numPr>
          <w:ilvl w:val="0"/>
          <w:numId w:val="6"/>
        </w:numPr>
        <w:tabs>
          <w:tab w:val="left" w:pos="9356"/>
        </w:tabs>
        <w:spacing w:before="120" w:after="120" w:line="240" w:lineRule="auto"/>
        <w:ind w:left="284" w:right="4"/>
        <w:rPr>
          <w:rFonts w:ascii="Athiti" w:eastAsia="Athiti" w:hAnsi="Athiti" w:cs="Athiti"/>
          <w:lang w:val="cs-CZ"/>
        </w:rPr>
      </w:pPr>
      <w:r w:rsidRPr="00A614D9">
        <w:rPr>
          <w:rFonts w:ascii="Athiti" w:eastAsia="Athiti" w:hAnsi="Athiti" w:cs="Athiti"/>
          <w:lang w:val="cs-CZ"/>
        </w:rPr>
        <w:t>AML Officer shrnuje výše uvedené poznatky v tzv. Hodnotící zprávě, kterou zpracovává dle § 19 prováděcí vyhlášky. V této zprávě mimo jiné uvede, zda systémy v daném období fungovaly v souladu s očekáváními a zadávací dokumentací, včetně toho, zda automatizované nástroje plnily účinně svou roli v oblasti monitoringu transakcí. Pokud byl v dané oblasti proveden audit, odkazuje se ve zprávě také na výsledky této kontroly. V případě potřeby AML Officer navrhne nápravná opatření a předloží je vedení společnosti k rozhodnutí.</w:t>
      </w:r>
    </w:p>
    <w:p w:rsidR="008119FF" w:rsidRDefault="008119FF" w:rsidP="008119FF">
      <w:pPr>
        <w:pStyle w:val="normal"/>
        <w:widowControl w:val="0"/>
        <w:numPr>
          <w:ilvl w:val="0"/>
          <w:numId w:val="6"/>
        </w:numPr>
        <w:tabs>
          <w:tab w:val="left" w:pos="9356"/>
        </w:tabs>
        <w:spacing w:before="120" w:after="120" w:line="240" w:lineRule="auto"/>
        <w:ind w:left="284" w:right="4"/>
        <w:rPr>
          <w:rFonts w:ascii="Athiti" w:eastAsia="Athiti" w:hAnsi="Athiti" w:cs="Athiti"/>
          <w:lang w:val="cs-CZ"/>
        </w:rPr>
      </w:pPr>
      <w:r w:rsidRPr="00A614D9">
        <w:rPr>
          <w:rFonts w:ascii="Athiti" w:eastAsia="Athiti" w:hAnsi="Athiti" w:cs="Athiti"/>
          <w:lang w:val="cs-CZ"/>
        </w:rPr>
        <w:t>Jakékoliv zjištěné porušení těchto Pravidel nebo podezření na jejich porušování je nutné neprodleně oznámit Compliance Officerovi a vedení společnosti. Postupuje se přitom dle interní směrnice upravující Řízení rizik.</w:t>
      </w:r>
    </w:p>
    <w:p w:rsidR="008626EF" w:rsidRPr="00A614D9" w:rsidRDefault="008626EF" w:rsidP="008626EF">
      <w:pPr>
        <w:pStyle w:val="normal"/>
        <w:widowControl w:val="0"/>
        <w:tabs>
          <w:tab w:val="left" w:pos="9356"/>
        </w:tabs>
        <w:spacing w:before="120" w:after="120" w:line="240" w:lineRule="auto"/>
        <w:ind w:left="284" w:right="4"/>
        <w:rPr>
          <w:rFonts w:ascii="Athiti" w:eastAsia="Athiti" w:hAnsi="Athiti" w:cs="Athiti"/>
          <w:lang w:val="cs-CZ"/>
        </w:rPr>
      </w:pPr>
    </w:p>
    <w:p w:rsidR="008119FF" w:rsidRPr="00A614D9" w:rsidRDefault="008119FF" w:rsidP="008119FF">
      <w:pPr>
        <w:pStyle w:val="Nadpis1"/>
        <w:keepNext w:val="0"/>
        <w:keepLines w:val="0"/>
        <w:widowControl w:val="0"/>
        <w:numPr>
          <w:ilvl w:val="0"/>
          <w:numId w:val="22"/>
        </w:numPr>
        <w:tabs>
          <w:tab w:val="left" w:pos="1276"/>
          <w:tab w:val="left" w:pos="9356"/>
        </w:tabs>
        <w:spacing w:before="0" w:after="0" w:line="240" w:lineRule="auto"/>
        <w:ind w:left="1276" w:hanging="556"/>
        <w:rPr>
          <w:rFonts w:ascii="Athiti" w:eastAsia="Athiti" w:hAnsi="Athiti" w:cs="Athiti"/>
          <w:color w:val="2C74B5"/>
          <w:sz w:val="32"/>
          <w:szCs w:val="32"/>
          <w:lang w:val="cs-CZ"/>
        </w:rPr>
      </w:pPr>
      <w:r w:rsidRPr="00A614D9">
        <w:rPr>
          <w:rFonts w:ascii="Athiti" w:eastAsia="Athiti" w:hAnsi="Athiti" w:cs="Athiti"/>
          <w:color w:val="2C74B5"/>
          <w:sz w:val="32"/>
          <w:szCs w:val="32"/>
          <w:lang w:val="cs-CZ"/>
        </w:rPr>
        <w:t>OVĚŘOVÁNÍ ZAMĚSTNANCŮ, PRACOVNÍKŮ A SMLUVNÍCH PARTNERŮ</w:t>
      </w:r>
    </w:p>
    <w:p w:rsidR="008119FF" w:rsidRPr="00A614D9" w:rsidRDefault="008119FF" w:rsidP="008119FF">
      <w:pPr>
        <w:pStyle w:val="Nadpis1"/>
        <w:keepNext w:val="0"/>
        <w:keepLines w:val="0"/>
        <w:widowControl w:val="0"/>
        <w:tabs>
          <w:tab w:val="left" w:pos="713"/>
          <w:tab w:val="left" w:pos="1276"/>
          <w:tab w:val="left" w:pos="9356"/>
        </w:tabs>
        <w:spacing w:before="0" w:after="0" w:line="240" w:lineRule="auto"/>
        <w:ind w:left="1080"/>
        <w:jc w:val="left"/>
        <w:rPr>
          <w:rFonts w:ascii="Athiti" w:eastAsia="Athiti" w:hAnsi="Athiti" w:cs="Athiti"/>
          <w:b w:val="0"/>
          <w:color w:val="2C74B5"/>
          <w:sz w:val="22"/>
          <w:szCs w:val="22"/>
          <w:lang w:val="cs-CZ"/>
        </w:rPr>
      </w:pPr>
    </w:p>
    <w:p w:rsidR="008119FF" w:rsidRPr="00A614D9" w:rsidRDefault="008119FF" w:rsidP="008119FF">
      <w:pPr>
        <w:pStyle w:val="normal"/>
        <w:widowControl w:val="0"/>
        <w:numPr>
          <w:ilvl w:val="0"/>
          <w:numId w:val="9"/>
        </w:numPr>
        <w:tabs>
          <w:tab w:val="left" w:pos="9356"/>
        </w:tabs>
        <w:spacing w:after="120" w:line="240" w:lineRule="auto"/>
        <w:ind w:left="284" w:right="4" w:hanging="426"/>
        <w:rPr>
          <w:rFonts w:ascii="Athiti" w:eastAsia="Athiti" w:hAnsi="Athiti" w:cs="Athiti"/>
          <w:lang w:val="cs-CZ"/>
        </w:rPr>
      </w:pPr>
      <w:r w:rsidRPr="00A614D9">
        <w:rPr>
          <w:rFonts w:ascii="Athiti" w:eastAsia="Athiti" w:hAnsi="Athiti" w:cs="Athiti"/>
          <w:lang w:val="cs-CZ"/>
        </w:rPr>
        <w:t>Společnost kromě zákonných požadavků provádí ověřování následujících osob vůči sankčním seznamům EU, OSN a ČR:</w:t>
      </w:r>
    </w:p>
    <w:p w:rsidR="008119FF" w:rsidRPr="00A614D9" w:rsidRDefault="008119FF" w:rsidP="008119FF">
      <w:pPr>
        <w:pStyle w:val="normal"/>
        <w:widowControl w:val="0"/>
        <w:numPr>
          <w:ilvl w:val="0"/>
          <w:numId w:val="15"/>
        </w:numPr>
        <w:tabs>
          <w:tab w:val="left" w:pos="9356"/>
        </w:tabs>
        <w:spacing w:before="145" w:after="0" w:line="240" w:lineRule="auto"/>
        <w:ind w:left="709" w:right="4" w:hanging="425"/>
        <w:rPr>
          <w:rFonts w:ascii="Athiti" w:eastAsia="Athiti" w:hAnsi="Athiti" w:cs="Athiti"/>
          <w:lang w:val="cs-CZ"/>
        </w:rPr>
      </w:pPr>
      <w:r w:rsidRPr="00A614D9">
        <w:rPr>
          <w:rFonts w:ascii="Athiti" w:eastAsia="Athiti" w:hAnsi="Athiti" w:cs="Athiti"/>
          <w:b/>
          <w:lang w:val="cs-CZ"/>
        </w:rPr>
        <w:t>zaměstnanců a pracovníků</w:t>
      </w:r>
      <w:r w:rsidRPr="00A614D9">
        <w:rPr>
          <w:rFonts w:ascii="Athiti" w:eastAsia="Athiti" w:hAnsi="Athiti" w:cs="Athiti"/>
          <w:lang w:val="cs-CZ"/>
        </w:rPr>
        <w:t xml:space="preserve"> před navázáním pracovněprávního nebo jiného obdobného vztahu, a dále opakovaně alespoň jednou za kalendářní rok;</w:t>
      </w:r>
    </w:p>
    <w:p w:rsidR="008119FF" w:rsidRPr="00A614D9" w:rsidRDefault="008119FF" w:rsidP="008119FF">
      <w:pPr>
        <w:pStyle w:val="normal"/>
        <w:widowControl w:val="0"/>
        <w:numPr>
          <w:ilvl w:val="0"/>
          <w:numId w:val="15"/>
        </w:numPr>
        <w:tabs>
          <w:tab w:val="left" w:pos="9356"/>
        </w:tabs>
        <w:spacing w:before="120" w:after="120" w:line="240" w:lineRule="auto"/>
        <w:ind w:left="709" w:right="4" w:hanging="425"/>
        <w:rPr>
          <w:rFonts w:ascii="Athiti" w:eastAsia="Athiti" w:hAnsi="Athiti" w:cs="Athiti"/>
          <w:lang w:val="cs-CZ"/>
        </w:rPr>
      </w:pPr>
      <w:r w:rsidRPr="00A614D9">
        <w:rPr>
          <w:rFonts w:ascii="Athiti" w:eastAsia="Athiti" w:hAnsi="Athiti" w:cs="Athiti"/>
          <w:b/>
          <w:lang w:val="cs-CZ"/>
        </w:rPr>
        <w:t>externích smluvních partnerů</w:t>
      </w:r>
      <w:r w:rsidRPr="00A614D9">
        <w:rPr>
          <w:rFonts w:ascii="Athiti" w:eastAsia="Athiti" w:hAnsi="Athiti" w:cs="Athiti"/>
          <w:lang w:val="cs-CZ"/>
        </w:rPr>
        <w:t>, včetně jejich statutárních zástupců, zmocněnců (např. osob s podpisovým oprávněním) a skutečných majitelů, a to před uzavřením smlouvy a následně nejméně jednou ročně.</w:t>
      </w:r>
    </w:p>
    <w:p w:rsidR="008119FF" w:rsidRPr="00A614D9" w:rsidRDefault="008119FF" w:rsidP="008119FF">
      <w:pPr>
        <w:pStyle w:val="normal"/>
        <w:widowControl w:val="0"/>
        <w:tabs>
          <w:tab w:val="left" w:pos="9356"/>
        </w:tabs>
        <w:spacing w:before="120" w:after="120" w:line="240" w:lineRule="auto"/>
        <w:ind w:left="284" w:right="4"/>
        <w:rPr>
          <w:rFonts w:ascii="Athiti" w:eastAsia="Athiti" w:hAnsi="Athiti" w:cs="Athiti"/>
          <w:lang w:val="cs-CZ"/>
        </w:rPr>
      </w:pPr>
      <w:r w:rsidRPr="00A614D9">
        <w:rPr>
          <w:rFonts w:ascii="Athiti" w:eastAsia="Athiti" w:hAnsi="Athiti" w:cs="Athiti"/>
          <w:lang w:val="cs-CZ"/>
        </w:rPr>
        <w:t>V případě, že jakákoliv z těchto osob je identifikována jako osoba uvedená na sankčním seznamu, smluvní vztah se neuzavírá, případně je již existující smluvní vztah ukončen.</w:t>
      </w:r>
    </w:p>
    <w:p w:rsidR="008119FF" w:rsidRPr="00A614D9" w:rsidRDefault="008119FF" w:rsidP="008119FF">
      <w:pPr>
        <w:pStyle w:val="normal"/>
        <w:widowControl w:val="0"/>
        <w:numPr>
          <w:ilvl w:val="0"/>
          <w:numId w:val="9"/>
        </w:numPr>
        <w:tabs>
          <w:tab w:val="left" w:pos="9356"/>
        </w:tabs>
        <w:spacing w:before="120" w:after="120" w:line="240" w:lineRule="auto"/>
        <w:ind w:left="284" w:right="4"/>
        <w:rPr>
          <w:rFonts w:ascii="Athiti" w:eastAsia="Athiti" w:hAnsi="Athiti" w:cs="Athiti"/>
          <w:lang w:val="cs-CZ"/>
        </w:rPr>
      </w:pPr>
      <w:r w:rsidRPr="00A614D9">
        <w:rPr>
          <w:rFonts w:ascii="Athiti" w:eastAsia="Athiti" w:hAnsi="Athiti" w:cs="Athiti"/>
          <w:lang w:val="cs-CZ"/>
        </w:rPr>
        <w:t>Všichni pracovníci, zaměstnanci a externí smluvní partneři jsou v příslušných smlouvách informováni, že nezbytnou podmínkou pro uzavření a udržení smluvního vztahu je skutečnost, že na ně nejsou uvedeny žádné mezinárodní sankce. Současně se zavazují neprodleně informovat společnost, pokud by se na ně takové sankce vztahovaly. Pokud by z jakéhokoli důvodu nebylo možné tuto informaci výslovně uvést ve smlouvě, je dotčená osoba o této skutečnosti informována jiným průkazným způsobem – typicky písemně.</w:t>
      </w:r>
    </w:p>
    <w:p w:rsidR="008119FF" w:rsidRDefault="008119FF" w:rsidP="008119FF">
      <w:pPr>
        <w:pStyle w:val="normal"/>
        <w:widowControl w:val="0"/>
        <w:numPr>
          <w:ilvl w:val="0"/>
          <w:numId w:val="9"/>
        </w:numPr>
        <w:tabs>
          <w:tab w:val="left" w:pos="9356"/>
        </w:tabs>
        <w:spacing w:before="120" w:after="120" w:line="240" w:lineRule="auto"/>
        <w:ind w:left="284" w:right="4"/>
        <w:rPr>
          <w:rFonts w:ascii="Athiti" w:eastAsia="Athiti" w:hAnsi="Athiti" w:cs="Athiti"/>
          <w:lang w:val="cs-CZ"/>
        </w:rPr>
      </w:pPr>
      <w:r w:rsidRPr="00A614D9">
        <w:rPr>
          <w:rFonts w:ascii="Athiti" w:eastAsia="Athiti" w:hAnsi="Athiti" w:cs="Athiti"/>
          <w:lang w:val="cs-CZ"/>
        </w:rPr>
        <w:t>Jakýkoliv úmyslný pokus obejít tato Pravidla – například vynecháním, odstraněním, úpravou či falšováním údajů, podkladů nebo informací důležitých pro odhalení sankčního rizika – je považován za závažné porušení pracovní kázně. Na tuto skutečnost jsou všichni zaměstnanci a pracovníci výslovně upozorňováni v rámci školení. Dále jsou informováni, že prokázané porušení může vést nejen k odpovědnosti za případnou vzniklou škodu, ale i k trestnímu postihu.</w:t>
      </w:r>
    </w:p>
    <w:p w:rsidR="008626EF" w:rsidRPr="00A614D9" w:rsidRDefault="008626EF" w:rsidP="008626EF">
      <w:pPr>
        <w:pStyle w:val="normal"/>
        <w:widowControl w:val="0"/>
        <w:tabs>
          <w:tab w:val="left" w:pos="9356"/>
        </w:tabs>
        <w:spacing w:before="120" w:after="120" w:line="240" w:lineRule="auto"/>
        <w:ind w:left="284" w:right="4"/>
        <w:rPr>
          <w:rFonts w:ascii="Athiti" w:eastAsia="Athiti" w:hAnsi="Athiti" w:cs="Athiti"/>
          <w:lang w:val="cs-CZ"/>
        </w:rPr>
      </w:pPr>
    </w:p>
    <w:p w:rsidR="008119FF" w:rsidRPr="00A614D9" w:rsidRDefault="008119FF" w:rsidP="008119FF">
      <w:pPr>
        <w:pStyle w:val="Nadpis1"/>
        <w:keepNext w:val="0"/>
        <w:keepLines w:val="0"/>
        <w:widowControl w:val="0"/>
        <w:numPr>
          <w:ilvl w:val="0"/>
          <w:numId w:val="10"/>
        </w:numPr>
        <w:tabs>
          <w:tab w:val="left" w:pos="713"/>
          <w:tab w:val="left" w:pos="1276"/>
        </w:tabs>
        <w:spacing w:before="0" w:after="120" w:line="240" w:lineRule="auto"/>
        <w:ind w:left="1276" w:hanging="556"/>
        <w:jc w:val="left"/>
        <w:rPr>
          <w:rFonts w:ascii="Athiti" w:eastAsia="Athiti" w:hAnsi="Athiti" w:cs="Athiti"/>
          <w:color w:val="2C74B5"/>
          <w:sz w:val="32"/>
          <w:szCs w:val="32"/>
          <w:lang w:val="cs-CZ"/>
        </w:rPr>
      </w:pPr>
      <w:r w:rsidRPr="00A614D9">
        <w:rPr>
          <w:rFonts w:ascii="Athiti" w:eastAsia="Athiti" w:hAnsi="Athiti" w:cs="Athiti"/>
          <w:color w:val="2C74B5"/>
          <w:sz w:val="32"/>
          <w:szCs w:val="32"/>
          <w:lang w:val="cs-CZ"/>
        </w:rPr>
        <w:t>UCHOVÁVÁNÍ ÚDAJŮ A OCHRANA OSOBNÍCH ÚDAJŮ</w:t>
      </w:r>
    </w:p>
    <w:p w:rsidR="008119FF" w:rsidRPr="00A614D9" w:rsidRDefault="008119FF" w:rsidP="008119FF">
      <w:pPr>
        <w:pStyle w:val="normal"/>
        <w:widowControl w:val="0"/>
        <w:numPr>
          <w:ilvl w:val="0"/>
          <w:numId w:val="21"/>
        </w:numPr>
        <w:tabs>
          <w:tab w:val="left" w:pos="9356"/>
        </w:tabs>
        <w:spacing w:before="139" w:after="0" w:line="240" w:lineRule="auto"/>
        <w:ind w:left="284"/>
        <w:rPr>
          <w:rFonts w:ascii="Athiti" w:eastAsia="Athiti" w:hAnsi="Athiti" w:cs="Athiti"/>
          <w:lang w:val="cs-CZ"/>
        </w:rPr>
      </w:pPr>
      <w:r w:rsidRPr="00A614D9">
        <w:rPr>
          <w:rFonts w:ascii="Athiti" w:eastAsia="Athiti" w:hAnsi="Athiti" w:cs="Athiti"/>
          <w:lang w:val="cs-CZ"/>
        </w:rPr>
        <w:t xml:space="preserve">Společnost zpracovává osobní údaje pouze v rozsahu nezbytném pro plnění povinností vyplývajících z AML zákona a souvisejících právních předpisů, včetně zákona o </w:t>
      </w:r>
      <w:r w:rsidRPr="00A614D9">
        <w:rPr>
          <w:rFonts w:ascii="Athiti" w:eastAsia="Athiti" w:hAnsi="Athiti" w:cs="Athiti"/>
          <w:lang w:val="cs-CZ"/>
        </w:rPr>
        <w:lastRenderedPageBreak/>
        <w:t>provádění mezinárodních sankcí.</w:t>
      </w:r>
    </w:p>
    <w:p w:rsidR="008626EF" w:rsidRPr="008215A4" w:rsidRDefault="008119FF" w:rsidP="008215A4">
      <w:pPr>
        <w:pStyle w:val="normal"/>
        <w:widowControl w:val="0"/>
        <w:numPr>
          <w:ilvl w:val="0"/>
          <w:numId w:val="21"/>
        </w:numPr>
        <w:tabs>
          <w:tab w:val="left" w:pos="9356"/>
        </w:tabs>
        <w:spacing w:before="139" w:after="0" w:line="240" w:lineRule="auto"/>
        <w:ind w:left="284"/>
        <w:rPr>
          <w:rFonts w:ascii="Athiti" w:eastAsia="Athiti" w:hAnsi="Athiti" w:cs="Athiti"/>
          <w:lang w:val="cs-CZ"/>
        </w:rPr>
      </w:pPr>
      <w:r w:rsidRPr="00A614D9">
        <w:rPr>
          <w:rFonts w:ascii="Athiti" w:eastAsia="Athiti" w:hAnsi="Athiti" w:cs="Athiti"/>
          <w:lang w:val="cs-CZ"/>
        </w:rPr>
        <w:t>Konkrétně uchovává následující údaje: informace uvedené v § 16 AML zákona – po dobu 10 let ode dne provedení jednorázové transakce mimo rámec obchodního vztahu nebo od ukončení obchodního vztahu s klientem; záznamy o účasti na školeních a jejich obsahu – po dobu minimálně 5 let od jejich uskutečnění.</w:t>
      </w:r>
    </w:p>
    <w:p w:rsidR="008119FF" w:rsidRPr="00A614D9" w:rsidRDefault="008119FF" w:rsidP="008119FF">
      <w:pPr>
        <w:pStyle w:val="Nadpis1"/>
        <w:keepNext w:val="0"/>
        <w:keepLines w:val="0"/>
        <w:widowControl w:val="0"/>
        <w:numPr>
          <w:ilvl w:val="0"/>
          <w:numId w:val="10"/>
        </w:numPr>
        <w:tabs>
          <w:tab w:val="left" w:pos="713"/>
          <w:tab w:val="left" w:pos="1276"/>
        </w:tabs>
        <w:spacing w:before="0" w:after="120" w:line="240" w:lineRule="auto"/>
        <w:ind w:left="1276" w:hanging="556"/>
        <w:jc w:val="left"/>
        <w:rPr>
          <w:rFonts w:ascii="Athiti" w:eastAsia="Athiti" w:hAnsi="Athiti" w:cs="Athiti"/>
          <w:color w:val="2C74B5"/>
          <w:sz w:val="32"/>
          <w:szCs w:val="32"/>
          <w:lang w:val="cs-CZ"/>
        </w:rPr>
      </w:pPr>
      <w:r w:rsidRPr="00A614D9">
        <w:rPr>
          <w:rFonts w:ascii="Athiti" w:eastAsia="Athiti" w:hAnsi="Athiti" w:cs="Athiti"/>
          <w:color w:val="2C74B5"/>
          <w:sz w:val="32"/>
          <w:szCs w:val="32"/>
          <w:lang w:val="cs-CZ"/>
        </w:rPr>
        <w:t>ŠKOLENÍ</w:t>
      </w:r>
    </w:p>
    <w:p w:rsidR="008119FF" w:rsidRPr="00A614D9" w:rsidRDefault="008119FF" w:rsidP="008119FF">
      <w:pPr>
        <w:pStyle w:val="normal"/>
        <w:widowControl w:val="0"/>
        <w:numPr>
          <w:ilvl w:val="0"/>
          <w:numId w:val="8"/>
        </w:numPr>
        <w:tabs>
          <w:tab w:val="left" w:pos="9356"/>
        </w:tabs>
        <w:spacing w:before="139" w:after="0" w:line="240" w:lineRule="auto"/>
        <w:ind w:left="284"/>
        <w:rPr>
          <w:rFonts w:ascii="Athiti" w:eastAsia="Athiti" w:hAnsi="Athiti" w:cs="Athiti"/>
          <w:lang w:val="cs-CZ"/>
        </w:rPr>
      </w:pPr>
      <w:r w:rsidRPr="00A614D9">
        <w:rPr>
          <w:rFonts w:ascii="Athiti" w:eastAsia="Athiti" w:hAnsi="Athiti" w:cs="Athiti"/>
          <w:lang w:val="cs-CZ"/>
        </w:rPr>
        <w:t>Tento interní předpis bude trvale zpřístupněn všem zaměstnancům a pracovníkům Společnosti v elektronické složce s názvem „Zásady a postupy společnosti“. O vydání, aktualizacích, platnosti a účinnosti tohoto dokumentu budou zaměstnanci informováni prostřednictvím e-mailu.</w:t>
      </w:r>
    </w:p>
    <w:p w:rsidR="008119FF" w:rsidRPr="00A614D9" w:rsidRDefault="008119FF" w:rsidP="008119FF">
      <w:pPr>
        <w:pStyle w:val="normal"/>
        <w:widowControl w:val="0"/>
        <w:numPr>
          <w:ilvl w:val="0"/>
          <w:numId w:val="8"/>
        </w:numPr>
        <w:tabs>
          <w:tab w:val="left" w:pos="9356"/>
        </w:tabs>
        <w:spacing w:before="139" w:after="0" w:line="240" w:lineRule="auto"/>
        <w:ind w:left="284"/>
        <w:rPr>
          <w:rFonts w:ascii="Athiti" w:eastAsia="Athiti" w:hAnsi="Athiti" w:cs="Athiti"/>
          <w:lang w:val="cs-CZ"/>
        </w:rPr>
      </w:pPr>
      <w:r w:rsidRPr="00A614D9">
        <w:rPr>
          <w:rFonts w:ascii="Athiti" w:eastAsia="Athiti" w:hAnsi="Athiti" w:cs="Athiti"/>
          <w:lang w:val="cs-CZ"/>
        </w:rPr>
        <w:t>Každý zaměstnanec a pracovník, na kterého se Pravidla vztahují, je povinen se s jejich obsahem důkladně seznámit. Compliance Officer zajistí, aby všichni dotčení zaměstnanci a pracovníci absolvovali povinné školení.</w:t>
      </w:r>
    </w:p>
    <w:p w:rsidR="008119FF" w:rsidRPr="00A614D9" w:rsidRDefault="008119FF" w:rsidP="008119FF">
      <w:pPr>
        <w:pStyle w:val="normal"/>
        <w:widowControl w:val="0"/>
        <w:numPr>
          <w:ilvl w:val="0"/>
          <w:numId w:val="8"/>
        </w:numPr>
        <w:tabs>
          <w:tab w:val="left" w:pos="9356"/>
        </w:tabs>
        <w:spacing w:before="139" w:after="0" w:line="240" w:lineRule="auto"/>
        <w:ind w:left="284"/>
        <w:rPr>
          <w:rFonts w:ascii="Athiti" w:eastAsia="Athiti" w:hAnsi="Athiti" w:cs="Athiti"/>
          <w:lang w:val="cs-CZ"/>
        </w:rPr>
      </w:pPr>
      <w:r w:rsidRPr="00A614D9">
        <w:rPr>
          <w:rFonts w:ascii="Athiti" w:eastAsia="Athiti" w:hAnsi="Athiti" w:cs="Athiti"/>
          <w:lang w:val="cs-CZ"/>
        </w:rPr>
        <w:t>Tato školení budou probíhat v souladu s § 23 AML zákona minimálně jednou za 12 měsíců. Školení se musí zúčastnit: všichni zaměstnanci a pracovníci, kteří mohou během výkonu své pracovní činnosti přijít do kontaktu s podezřelými obchody; všichni nově zařazení zaměstnanci a pracovníci, ještě před jejich nástupem na danou pozici.</w:t>
      </w:r>
    </w:p>
    <w:p w:rsidR="008119FF" w:rsidRPr="00A614D9" w:rsidRDefault="008119FF" w:rsidP="008119FF">
      <w:pPr>
        <w:pStyle w:val="normal"/>
        <w:widowControl w:val="0"/>
        <w:numPr>
          <w:ilvl w:val="0"/>
          <w:numId w:val="8"/>
        </w:numPr>
        <w:tabs>
          <w:tab w:val="left" w:pos="9356"/>
        </w:tabs>
        <w:spacing w:before="139" w:after="0" w:line="240" w:lineRule="auto"/>
        <w:ind w:left="284"/>
        <w:rPr>
          <w:rFonts w:ascii="Athiti" w:eastAsia="Athiti" w:hAnsi="Athiti" w:cs="Athiti"/>
          <w:lang w:val="cs-CZ"/>
        </w:rPr>
      </w:pPr>
      <w:r w:rsidRPr="00A614D9">
        <w:rPr>
          <w:rFonts w:ascii="Athiti" w:eastAsia="Athiti" w:hAnsi="Athiti" w:cs="Athiti"/>
          <w:lang w:val="cs-CZ"/>
        </w:rPr>
        <w:t>Obsahem školení musí být nejen samotný výklad těchto Pravidel, ale také jejich praktická aplikace. Školení rovněž zahrnuje: upozornění na možné změny a aktualizace Pravidel, vysvětlení postupů pro identifikaci sankčních rizik u klientů, návody pro správné vyhodnocení podezřelých obchodů. Cílem školení je zajistit, aby každý zaměstnanec vykonával svou práci řádně, informovaně a v souladu s tímto dokumentem i platnými právními předpisy. Obsah školení je průběžně doplňován a aktualizován povinnou osobou.</w:t>
      </w:r>
    </w:p>
    <w:p w:rsidR="008119FF" w:rsidRPr="00A614D9" w:rsidRDefault="008119FF" w:rsidP="008119FF">
      <w:pPr>
        <w:pStyle w:val="normal"/>
        <w:widowControl w:val="0"/>
        <w:tabs>
          <w:tab w:val="left" w:pos="9356"/>
        </w:tabs>
        <w:spacing w:before="139" w:after="0" w:line="240" w:lineRule="auto"/>
        <w:ind w:left="426"/>
        <w:rPr>
          <w:rFonts w:ascii="Athiti" w:eastAsia="Athiti" w:hAnsi="Athiti" w:cs="Athiti"/>
          <w:lang w:val="cs-CZ"/>
        </w:rPr>
      </w:pPr>
    </w:p>
    <w:p w:rsidR="008119FF" w:rsidRPr="00A614D9" w:rsidRDefault="008119FF" w:rsidP="008119FF">
      <w:pPr>
        <w:pStyle w:val="Nadpis1"/>
        <w:keepNext w:val="0"/>
        <w:keepLines w:val="0"/>
        <w:widowControl w:val="0"/>
        <w:numPr>
          <w:ilvl w:val="0"/>
          <w:numId w:val="2"/>
        </w:numPr>
        <w:tabs>
          <w:tab w:val="left" w:pos="713"/>
          <w:tab w:val="left" w:pos="1276"/>
        </w:tabs>
        <w:spacing w:before="0" w:after="0" w:line="240" w:lineRule="auto"/>
        <w:rPr>
          <w:rFonts w:ascii="Athiti" w:eastAsia="Athiti" w:hAnsi="Athiti" w:cs="Athiti"/>
          <w:color w:val="2C74B5"/>
          <w:sz w:val="32"/>
          <w:szCs w:val="32"/>
          <w:lang w:val="cs-CZ"/>
        </w:rPr>
      </w:pPr>
      <w:r w:rsidRPr="00A614D9">
        <w:rPr>
          <w:rFonts w:ascii="Athiti" w:eastAsia="Athiti" w:hAnsi="Athiti" w:cs="Athiti"/>
          <w:color w:val="2C74B5"/>
          <w:sz w:val="32"/>
          <w:szCs w:val="32"/>
          <w:lang w:val="cs-CZ"/>
        </w:rPr>
        <w:t>ZÁVĚREČNÁ USTANOVENÍ</w:t>
      </w:r>
    </w:p>
    <w:p w:rsidR="008119FF" w:rsidRPr="00A614D9" w:rsidRDefault="008119FF" w:rsidP="008119FF">
      <w:pPr>
        <w:pStyle w:val="Nadpis1"/>
        <w:keepNext w:val="0"/>
        <w:keepLines w:val="0"/>
        <w:widowControl w:val="0"/>
        <w:tabs>
          <w:tab w:val="left" w:pos="713"/>
          <w:tab w:val="left" w:pos="9356"/>
        </w:tabs>
        <w:spacing w:before="0" w:after="0" w:line="240" w:lineRule="auto"/>
        <w:ind w:left="1077"/>
        <w:jc w:val="left"/>
        <w:rPr>
          <w:rFonts w:ascii="Athiti" w:eastAsia="Athiti" w:hAnsi="Athiti" w:cs="Athiti"/>
          <w:b w:val="0"/>
          <w:sz w:val="22"/>
          <w:szCs w:val="22"/>
          <w:lang w:val="cs-CZ"/>
        </w:rPr>
      </w:pPr>
    </w:p>
    <w:p w:rsidR="008119FF" w:rsidRPr="00A614D9" w:rsidRDefault="008119FF" w:rsidP="008119FF">
      <w:pPr>
        <w:pStyle w:val="normal"/>
        <w:widowControl w:val="0"/>
        <w:numPr>
          <w:ilvl w:val="0"/>
          <w:numId w:val="1"/>
        </w:numPr>
        <w:tabs>
          <w:tab w:val="left" w:pos="9356"/>
        </w:tabs>
        <w:spacing w:after="120" w:line="240" w:lineRule="auto"/>
        <w:ind w:left="284"/>
        <w:rPr>
          <w:rFonts w:ascii="Georgia" w:eastAsia="Georgia" w:hAnsi="Georgia" w:cs="Georgia"/>
          <w:lang w:val="cs-CZ"/>
        </w:rPr>
      </w:pPr>
      <w:bookmarkStart w:id="0" w:name="_heading=h.cwwxv86mtotb" w:colFirst="0" w:colLast="0"/>
      <w:bookmarkEnd w:id="0"/>
      <w:r w:rsidRPr="00A614D9">
        <w:rPr>
          <w:rFonts w:ascii="Athiti" w:eastAsia="Athiti" w:hAnsi="Athiti" w:cs="Athiti"/>
          <w:lang w:val="cs-CZ"/>
        </w:rPr>
        <w:t>Tento vnitřní předpis podléhá pravidelné revizi, která musí být provedena nejméně jednou ročně. Kromě toho bude dokument aktualizován vždy, dojde-li ke změně příslušných právních předpisů, zejména těch, které se týkají sankčních opatření. Za provádění revizí a zajištění aktuálnosti tohoto dokumentu odpovídá Compliance Officer.</w:t>
      </w:r>
    </w:p>
    <w:p w:rsidR="008119FF" w:rsidRPr="00A614D9" w:rsidRDefault="008119FF" w:rsidP="008119FF">
      <w:pPr>
        <w:pStyle w:val="normal"/>
        <w:widowControl w:val="0"/>
        <w:numPr>
          <w:ilvl w:val="0"/>
          <w:numId w:val="1"/>
        </w:numPr>
        <w:tabs>
          <w:tab w:val="left" w:pos="9356"/>
        </w:tabs>
        <w:spacing w:after="120" w:line="240" w:lineRule="auto"/>
        <w:ind w:left="284"/>
        <w:rPr>
          <w:rFonts w:ascii="Athiti" w:eastAsia="Athiti" w:hAnsi="Athiti" w:cs="Athiti"/>
          <w:lang w:val="cs-CZ"/>
        </w:rPr>
      </w:pPr>
      <w:bookmarkStart w:id="1" w:name="_heading=h.t2q97mk15zx6" w:colFirst="0" w:colLast="0"/>
      <w:bookmarkEnd w:id="1"/>
      <w:r w:rsidRPr="00A614D9">
        <w:rPr>
          <w:rFonts w:ascii="Athiti" w:eastAsia="Athiti" w:hAnsi="Athiti" w:cs="Athiti"/>
          <w:lang w:val="cs-CZ"/>
        </w:rPr>
        <w:t>Pravidla vstupují v platnost a nabývají účinnosti dnem jejich schválení.</w:t>
      </w:r>
    </w:p>
    <w:p w:rsidR="008119FF" w:rsidRPr="00A614D9" w:rsidRDefault="008119FF" w:rsidP="008119FF">
      <w:pPr>
        <w:pStyle w:val="normal"/>
        <w:widowControl w:val="0"/>
        <w:numPr>
          <w:ilvl w:val="0"/>
          <w:numId w:val="1"/>
        </w:numPr>
        <w:tabs>
          <w:tab w:val="left" w:pos="9356"/>
        </w:tabs>
        <w:spacing w:after="120" w:line="240" w:lineRule="auto"/>
        <w:ind w:left="284"/>
        <w:rPr>
          <w:rFonts w:ascii="Athiti" w:eastAsia="Athiti" w:hAnsi="Athiti" w:cs="Athiti"/>
          <w:lang w:val="cs-CZ"/>
        </w:rPr>
      </w:pPr>
      <w:bookmarkStart w:id="2" w:name="_heading=h.cdvg8vjjgkaw" w:colFirst="0" w:colLast="0"/>
      <w:bookmarkEnd w:id="2"/>
      <w:r w:rsidRPr="00A614D9">
        <w:rPr>
          <w:rFonts w:ascii="Athiti" w:eastAsia="Athiti" w:hAnsi="Athiti" w:cs="Athiti"/>
          <w:lang w:val="cs-CZ"/>
        </w:rPr>
        <w:t>Každý zaměstnanec společnosti i další osoby, na které se tento dokument vztahuje, jsou povinni se s jeho obsahem seznámit způsobem, který bude doložitelný. Compliance Officer zodpovídá za distribuci tohoto dokumentu i za zajištění příslušného školení zaměstnanců.</w:t>
      </w:r>
    </w:p>
    <w:p w:rsidR="008119FF" w:rsidRPr="00A614D9" w:rsidRDefault="008119FF" w:rsidP="008119FF">
      <w:pPr>
        <w:pStyle w:val="normal"/>
        <w:widowControl w:val="0"/>
        <w:numPr>
          <w:ilvl w:val="0"/>
          <w:numId w:val="1"/>
        </w:numPr>
        <w:tabs>
          <w:tab w:val="left" w:pos="9356"/>
        </w:tabs>
        <w:spacing w:after="120" w:line="240" w:lineRule="auto"/>
        <w:ind w:left="284"/>
        <w:rPr>
          <w:rFonts w:ascii="Athiti" w:eastAsia="Athiti" w:hAnsi="Athiti" w:cs="Athiti"/>
          <w:lang w:val="cs-CZ"/>
        </w:rPr>
      </w:pPr>
      <w:bookmarkStart w:id="3" w:name="_heading=h.nnl5z2vw2nms" w:colFirst="0" w:colLast="0"/>
      <w:bookmarkEnd w:id="3"/>
      <w:r w:rsidRPr="00A614D9">
        <w:rPr>
          <w:rFonts w:ascii="Athiti" w:eastAsia="Athiti" w:hAnsi="Athiti" w:cs="Athiti"/>
          <w:lang w:val="cs-CZ"/>
        </w:rPr>
        <w:t>Tento interní předpis je závazný pro všechny organizační jednotky společnosti a všechny osoby podílející se na poskytování služeb Společnosti. Není dovoleno žádné svévolné odchýlení se od postupů zde stanovených.</w:t>
      </w:r>
    </w:p>
    <w:p w:rsidR="008119FF" w:rsidRPr="00A614D9" w:rsidRDefault="008119FF" w:rsidP="008119FF">
      <w:pPr>
        <w:pStyle w:val="normal"/>
        <w:widowControl w:val="0"/>
        <w:numPr>
          <w:ilvl w:val="0"/>
          <w:numId w:val="1"/>
        </w:numPr>
        <w:tabs>
          <w:tab w:val="left" w:pos="9356"/>
        </w:tabs>
        <w:spacing w:after="120" w:line="240" w:lineRule="auto"/>
        <w:ind w:left="284"/>
        <w:rPr>
          <w:rFonts w:ascii="Athiti" w:eastAsia="Athiti" w:hAnsi="Athiti" w:cs="Athiti"/>
          <w:lang w:val="cs-CZ"/>
        </w:rPr>
      </w:pPr>
      <w:bookmarkStart w:id="4" w:name="_heading=h.y3hw1axjnill" w:colFirst="0" w:colLast="0"/>
      <w:bookmarkEnd w:id="4"/>
      <w:r w:rsidRPr="00A614D9">
        <w:rPr>
          <w:rFonts w:ascii="Athiti" w:eastAsia="Athiti" w:hAnsi="Athiti" w:cs="Athiti"/>
          <w:lang w:val="cs-CZ"/>
        </w:rPr>
        <w:t>V případě nejasností ohledně výkladu nebo uplatnění konkrétního ustanovení je zaměstnanec povinen neprodleně kontaktovat Compliance Officer společnosti.</w:t>
      </w:r>
    </w:p>
    <w:p w:rsidR="00B06DB5" w:rsidRPr="008215A4" w:rsidRDefault="008119FF" w:rsidP="008215A4">
      <w:pPr>
        <w:pStyle w:val="normal"/>
        <w:widowControl w:val="0"/>
        <w:numPr>
          <w:ilvl w:val="0"/>
          <w:numId w:val="1"/>
        </w:numPr>
        <w:tabs>
          <w:tab w:val="left" w:pos="9356"/>
        </w:tabs>
        <w:spacing w:after="120" w:line="240" w:lineRule="auto"/>
        <w:ind w:left="284"/>
        <w:rPr>
          <w:rFonts w:ascii="Athiti" w:eastAsia="Athiti" w:hAnsi="Athiti" w:cs="Athiti"/>
          <w:lang w:val="cs-CZ"/>
        </w:rPr>
      </w:pPr>
      <w:bookmarkStart w:id="5" w:name="_heading=h.pmzxxi5d1l6d" w:colFirst="0" w:colLast="0"/>
      <w:bookmarkEnd w:id="5"/>
      <w:r w:rsidRPr="00A614D9">
        <w:rPr>
          <w:rFonts w:ascii="Athiti" w:eastAsia="Athiti" w:hAnsi="Athiti" w:cs="Athiti"/>
          <w:lang w:val="cs-CZ"/>
        </w:rPr>
        <w:t>Originál dokumentu je uložen u Compliance Officera a je k dispozici k nahlédnutí oprávněným osobám. Aktuální elektronická verze dokumentu je dostupná v interním systému společnosti.</w:t>
      </w:r>
    </w:p>
    <w:sectPr w:rsidR="00B06DB5" w:rsidRPr="008215A4" w:rsidSect="00EA2049">
      <w:type w:val="continuous"/>
      <w:pgSz w:w="11906" w:h="16838"/>
      <w:pgMar w:top="1240" w:right="1440" w:bottom="1276" w:left="1440" w:header="340" w:footer="8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184" w:rsidRDefault="002E5184" w:rsidP="0079718C">
      <w:pPr>
        <w:spacing w:after="0" w:line="240" w:lineRule="auto"/>
      </w:pPr>
      <w:r>
        <w:separator/>
      </w:r>
    </w:p>
  </w:endnote>
  <w:endnote w:type="continuationSeparator" w:id="1">
    <w:p w:rsidR="002E5184" w:rsidRDefault="002E5184" w:rsidP="00797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thiti">
    <w:altName w:val="Times New Roman"/>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049" w:rsidRDefault="00A614D9">
    <w:pPr>
      <w:pStyle w:val="normal"/>
      <w:pBdr>
        <w:top w:val="nil"/>
        <w:left w:val="nil"/>
        <w:bottom w:val="nil"/>
        <w:right w:val="nil"/>
        <w:between w:val="nil"/>
      </w:pBdr>
      <w:tabs>
        <w:tab w:val="center" w:pos="4677"/>
        <w:tab w:val="right" w:pos="9355"/>
      </w:tabs>
      <w:spacing w:after="0" w:line="240" w:lineRule="auto"/>
      <w:jc w:val="center"/>
      <w:rPr>
        <w:color w:val="000000"/>
      </w:rPr>
    </w:pPr>
    <w:r>
      <w:rPr>
        <w:noProof/>
        <w:color w:val="000000"/>
      </w:rPr>
      <w:drawing>
        <wp:inline distT="0" distB="0" distL="0" distR="0">
          <wp:extent cx="5524500" cy="102235"/>
          <wp:effectExtent l="0" t="0" r="0" b="0"/>
          <wp:docPr id="14" name="image1.png" descr="Light horizontal"/>
          <wp:cNvGraphicFramePr/>
          <a:graphic xmlns:a="http://schemas.openxmlformats.org/drawingml/2006/main">
            <a:graphicData uri="http://schemas.openxmlformats.org/drawingml/2006/picture">
              <pic:pic xmlns:pic="http://schemas.openxmlformats.org/drawingml/2006/picture">
                <pic:nvPicPr>
                  <pic:cNvPr id="0" name="image1.png" descr="Light horizontal"/>
                  <pic:cNvPicPr preferRelativeResize="0"/>
                </pic:nvPicPr>
                <pic:blipFill>
                  <a:blip r:embed="rId1"/>
                  <a:srcRect/>
                  <a:stretch>
                    <a:fillRect/>
                  </a:stretch>
                </pic:blipFill>
                <pic:spPr>
                  <a:xfrm>
                    <a:off x="0" y="0"/>
                    <a:ext cx="5524500" cy="102235"/>
                  </a:xfrm>
                  <a:prstGeom prst="rect">
                    <a:avLst/>
                  </a:prstGeom>
                  <a:ln/>
                </pic:spPr>
              </pic:pic>
            </a:graphicData>
          </a:graphic>
        </wp:inline>
      </w:drawing>
    </w:r>
  </w:p>
  <w:p w:rsidR="00EA2049" w:rsidRDefault="00894087">
    <w:pPr>
      <w:pStyle w:val="normal"/>
      <w:pBdr>
        <w:top w:val="nil"/>
        <w:left w:val="nil"/>
        <w:bottom w:val="nil"/>
        <w:right w:val="nil"/>
        <w:between w:val="nil"/>
      </w:pBdr>
      <w:tabs>
        <w:tab w:val="center" w:pos="4677"/>
        <w:tab w:val="right" w:pos="9355"/>
      </w:tabs>
      <w:spacing w:after="0" w:line="240" w:lineRule="auto"/>
      <w:jc w:val="center"/>
      <w:rPr>
        <w:rFonts w:ascii="Athiti" w:eastAsia="Athiti" w:hAnsi="Athiti" w:cs="Athiti"/>
        <w:color w:val="000000"/>
      </w:rPr>
    </w:pPr>
    <w:r>
      <w:rPr>
        <w:rFonts w:ascii="Athiti" w:eastAsia="Athiti" w:hAnsi="Athiti" w:cs="Athiti"/>
        <w:color w:val="000000"/>
      </w:rPr>
      <w:fldChar w:fldCharType="begin"/>
    </w:r>
    <w:r w:rsidR="00A614D9">
      <w:rPr>
        <w:rFonts w:ascii="Athiti" w:eastAsia="Athiti" w:hAnsi="Athiti" w:cs="Athiti"/>
        <w:color w:val="000000"/>
      </w:rPr>
      <w:instrText>PAGE</w:instrText>
    </w:r>
    <w:r>
      <w:rPr>
        <w:rFonts w:ascii="Athiti" w:eastAsia="Athiti" w:hAnsi="Athiti" w:cs="Athiti"/>
        <w:color w:val="000000"/>
      </w:rPr>
      <w:fldChar w:fldCharType="separate"/>
    </w:r>
    <w:r w:rsidR="00DC2D60">
      <w:rPr>
        <w:rFonts w:ascii="Athiti" w:eastAsia="Athiti" w:hAnsi="Athiti" w:cs="Athiti"/>
        <w:noProof/>
        <w:color w:val="000000"/>
      </w:rPr>
      <w:t>13</w:t>
    </w:r>
    <w:r>
      <w:rPr>
        <w:rFonts w:ascii="Athiti" w:eastAsia="Athiti" w:hAnsi="Athiti" w:cs="Athiti"/>
        <w:color w:val="000000"/>
      </w:rPr>
      <w:fldChar w:fldCharType="end"/>
    </w:r>
  </w:p>
  <w:p w:rsidR="00EA2049" w:rsidRDefault="002E5184">
    <w:pPr>
      <w:pStyle w:val="normal"/>
      <w:shd w:val="clear" w:color="auto" w:fill="FFFFF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049" w:rsidRDefault="002E5184">
    <w:pPr>
      <w:pStyle w:val="normal"/>
      <w:shd w:val="clear" w:color="auto" w:fill="FFFFFF"/>
      <w:jc w:val="center"/>
      <w:rPr>
        <w:rFonts w:ascii="Athiti" w:eastAsia="Athiti" w:hAnsi="Athiti" w:cs="Athiti"/>
        <w:color w:val="333333"/>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184" w:rsidRDefault="002E5184" w:rsidP="0079718C">
      <w:pPr>
        <w:spacing w:after="0" w:line="240" w:lineRule="auto"/>
      </w:pPr>
      <w:r>
        <w:separator/>
      </w:r>
    </w:p>
  </w:footnote>
  <w:footnote w:type="continuationSeparator" w:id="1">
    <w:p w:rsidR="002E5184" w:rsidRDefault="002E5184" w:rsidP="007971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049" w:rsidRDefault="00A614D9">
    <w:pPr>
      <w:pStyle w:val="normal"/>
    </w:pPr>
    <w:r>
      <w:rPr>
        <w:noProof/>
      </w:rPr>
      <w:drawing>
        <wp:anchor distT="0" distB="0" distL="114300" distR="114300" simplePos="0" relativeHeight="251659264" behindDoc="0" locked="0" layoutInCell="1" allowOverlap="1">
          <wp:simplePos x="0" y="0"/>
          <wp:positionH relativeFrom="page">
            <wp:posOffset>-23803</wp:posOffset>
          </wp:positionH>
          <wp:positionV relativeFrom="page">
            <wp:posOffset>-23803</wp:posOffset>
          </wp:positionV>
          <wp:extent cx="137625" cy="14539725"/>
          <wp:effectExtent l="0" t="0" r="0" b="0"/>
          <wp:wrapSquare wrapText="bothSides" distT="0" distB="0" distL="114300" distR="11430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625" cy="14539725"/>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049" w:rsidRDefault="002E5184">
    <w:pPr>
      <w:pStyle w:val="normal"/>
      <w:jc w:val="right"/>
      <w:rPr>
        <w:rFonts w:ascii="Athiti" w:eastAsia="Athiti" w:hAnsi="Athiti" w:cs="Athiti"/>
        <w:color w:val="1155CC"/>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4D56"/>
    <w:multiLevelType w:val="multilevel"/>
    <w:tmpl w:val="1FFED180"/>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
    <w:nsid w:val="10A24DCD"/>
    <w:multiLevelType w:val="multilevel"/>
    <w:tmpl w:val="F7B0E4B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2">
    <w:nsid w:val="157A1553"/>
    <w:multiLevelType w:val="multilevel"/>
    <w:tmpl w:val="B126A1FA"/>
    <w:lvl w:ilvl="0">
      <w:start w:val="10"/>
      <w:numFmt w:val="decimal"/>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nsid w:val="17152ACB"/>
    <w:multiLevelType w:val="multilevel"/>
    <w:tmpl w:val="AB404EEA"/>
    <w:lvl w:ilvl="0">
      <w:start w:val="3"/>
      <w:numFmt w:val="decimal"/>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nsid w:val="26EF64FE"/>
    <w:multiLevelType w:val="multilevel"/>
    <w:tmpl w:val="4B8E1A64"/>
    <w:lvl w:ilvl="0">
      <w:start w:val="1"/>
      <w:numFmt w:val="bullet"/>
      <w:lvlText w:val="●"/>
      <w:lvlJc w:val="left"/>
      <w:pPr>
        <w:ind w:left="2487" w:hanging="360"/>
      </w:pPr>
      <w:rPr>
        <w:u w:val="none"/>
      </w:rPr>
    </w:lvl>
    <w:lvl w:ilvl="1">
      <w:start w:val="1"/>
      <w:numFmt w:val="bullet"/>
      <w:lvlText w:val="o"/>
      <w:lvlJc w:val="left"/>
      <w:pPr>
        <w:ind w:left="1860" w:hanging="360"/>
      </w:pPr>
      <w:rPr>
        <w:u w:val="none"/>
      </w:rPr>
    </w:lvl>
    <w:lvl w:ilvl="2">
      <w:start w:val="1"/>
      <w:numFmt w:val="bullet"/>
      <w:lvlText w:val="▪"/>
      <w:lvlJc w:val="left"/>
      <w:pPr>
        <w:ind w:left="2580" w:hanging="360"/>
      </w:pPr>
      <w:rPr>
        <w:u w:val="none"/>
      </w:rPr>
    </w:lvl>
    <w:lvl w:ilvl="3">
      <w:start w:val="1"/>
      <w:numFmt w:val="bullet"/>
      <w:lvlText w:val="●"/>
      <w:lvlJc w:val="left"/>
      <w:pPr>
        <w:ind w:left="3300" w:hanging="360"/>
      </w:pPr>
      <w:rPr>
        <w:u w:val="none"/>
      </w:rPr>
    </w:lvl>
    <w:lvl w:ilvl="4">
      <w:start w:val="1"/>
      <w:numFmt w:val="bullet"/>
      <w:lvlText w:val="o"/>
      <w:lvlJc w:val="left"/>
      <w:pPr>
        <w:ind w:left="4020" w:hanging="360"/>
      </w:pPr>
      <w:rPr>
        <w:u w:val="none"/>
      </w:rPr>
    </w:lvl>
    <w:lvl w:ilvl="5">
      <w:start w:val="1"/>
      <w:numFmt w:val="bullet"/>
      <w:lvlText w:val="▪"/>
      <w:lvlJc w:val="left"/>
      <w:pPr>
        <w:ind w:left="4740" w:hanging="360"/>
      </w:pPr>
      <w:rPr>
        <w:u w:val="none"/>
      </w:rPr>
    </w:lvl>
    <w:lvl w:ilvl="6">
      <w:start w:val="1"/>
      <w:numFmt w:val="bullet"/>
      <w:lvlText w:val="●"/>
      <w:lvlJc w:val="left"/>
      <w:pPr>
        <w:ind w:left="5460" w:hanging="360"/>
      </w:pPr>
      <w:rPr>
        <w:u w:val="none"/>
      </w:rPr>
    </w:lvl>
    <w:lvl w:ilvl="7">
      <w:start w:val="1"/>
      <w:numFmt w:val="bullet"/>
      <w:lvlText w:val="o"/>
      <w:lvlJc w:val="left"/>
      <w:pPr>
        <w:ind w:left="6180" w:hanging="360"/>
      </w:pPr>
      <w:rPr>
        <w:u w:val="none"/>
      </w:rPr>
    </w:lvl>
    <w:lvl w:ilvl="8">
      <w:start w:val="1"/>
      <w:numFmt w:val="bullet"/>
      <w:lvlText w:val="▪"/>
      <w:lvlJc w:val="left"/>
      <w:pPr>
        <w:ind w:left="6900" w:hanging="360"/>
      </w:pPr>
      <w:rPr>
        <w:u w:val="none"/>
      </w:rPr>
    </w:lvl>
  </w:abstractNum>
  <w:abstractNum w:abstractNumId="5">
    <w:nsid w:val="29554E9F"/>
    <w:multiLevelType w:val="multilevel"/>
    <w:tmpl w:val="DEE6BFF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6">
    <w:nsid w:val="2A6F1F07"/>
    <w:multiLevelType w:val="multilevel"/>
    <w:tmpl w:val="989407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5E6068F"/>
    <w:multiLevelType w:val="multilevel"/>
    <w:tmpl w:val="A3DCBCB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8">
    <w:nsid w:val="365C1D50"/>
    <w:multiLevelType w:val="multilevel"/>
    <w:tmpl w:val="5A04CF54"/>
    <w:lvl w:ilvl="0">
      <w:start w:val="11"/>
      <w:numFmt w:val="decimal"/>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nsid w:val="46532A71"/>
    <w:multiLevelType w:val="multilevel"/>
    <w:tmpl w:val="ED8E1E9C"/>
    <w:lvl w:ilvl="0">
      <w:start w:val="7"/>
      <w:numFmt w:val="decimal"/>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nsid w:val="47391AFA"/>
    <w:multiLevelType w:val="multilevel"/>
    <w:tmpl w:val="385C848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1">
    <w:nsid w:val="50EB1410"/>
    <w:multiLevelType w:val="multilevel"/>
    <w:tmpl w:val="A8FC7B54"/>
    <w:lvl w:ilvl="0">
      <w:start w:val="1"/>
      <w:numFmt w:val="bullet"/>
      <w:lvlText w:val="●"/>
      <w:lvlJc w:val="left"/>
      <w:pPr>
        <w:ind w:left="1146" w:hanging="360"/>
      </w:pPr>
      <w:rPr>
        <w:u w:val="none"/>
      </w:rPr>
    </w:lvl>
    <w:lvl w:ilvl="1">
      <w:start w:val="1"/>
      <w:numFmt w:val="bullet"/>
      <w:lvlText w:val="o"/>
      <w:lvlJc w:val="left"/>
      <w:pPr>
        <w:ind w:left="1866" w:hanging="360"/>
      </w:pPr>
      <w:rPr>
        <w:u w:val="none"/>
      </w:rPr>
    </w:lvl>
    <w:lvl w:ilvl="2">
      <w:start w:val="1"/>
      <w:numFmt w:val="bullet"/>
      <w:lvlText w:val="▪"/>
      <w:lvlJc w:val="left"/>
      <w:pPr>
        <w:ind w:left="2586" w:hanging="360"/>
      </w:pPr>
      <w:rPr>
        <w:u w:val="none"/>
      </w:rPr>
    </w:lvl>
    <w:lvl w:ilvl="3">
      <w:start w:val="1"/>
      <w:numFmt w:val="bullet"/>
      <w:lvlText w:val="●"/>
      <w:lvlJc w:val="left"/>
      <w:pPr>
        <w:ind w:left="3306" w:hanging="360"/>
      </w:pPr>
      <w:rPr>
        <w:u w:val="none"/>
      </w:rPr>
    </w:lvl>
    <w:lvl w:ilvl="4">
      <w:start w:val="1"/>
      <w:numFmt w:val="bullet"/>
      <w:lvlText w:val="o"/>
      <w:lvlJc w:val="left"/>
      <w:pPr>
        <w:ind w:left="4026" w:hanging="360"/>
      </w:pPr>
      <w:rPr>
        <w:u w:val="none"/>
      </w:rPr>
    </w:lvl>
    <w:lvl w:ilvl="5">
      <w:start w:val="1"/>
      <w:numFmt w:val="bullet"/>
      <w:lvlText w:val="▪"/>
      <w:lvlJc w:val="left"/>
      <w:pPr>
        <w:ind w:left="4746" w:hanging="360"/>
      </w:pPr>
      <w:rPr>
        <w:u w:val="none"/>
      </w:rPr>
    </w:lvl>
    <w:lvl w:ilvl="6">
      <w:start w:val="1"/>
      <w:numFmt w:val="bullet"/>
      <w:lvlText w:val="●"/>
      <w:lvlJc w:val="left"/>
      <w:pPr>
        <w:ind w:left="5466" w:hanging="360"/>
      </w:pPr>
      <w:rPr>
        <w:u w:val="none"/>
      </w:rPr>
    </w:lvl>
    <w:lvl w:ilvl="7">
      <w:start w:val="1"/>
      <w:numFmt w:val="bullet"/>
      <w:lvlText w:val="o"/>
      <w:lvlJc w:val="left"/>
      <w:pPr>
        <w:ind w:left="6186" w:hanging="360"/>
      </w:pPr>
      <w:rPr>
        <w:u w:val="none"/>
      </w:rPr>
    </w:lvl>
    <w:lvl w:ilvl="8">
      <w:start w:val="1"/>
      <w:numFmt w:val="bullet"/>
      <w:lvlText w:val="▪"/>
      <w:lvlJc w:val="left"/>
      <w:pPr>
        <w:ind w:left="6906" w:hanging="360"/>
      </w:pPr>
      <w:rPr>
        <w:u w:val="none"/>
      </w:rPr>
    </w:lvl>
  </w:abstractNum>
  <w:abstractNum w:abstractNumId="12">
    <w:nsid w:val="58D23A89"/>
    <w:multiLevelType w:val="multilevel"/>
    <w:tmpl w:val="9A4E1540"/>
    <w:lvl w:ilvl="0">
      <w:start w:val="1"/>
      <w:numFmt w:val="bullet"/>
      <w:lvlText w:val="●"/>
      <w:lvlJc w:val="left"/>
      <w:pPr>
        <w:ind w:left="1146" w:hanging="360"/>
      </w:pPr>
      <w:rPr>
        <w:u w:val="none"/>
      </w:rPr>
    </w:lvl>
    <w:lvl w:ilvl="1">
      <w:start w:val="1"/>
      <w:numFmt w:val="bullet"/>
      <w:lvlText w:val="o"/>
      <w:lvlJc w:val="left"/>
      <w:pPr>
        <w:ind w:left="1866" w:hanging="360"/>
      </w:pPr>
      <w:rPr>
        <w:u w:val="none"/>
      </w:rPr>
    </w:lvl>
    <w:lvl w:ilvl="2">
      <w:start w:val="1"/>
      <w:numFmt w:val="bullet"/>
      <w:lvlText w:val="▪"/>
      <w:lvlJc w:val="left"/>
      <w:pPr>
        <w:ind w:left="2586" w:hanging="360"/>
      </w:pPr>
      <w:rPr>
        <w:u w:val="none"/>
      </w:rPr>
    </w:lvl>
    <w:lvl w:ilvl="3">
      <w:start w:val="1"/>
      <w:numFmt w:val="bullet"/>
      <w:lvlText w:val="●"/>
      <w:lvlJc w:val="left"/>
      <w:pPr>
        <w:ind w:left="3306" w:hanging="360"/>
      </w:pPr>
      <w:rPr>
        <w:u w:val="none"/>
      </w:rPr>
    </w:lvl>
    <w:lvl w:ilvl="4">
      <w:start w:val="1"/>
      <w:numFmt w:val="bullet"/>
      <w:lvlText w:val="o"/>
      <w:lvlJc w:val="left"/>
      <w:pPr>
        <w:ind w:left="4026" w:hanging="360"/>
      </w:pPr>
      <w:rPr>
        <w:u w:val="none"/>
      </w:rPr>
    </w:lvl>
    <w:lvl w:ilvl="5">
      <w:start w:val="1"/>
      <w:numFmt w:val="bullet"/>
      <w:lvlText w:val="▪"/>
      <w:lvlJc w:val="left"/>
      <w:pPr>
        <w:ind w:left="4746" w:hanging="360"/>
      </w:pPr>
      <w:rPr>
        <w:u w:val="none"/>
      </w:rPr>
    </w:lvl>
    <w:lvl w:ilvl="6">
      <w:start w:val="1"/>
      <w:numFmt w:val="bullet"/>
      <w:lvlText w:val="●"/>
      <w:lvlJc w:val="left"/>
      <w:pPr>
        <w:ind w:left="5466" w:hanging="360"/>
      </w:pPr>
      <w:rPr>
        <w:u w:val="none"/>
      </w:rPr>
    </w:lvl>
    <w:lvl w:ilvl="7">
      <w:start w:val="1"/>
      <w:numFmt w:val="bullet"/>
      <w:lvlText w:val="o"/>
      <w:lvlJc w:val="left"/>
      <w:pPr>
        <w:ind w:left="6186" w:hanging="360"/>
      </w:pPr>
      <w:rPr>
        <w:u w:val="none"/>
      </w:rPr>
    </w:lvl>
    <w:lvl w:ilvl="8">
      <w:start w:val="1"/>
      <w:numFmt w:val="bullet"/>
      <w:lvlText w:val="▪"/>
      <w:lvlJc w:val="left"/>
      <w:pPr>
        <w:ind w:left="6906" w:hanging="360"/>
      </w:pPr>
      <w:rPr>
        <w:u w:val="none"/>
      </w:rPr>
    </w:lvl>
  </w:abstractNum>
  <w:abstractNum w:abstractNumId="13">
    <w:nsid w:val="60D939B8"/>
    <w:multiLevelType w:val="multilevel"/>
    <w:tmpl w:val="1FE646E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4">
    <w:nsid w:val="61083250"/>
    <w:multiLevelType w:val="multilevel"/>
    <w:tmpl w:val="D430E162"/>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5">
    <w:nsid w:val="621C12ED"/>
    <w:multiLevelType w:val="multilevel"/>
    <w:tmpl w:val="98D46A02"/>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6">
    <w:nsid w:val="65B2358E"/>
    <w:multiLevelType w:val="multilevel"/>
    <w:tmpl w:val="A3DCC710"/>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7">
    <w:nsid w:val="65C27FF7"/>
    <w:multiLevelType w:val="multilevel"/>
    <w:tmpl w:val="E7E84242"/>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8">
    <w:nsid w:val="6F473545"/>
    <w:multiLevelType w:val="multilevel"/>
    <w:tmpl w:val="88CA3C6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9">
    <w:nsid w:val="712B49E6"/>
    <w:multiLevelType w:val="multilevel"/>
    <w:tmpl w:val="9B14F18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20">
    <w:nsid w:val="76A62066"/>
    <w:multiLevelType w:val="multilevel"/>
    <w:tmpl w:val="44B06C9A"/>
    <w:lvl w:ilvl="0">
      <w:start w:val="13"/>
      <w:numFmt w:val="decimal"/>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nsid w:val="7E93341B"/>
    <w:multiLevelType w:val="multilevel"/>
    <w:tmpl w:val="7FAEB94A"/>
    <w:lvl w:ilvl="0">
      <w:start w:val="1"/>
      <w:numFmt w:val="bullet"/>
      <w:lvlText w:val="●"/>
      <w:lvlJc w:val="left"/>
      <w:pPr>
        <w:ind w:left="1215" w:hanging="360"/>
      </w:pPr>
      <w:rPr>
        <w:u w:val="none"/>
      </w:rPr>
    </w:lvl>
    <w:lvl w:ilvl="1">
      <w:start w:val="1"/>
      <w:numFmt w:val="bullet"/>
      <w:lvlText w:val="o"/>
      <w:lvlJc w:val="left"/>
      <w:pPr>
        <w:ind w:left="1935" w:hanging="360"/>
      </w:pPr>
      <w:rPr>
        <w:u w:val="none"/>
      </w:rPr>
    </w:lvl>
    <w:lvl w:ilvl="2">
      <w:start w:val="1"/>
      <w:numFmt w:val="bullet"/>
      <w:lvlText w:val="▪"/>
      <w:lvlJc w:val="left"/>
      <w:pPr>
        <w:ind w:left="2655" w:hanging="360"/>
      </w:pPr>
      <w:rPr>
        <w:u w:val="none"/>
      </w:rPr>
    </w:lvl>
    <w:lvl w:ilvl="3">
      <w:start w:val="1"/>
      <w:numFmt w:val="bullet"/>
      <w:lvlText w:val="●"/>
      <w:lvlJc w:val="left"/>
      <w:pPr>
        <w:ind w:left="3375" w:hanging="360"/>
      </w:pPr>
      <w:rPr>
        <w:u w:val="none"/>
      </w:rPr>
    </w:lvl>
    <w:lvl w:ilvl="4">
      <w:start w:val="1"/>
      <w:numFmt w:val="bullet"/>
      <w:lvlText w:val="o"/>
      <w:lvlJc w:val="left"/>
      <w:pPr>
        <w:ind w:left="4095" w:hanging="360"/>
      </w:pPr>
      <w:rPr>
        <w:u w:val="none"/>
      </w:rPr>
    </w:lvl>
    <w:lvl w:ilvl="5">
      <w:start w:val="1"/>
      <w:numFmt w:val="bullet"/>
      <w:lvlText w:val="▪"/>
      <w:lvlJc w:val="left"/>
      <w:pPr>
        <w:ind w:left="4815" w:hanging="360"/>
      </w:pPr>
      <w:rPr>
        <w:u w:val="none"/>
      </w:rPr>
    </w:lvl>
    <w:lvl w:ilvl="6">
      <w:start w:val="1"/>
      <w:numFmt w:val="bullet"/>
      <w:lvlText w:val="●"/>
      <w:lvlJc w:val="left"/>
      <w:pPr>
        <w:ind w:left="5535" w:hanging="360"/>
      </w:pPr>
      <w:rPr>
        <w:u w:val="none"/>
      </w:rPr>
    </w:lvl>
    <w:lvl w:ilvl="7">
      <w:start w:val="1"/>
      <w:numFmt w:val="bullet"/>
      <w:lvlText w:val="o"/>
      <w:lvlJc w:val="left"/>
      <w:pPr>
        <w:ind w:left="6255" w:hanging="360"/>
      </w:pPr>
      <w:rPr>
        <w:u w:val="none"/>
      </w:rPr>
    </w:lvl>
    <w:lvl w:ilvl="8">
      <w:start w:val="1"/>
      <w:numFmt w:val="bullet"/>
      <w:lvlText w:val="▪"/>
      <w:lvlJc w:val="left"/>
      <w:pPr>
        <w:ind w:left="6975" w:hanging="360"/>
      </w:pPr>
      <w:rPr>
        <w:u w:val="none"/>
      </w:rPr>
    </w:lvl>
  </w:abstractNum>
  <w:num w:numId="1">
    <w:abstractNumId w:val="6"/>
  </w:num>
  <w:num w:numId="2">
    <w:abstractNumId w:val="20"/>
  </w:num>
  <w:num w:numId="3">
    <w:abstractNumId w:val="17"/>
  </w:num>
  <w:num w:numId="4">
    <w:abstractNumId w:val="3"/>
  </w:num>
  <w:num w:numId="5">
    <w:abstractNumId w:val="13"/>
  </w:num>
  <w:num w:numId="6">
    <w:abstractNumId w:val="0"/>
  </w:num>
  <w:num w:numId="7">
    <w:abstractNumId w:val="11"/>
  </w:num>
  <w:num w:numId="8">
    <w:abstractNumId w:val="14"/>
  </w:num>
  <w:num w:numId="9">
    <w:abstractNumId w:val="1"/>
  </w:num>
  <w:num w:numId="10">
    <w:abstractNumId w:val="8"/>
  </w:num>
  <w:num w:numId="11">
    <w:abstractNumId w:val="5"/>
  </w:num>
  <w:num w:numId="12">
    <w:abstractNumId w:val="10"/>
  </w:num>
  <w:num w:numId="13">
    <w:abstractNumId w:val="21"/>
  </w:num>
  <w:num w:numId="14">
    <w:abstractNumId w:val="18"/>
  </w:num>
  <w:num w:numId="15">
    <w:abstractNumId w:val="4"/>
  </w:num>
  <w:num w:numId="16">
    <w:abstractNumId w:val="19"/>
  </w:num>
  <w:num w:numId="17">
    <w:abstractNumId w:val="12"/>
  </w:num>
  <w:num w:numId="18">
    <w:abstractNumId w:val="9"/>
  </w:num>
  <w:num w:numId="19">
    <w:abstractNumId w:val="15"/>
  </w:num>
  <w:num w:numId="20">
    <w:abstractNumId w:val="7"/>
  </w:num>
  <w:num w:numId="21">
    <w:abstractNumId w:val="16"/>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19FF"/>
    <w:rsid w:val="001F0902"/>
    <w:rsid w:val="00267770"/>
    <w:rsid w:val="002E5184"/>
    <w:rsid w:val="005811F2"/>
    <w:rsid w:val="006C09BD"/>
    <w:rsid w:val="0079413C"/>
    <w:rsid w:val="0079718C"/>
    <w:rsid w:val="008119FF"/>
    <w:rsid w:val="008215A4"/>
    <w:rsid w:val="008626EF"/>
    <w:rsid w:val="00894087"/>
    <w:rsid w:val="009D0A5F"/>
    <w:rsid w:val="00A614D9"/>
    <w:rsid w:val="00B01FD2"/>
    <w:rsid w:val="00B06DB5"/>
    <w:rsid w:val="00B6224F"/>
    <w:rsid w:val="00DC2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19FF"/>
    <w:pPr>
      <w:spacing w:after="160"/>
      <w:jc w:val="both"/>
    </w:pPr>
    <w:rPr>
      <w:rFonts w:ascii="Times New Roman" w:eastAsia="Times New Roman" w:hAnsi="Times New Roman" w:cs="Times New Roman"/>
      <w:sz w:val="24"/>
      <w:szCs w:val="24"/>
    </w:rPr>
  </w:style>
  <w:style w:type="paragraph" w:styleId="Nadpis1">
    <w:name w:val="heading 1"/>
    <w:basedOn w:val="normal"/>
    <w:next w:val="normal"/>
    <w:link w:val="Nadpis1Char"/>
    <w:rsid w:val="008119FF"/>
    <w:pPr>
      <w:keepNext/>
      <w:keepLines/>
      <w:spacing w:before="360" w:after="240"/>
      <w:outlineLvl w:val="0"/>
    </w:pPr>
    <w:rPr>
      <w:rFonts w:ascii="Calibri" w:eastAsia="Calibri" w:hAnsi="Calibri" w:cs="Calibri"/>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119FF"/>
    <w:rPr>
      <w:rFonts w:ascii="Calibri" w:eastAsia="Calibri" w:hAnsi="Calibri" w:cs="Calibri"/>
      <w:b/>
      <w:sz w:val="36"/>
      <w:szCs w:val="36"/>
    </w:rPr>
  </w:style>
  <w:style w:type="paragraph" w:styleId="Nzev">
    <w:name w:val="Title"/>
    <w:basedOn w:val="normal"/>
    <w:next w:val="normal"/>
    <w:link w:val="NzevChar"/>
    <w:rsid w:val="008119FF"/>
    <w:pPr>
      <w:keepNext/>
      <w:keepLines/>
      <w:spacing w:before="480" w:after="120"/>
    </w:pPr>
    <w:rPr>
      <w:b/>
      <w:sz w:val="72"/>
      <w:szCs w:val="72"/>
    </w:rPr>
  </w:style>
  <w:style w:type="character" w:customStyle="1" w:styleId="NzevChar">
    <w:name w:val="Název Char"/>
    <w:basedOn w:val="Standardnpsmoodstavce"/>
    <w:link w:val="Nzev"/>
    <w:rsid w:val="008119FF"/>
    <w:rPr>
      <w:rFonts w:ascii="Times New Roman" w:eastAsia="Times New Roman" w:hAnsi="Times New Roman" w:cs="Times New Roman"/>
      <w:b/>
      <w:sz w:val="72"/>
      <w:szCs w:val="72"/>
    </w:rPr>
  </w:style>
  <w:style w:type="paragraph" w:customStyle="1" w:styleId="normal">
    <w:name w:val="normal"/>
    <w:rsid w:val="008119FF"/>
    <w:pPr>
      <w:spacing w:after="160"/>
      <w:jc w:val="both"/>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8119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19F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zv.gov.cz/jnp/cz/zahranicni_vztahy/sankcni_politika/sankcni_seznam_cr/index.html" TargetMode="External"/><Relationship Id="rId18" Type="http://schemas.openxmlformats.org/officeDocument/2006/relationships/hyperlink" Target="https://fau.gov.cz/blog/sankcni-helpdesk-e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u-sanctions-compliance-helpdesk.europa.eu" TargetMode="External"/><Relationship Id="rId17" Type="http://schemas.openxmlformats.org/officeDocument/2006/relationships/hyperlink" Target="https://fau.gov.cz/blog/sankcni-helpdesk-eu" TargetMode="External"/><Relationship Id="rId2" Type="http://schemas.openxmlformats.org/officeDocument/2006/relationships/styles" Target="styles.xml"/><Relationship Id="rId16" Type="http://schemas.openxmlformats.org/officeDocument/2006/relationships/hyperlink" Target="https://fau.gov.cz/stanoviska-f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sanctions-compliance-helpdesk.europa.eu" TargetMode="External"/><Relationship Id="rId5" Type="http://schemas.openxmlformats.org/officeDocument/2006/relationships/footnotes" Target="footnotes.xml"/><Relationship Id="rId15" Type="http://schemas.openxmlformats.org/officeDocument/2006/relationships/hyperlink" Target="https://fau.gov.cz/stanoviska-fau"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mzv.gov.cz/jnp/cz/zahranicni_vztahy/sankcni_politika/sankcni_seznam_cr/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4775</Words>
  <Characters>27220</Characters>
  <Application>Microsoft Office Word</Application>
  <DocSecurity>0</DocSecurity>
  <Lines>226</Lines>
  <Paragraphs>63</Paragraphs>
  <ScaleCrop>false</ScaleCrop>
  <Company/>
  <LinksUpToDate>false</LinksUpToDate>
  <CharactersWithSpaces>31932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6</cp:revision>
  <dcterms:created xsi:type="dcterms:W3CDTF">2025-07-25T03:54:00Z</dcterms:created>
  <dcterms:modified xsi:type="dcterms:W3CDTF">2025-07-30T17:51:00Z</dcterms:modified>
</cp:coreProperties>
</file>