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7D7" w:rsidRDefault="004467D7" w:rsidP="008C56BD">
      <w:pPr>
        <w:pStyle w:val="normal"/>
        <w:spacing w:after="0"/>
        <w:jc w:val="right"/>
        <w:rPr>
          <w:rFonts w:ascii="Athiti" w:eastAsia="Athiti" w:hAnsi="Athiti" w:cs="Athiti"/>
          <w:i/>
          <w:sz w:val="20"/>
          <w:szCs w:val="20"/>
          <w:highlight w:val="yellow"/>
        </w:rPr>
      </w:pPr>
    </w:p>
    <w:p w:rsidR="008C56BD" w:rsidRDefault="008C56BD" w:rsidP="004467D7">
      <w:pPr>
        <w:tabs>
          <w:tab w:val="left" w:pos="3915"/>
        </w:tabs>
        <w:rPr>
          <w:rFonts w:eastAsia="Athiti"/>
        </w:rPr>
      </w:pPr>
      <w:bookmarkStart w:id="0" w:name="_heading=h.wylg3ze3biv" w:colFirst="0" w:colLast="0"/>
      <w:bookmarkEnd w:id="0"/>
    </w:p>
    <w:p w:rsidR="008C56BD" w:rsidRDefault="008C56BD" w:rsidP="008C56BD">
      <w:pPr>
        <w:pStyle w:val="normal"/>
        <w:rPr>
          <w:rFonts w:ascii="Athiti" w:eastAsia="Athiti" w:hAnsi="Athiti" w:cs="Athiti"/>
          <w:b/>
          <w:color w:val="44546A"/>
          <w:sz w:val="48"/>
          <w:szCs w:val="48"/>
        </w:rPr>
      </w:pPr>
    </w:p>
    <w:p w:rsidR="008C56BD" w:rsidRDefault="008C56BD" w:rsidP="008C56BD">
      <w:pPr>
        <w:pStyle w:val="normal"/>
        <w:rPr>
          <w:rFonts w:ascii="Athiti" w:eastAsia="Athiti" w:hAnsi="Athiti" w:cs="Athiti"/>
          <w:b/>
          <w:color w:val="44546A"/>
          <w:sz w:val="48"/>
          <w:szCs w:val="48"/>
        </w:rPr>
      </w:pPr>
    </w:p>
    <w:p w:rsidR="008C56BD" w:rsidRPr="004467D7" w:rsidRDefault="008C56BD" w:rsidP="008C56BD">
      <w:pPr>
        <w:pStyle w:val="normal"/>
        <w:rPr>
          <w:rFonts w:ascii="Athiti" w:eastAsia="Athiti" w:hAnsi="Athiti" w:cs="Athiti"/>
          <w:b/>
          <w:color w:val="44546A"/>
          <w:sz w:val="48"/>
          <w:szCs w:val="48"/>
          <w:lang w:val="cs-CZ"/>
        </w:rPr>
      </w:pPr>
    </w:p>
    <w:p w:rsidR="008C56BD" w:rsidRPr="004467D7" w:rsidRDefault="004467D7" w:rsidP="008C56BD">
      <w:pPr>
        <w:pStyle w:val="normal"/>
        <w:jc w:val="center"/>
        <w:rPr>
          <w:rFonts w:ascii="Athiti" w:eastAsia="Athiti" w:hAnsi="Athiti" w:cs="Athiti"/>
          <w:b/>
          <w:sz w:val="48"/>
          <w:szCs w:val="48"/>
          <w:lang w:val="cs-CZ"/>
        </w:rPr>
      </w:pPr>
      <w:bookmarkStart w:id="1" w:name="_heading=h.ouid73zgovp1" w:colFirst="0" w:colLast="0"/>
      <w:bookmarkEnd w:id="1"/>
      <w:r w:rsidRPr="004467D7">
        <w:rPr>
          <w:rFonts w:ascii="Athiti" w:eastAsia="Athiti" w:hAnsi="Athiti" w:cs="Athiti"/>
          <w:b/>
          <w:sz w:val="48"/>
          <w:szCs w:val="48"/>
          <w:lang w:val="cs-CZ"/>
        </w:rPr>
        <w:t>Parv</w:t>
      </w:r>
      <w:r w:rsidR="008C56BD" w:rsidRPr="004467D7">
        <w:rPr>
          <w:rFonts w:ascii="Athiti" w:eastAsia="Athiti" w:hAnsi="Athiti" w:cs="Athiti"/>
          <w:b/>
          <w:sz w:val="48"/>
          <w:szCs w:val="48"/>
          <w:lang w:val="cs-CZ"/>
        </w:rPr>
        <w:t>idla rovného zacházení</w:t>
      </w:r>
    </w:p>
    <w:p w:rsidR="008C56BD" w:rsidRDefault="008C56BD" w:rsidP="008C56BD">
      <w:pPr>
        <w:pStyle w:val="normal"/>
        <w:jc w:val="center"/>
        <w:rPr>
          <w:rFonts w:ascii="Athiti" w:eastAsia="Athiti" w:hAnsi="Athiti" w:cs="Athiti"/>
          <w:b/>
          <w:sz w:val="48"/>
          <w:szCs w:val="48"/>
        </w:rPr>
      </w:pPr>
    </w:p>
    <w:p w:rsidR="008C56BD" w:rsidRDefault="008C56BD" w:rsidP="008C56BD">
      <w:pPr>
        <w:pStyle w:val="normal"/>
        <w:jc w:val="left"/>
        <w:rPr>
          <w:rFonts w:ascii="Athiti" w:eastAsia="Athiti" w:hAnsi="Athiti" w:cs="Athiti"/>
          <w:b/>
          <w:sz w:val="48"/>
          <w:szCs w:val="48"/>
        </w:rPr>
      </w:pPr>
    </w:p>
    <w:p w:rsidR="004467D7" w:rsidRDefault="004467D7" w:rsidP="008C56BD">
      <w:pPr>
        <w:pStyle w:val="normal"/>
        <w:jc w:val="left"/>
        <w:rPr>
          <w:rFonts w:ascii="Athiti" w:eastAsia="Athiti" w:hAnsi="Athiti" w:cs="Athiti"/>
          <w:b/>
          <w:sz w:val="48"/>
          <w:szCs w:val="48"/>
        </w:rPr>
      </w:pPr>
    </w:p>
    <w:p w:rsidR="004467D7" w:rsidRDefault="004467D7" w:rsidP="008C56BD">
      <w:pPr>
        <w:pStyle w:val="normal"/>
        <w:jc w:val="left"/>
        <w:rPr>
          <w:rFonts w:ascii="Athiti" w:eastAsia="Athiti" w:hAnsi="Athiti" w:cs="Athiti"/>
          <w:b/>
          <w:sz w:val="48"/>
          <w:szCs w:val="48"/>
        </w:rPr>
      </w:pPr>
    </w:p>
    <w:p w:rsidR="004467D7" w:rsidRDefault="004467D7" w:rsidP="008C56BD">
      <w:pPr>
        <w:pStyle w:val="normal"/>
        <w:jc w:val="left"/>
        <w:rPr>
          <w:rFonts w:ascii="Athiti" w:eastAsia="Athiti" w:hAnsi="Athiti" w:cs="Athiti"/>
          <w:b/>
          <w:sz w:val="48"/>
          <w:szCs w:val="48"/>
        </w:rPr>
      </w:pPr>
    </w:p>
    <w:p w:rsidR="008C56BD" w:rsidRDefault="008C56BD" w:rsidP="008C56BD">
      <w:pPr>
        <w:pStyle w:val="normal"/>
        <w:widowControl w:val="0"/>
        <w:tabs>
          <w:tab w:val="left" w:pos="9356"/>
        </w:tabs>
        <w:spacing w:before="6" w:after="0" w:line="240" w:lineRule="auto"/>
        <w:rPr>
          <w:rFonts w:ascii="Athiti" w:eastAsia="Athiti" w:hAnsi="Athiti" w:cs="Athiti"/>
          <w:sz w:val="18"/>
          <w:szCs w:val="18"/>
        </w:rPr>
      </w:pPr>
    </w:p>
    <w:p w:rsidR="008C56BD" w:rsidRDefault="008C56BD" w:rsidP="008C56BD">
      <w:pPr>
        <w:pStyle w:val="normal"/>
        <w:widowControl w:val="0"/>
        <w:tabs>
          <w:tab w:val="left" w:pos="9356"/>
        </w:tabs>
        <w:spacing w:before="6" w:after="0" w:line="240" w:lineRule="auto"/>
        <w:rPr>
          <w:rFonts w:ascii="Athiti" w:eastAsia="Athiti" w:hAnsi="Athiti" w:cs="Athiti"/>
          <w:sz w:val="18"/>
          <w:szCs w:val="18"/>
        </w:rPr>
      </w:pPr>
    </w:p>
    <w:p w:rsidR="008C56BD" w:rsidRDefault="008C56BD" w:rsidP="008C56BD">
      <w:pPr>
        <w:pStyle w:val="normal"/>
        <w:widowControl w:val="0"/>
        <w:tabs>
          <w:tab w:val="left" w:pos="9356"/>
        </w:tabs>
        <w:spacing w:before="6" w:after="0" w:line="240" w:lineRule="auto"/>
        <w:rPr>
          <w:rFonts w:ascii="Athiti" w:eastAsia="Athiti" w:hAnsi="Athiti" w:cs="Athiti"/>
          <w:sz w:val="18"/>
          <w:szCs w:val="18"/>
        </w:rPr>
      </w:pPr>
    </w:p>
    <w:tbl>
      <w:tblPr>
        <w:tblW w:w="5895" w:type="dxa"/>
        <w:tblInd w:w="3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49"/>
        <w:gridCol w:w="2746"/>
      </w:tblGrid>
      <w:tr w:rsidR="008C56BD" w:rsidTr="00A80743">
        <w:trPr>
          <w:cantSplit/>
          <w:trHeight w:val="354"/>
          <w:tblHeader/>
        </w:trPr>
        <w:tc>
          <w:tcPr>
            <w:tcW w:w="3149" w:type="dxa"/>
            <w:shd w:val="clear" w:color="auto" w:fill="EFEFEF"/>
          </w:tcPr>
          <w:p w:rsidR="008C56BD" w:rsidRPr="00A73D00" w:rsidRDefault="008C56BD" w:rsidP="00A80743">
            <w:pPr>
              <w:pStyle w:val="normal"/>
              <w:widowControl w:val="0"/>
              <w:tabs>
                <w:tab w:val="left" w:pos="9356"/>
              </w:tabs>
              <w:spacing w:before="64" w:after="0" w:line="240" w:lineRule="auto"/>
              <w:ind w:left="105"/>
              <w:rPr>
                <w:rFonts w:ascii="Athiti" w:eastAsia="Athiti" w:hAnsi="Athiti" w:cs="Athiti"/>
                <w:b/>
                <w:sz w:val="20"/>
                <w:szCs w:val="20"/>
                <w:lang w:val="cs-CZ"/>
              </w:rPr>
            </w:pPr>
            <w:r w:rsidRPr="00A73D00">
              <w:rPr>
                <w:rFonts w:ascii="Athiti" w:eastAsia="Athiti" w:hAnsi="Athiti" w:cs="Athiti"/>
                <w:b/>
                <w:sz w:val="20"/>
                <w:szCs w:val="20"/>
                <w:lang w:val="cs-CZ"/>
              </w:rPr>
              <w:t>Verze:</w:t>
            </w:r>
          </w:p>
        </w:tc>
        <w:tc>
          <w:tcPr>
            <w:tcW w:w="2746" w:type="dxa"/>
          </w:tcPr>
          <w:p w:rsidR="008C56BD" w:rsidRPr="00A73D00" w:rsidRDefault="008C56BD" w:rsidP="00A80743">
            <w:pPr>
              <w:pStyle w:val="normal"/>
              <w:widowControl w:val="0"/>
              <w:tabs>
                <w:tab w:val="left" w:pos="9356"/>
              </w:tabs>
              <w:spacing w:before="71" w:after="0" w:line="240" w:lineRule="auto"/>
              <w:ind w:right="94"/>
              <w:rPr>
                <w:rFonts w:ascii="Athiti" w:eastAsia="Athiti" w:hAnsi="Athiti" w:cs="Athiti"/>
                <w:sz w:val="20"/>
                <w:szCs w:val="20"/>
                <w:lang w:val="cs-CZ"/>
              </w:rPr>
            </w:pPr>
            <w:r w:rsidRPr="00A73D00">
              <w:rPr>
                <w:rFonts w:ascii="Athiti" w:eastAsia="Athiti" w:hAnsi="Athiti" w:cs="Athiti"/>
                <w:sz w:val="20"/>
                <w:szCs w:val="20"/>
                <w:lang w:val="cs-CZ"/>
              </w:rPr>
              <w:t>1.0</w:t>
            </w:r>
          </w:p>
        </w:tc>
      </w:tr>
      <w:tr w:rsidR="008C56BD" w:rsidTr="00A80743">
        <w:trPr>
          <w:cantSplit/>
          <w:trHeight w:val="354"/>
          <w:tblHeader/>
        </w:trPr>
        <w:tc>
          <w:tcPr>
            <w:tcW w:w="3149" w:type="dxa"/>
            <w:shd w:val="clear" w:color="auto" w:fill="EFEFEF"/>
          </w:tcPr>
          <w:p w:rsidR="008C56BD" w:rsidRPr="00A73D00" w:rsidRDefault="008C56BD" w:rsidP="00A80743">
            <w:pPr>
              <w:pStyle w:val="normal"/>
              <w:widowControl w:val="0"/>
              <w:tabs>
                <w:tab w:val="left" w:pos="9356"/>
              </w:tabs>
              <w:spacing w:before="64" w:after="0" w:line="240" w:lineRule="auto"/>
              <w:ind w:left="105"/>
              <w:rPr>
                <w:rFonts w:ascii="Athiti" w:eastAsia="Athiti" w:hAnsi="Athiti" w:cs="Athiti"/>
                <w:b/>
                <w:sz w:val="20"/>
                <w:szCs w:val="20"/>
                <w:lang w:val="cs-CZ"/>
              </w:rPr>
            </w:pPr>
            <w:r w:rsidRPr="00A73D00">
              <w:rPr>
                <w:rFonts w:ascii="Athiti" w:eastAsia="Athiti" w:hAnsi="Athiti" w:cs="Athiti"/>
                <w:b/>
                <w:sz w:val="20"/>
                <w:szCs w:val="20"/>
                <w:lang w:val="cs-CZ"/>
              </w:rPr>
              <w:t>Schváleno dne:</w:t>
            </w:r>
          </w:p>
        </w:tc>
        <w:tc>
          <w:tcPr>
            <w:tcW w:w="2746" w:type="dxa"/>
          </w:tcPr>
          <w:p w:rsidR="008C56BD" w:rsidRPr="00A73D00" w:rsidRDefault="00A73D00" w:rsidP="00A80743">
            <w:pPr>
              <w:pStyle w:val="normal"/>
              <w:widowControl w:val="0"/>
              <w:tabs>
                <w:tab w:val="left" w:pos="9356"/>
              </w:tabs>
              <w:spacing w:before="71" w:after="0" w:line="240" w:lineRule="auto"/>
              <w:ind w:right="94"/>
              <w:rPr>
                <w:rFonts w:ascii="Athiti" w:eastAsia="Athiti" w:hAnsi="Athiti" w:cs="Athiti"/>
                <w:sz w:val="20"/>
                <w:szCs w:val="20"/>
                <w:lang w:val="cs-CZ"/>
              </w:rPr>
            </w:pPr>
            <w:r>
              <w:rPr>
                <w:rFonts w:ascii="Athiti" w:eastAsia="Athiti" w:hAnsi="Athiti" w:cs="Athiti"/>
                <w:sz w:val="20"/>
                <w:szCs w:val="20"/>
                <w:lang w:val="cs-CZ"/>
              </w:rPr>
              <w:t>25.07.2025</w:t>
            </w:r>
          </w:p>
        </w:tc>
      </w:tr>
      <w:tr w:rsidR="008C56BD" w:rsidTr="00A80743">
        <w:trPr>
          <w:cantSplit/>
          <w:trHeight w:val="354"/>
          <w:tblHeader/>
        </w:trPr>
        <w:tc>
          <w:tcPr>
            <w:tcW w:w="3149" w:type="dxa"/>
            <w:shd w:val="clear" w:color="auto" w:fill="EFEFEF"/>
          </w:tcPr>
          <w:p w:rsidR="008C56BD" w:rsidRPr="00A73D00" w:rsidRDefault="008C56BD" w:rsidP="00A80743">
            <w:pPr>
              <w:pStyle w:val="normal"/>
              <w:widowControl w:val="0"/>
              <w:tabs>
                <w:tab w:val="left" w:pos="9356"/>
              </w:tabs>
              <w:spacing w:before="64" w:after="0" w:line="240" w:lineRule="auto"/>
              <w:ind w:left="105"/>
              <w:rPr>
                <w:rFonts w:ascii="Athiti" w:eastAsia="Athiti" w:hAnsi="Athiti" w:cs="Athiti"/>
                <w:b/>
                <w:sz w:val="20"/>
                <w:szCs w:val="20"/>
                <w:lang w:val="cs-CZ"/>
              </w:rPr>
            </w:pPr>
            <w:r w:rsidRPr="00A73D00">
              <w:rPr>
                <w:rFonts w:ascii="Athiti" w:eastAsia="Athiti" w:hAnsi="Athiti" w:cs="Athiti"/>
                <w:b/>
                <w:sz w:val="20"/>
                <w:szCs w:val="20"/>
                <w:lang w:val="cs-CZ"/>
              </w:rPr>
              <w:t>Schváleno oddělením:</w:t>
            </w:r>
          </w:p>
        </w:tc>
        <w:tc>
          <w:tcPr>
            <w:tcW w:w="2746" w:type="dxa"/>
          </w:tcPr>
          <w:p w:rsidR="008C56BD" w:rsidRPr="00A73D00" w:rsidRDefault="008C56BD" w:rsidP="00A80743">
            <w:pPr>
              <w:pStyle w:val="normal"/>
              <w:widowControl w:val="0"/>
              <w:tabs>
                <w:tab w:val="left" w:pos="9356"/>
              </w:tabs>
              <w:spacing w:before="71" w:after="0" w:line="240" w:lineRule="auto"/>
              <w:ind w:right="94"/>
              <w:rPr>
                <w:rFonts w:ascii="Athiti" w:eastAsia="Athiti" w:hAnsi="Athiti" w:cs="Athiti"/>
                <w:sz w:val="20"/>
                <w:szCs w:val="20"/>
                <w:lang w:val="cs-CZ"/>
              </w:rPr>
            </w:pPr>
            <w:r w:rsidRPr="00A73D00">
              <w:rPr>
                <w:rFonts w:ascii="Athiti" w:eastAsia="Athiti" w:hAnsi="Athiti" w:cs="Athiti"/>
                <w:sz w:val="20"/>
                <w:szCs w:val="20"/>
                <w:lang w:val="cs-CZ"/>
              </w:rPr>
              <w:t>Compliance</w:t>
            </w:r>
          </w:p>
        </w:tc>
      </w:tr>
      <w:tr w:rsidR="008C56BD" w:rsidTr="00A80743">
        <w:trPr>
          <w:cantSplit/>
          <w:trHeight w:val="354"/>
          <w:tblHeader/>
        </w:trPr>
        <w:tc>
          <w:tcPr>
            <w:tcW w:w="3149" w:type="dxa"/>
            <w:shd w:val="clear" w:color="auto" w:fill="EFEFEF"/>
          </w:tcPr>
          <w:p w:rsidR="008C56BD" w:rsidRPr="00A73D00" w:rsidRDefault="008C56BD" w:rsidP="00A80743">
            <w:pPr>
              <w:pStyle w:val="normal"/>
              <w:widowControl w:val="0"/>
              <w:tabs>
                <w:tab w:val="left" w:pos="9356"/>
              </w:tabs>
              <w:spacing w:before="64" w:after="0" w:line="240" w:lineRule="auto"/>
              <w:ind w:left="105"/>
              <w:rPr>
                <w:rFonts w:ascii="Athiti" w:eastAsia="Athiti" w:hAnsi="Athiti" w:cs="Athiti"/>
                <w:b/>
                <w:sz w:val="20"/>
                <w:szCs w:val="20"/>
                <w:lang w:val="cs-CZ"/>
              </w:rPr>
            </w:pPr>
            <w:r w:rsidRPr="00A73D00">
              <w:rPr>
                <w:rFonts w:ascii="Athiti" w:eastAsia="Athiti" w:hAnsi="Athiti" w:cs="Athiti"/>
                <w:b/>
                <w:sz w:val="20"/>
                <w:szCs w:val="20"/>
                <w:lang w:val="cs-CZ"/>
              </w:rPr>
              <w:t>Naposledy aktualizováno:</w:t>
            </w:r>
          </w:p>
        </w:tc>
        <w:tc>
          <w:tcPr>
            <w:tcW w:w="2746" w:type="dxa"/>
          </w:tcPr>
          <w:p w:rsidR="008C56BD" w:rsidRPr="00A73D00" w:rsidRDefault="00A73D00" w:rsidP="00A80743">
            <w:pPr>
              <w:pStyle w:val="normal"/>
              <w:widowControl w:val="0"/>
              <w:tabs>
                <w:tab w:val="left" w:pos="9356"/>
              </w:tabs>
              <w:spacing w:before="71" w:after="0" w:line="240" w:lineRule="auto"/>
              <w:ind w:right="94"/>
              <w:rPr>
                <w:rFonts w:ascii="Athiti" w:eastAsia="Athiti" w:hAnsi="Athiti" w:cs="Athiti"/>
                <w:sz w:val="20"/>
                <w:szCs w:val="20"/>
                <w:lang w:val="cs-CZ"/>
              </w:rPr>
            </w:pPr>
            <w:r>
              <w:rPr>
                <w:rFonts w:ascii="Athiti" w:eastAsia="Athiti" w:hAnsi="Athiti" w:cs="Athiti"/>
                <w:sz w:val="20"/>
                <w:szCs w:val="20"/>
                <w:lang w:val="cs-CZ"/>
              </w:rPr>
              <w:t>25.07.2025</w:t>
            </w:r>
          </w:p>
        </w:tc>
      </w:tr>
    </w:tbl>
    <w:p w:rsidR="008C56BD" w:rsidRDefault="008C56BD" w:rsidP="008C56BD">
      <w:pPr>
        <w:pStyle w:val="normal"/>
        <w:jc w:val="left"/>
        <w:rPr>
          <w:rFonts w:ascii="Athiti" w:eastAsia="Athiti" w:hAnsi="Athiti" w:cs="Athiti"/>
          <w:color w:val="725DD9"/>
        </w:rPr>
      </w:pPr>
      <w:r>
        <w:br w:type="page"/>
      </w:r>
    </w:p>
    <w:p w:rsidR="008C56BD" w:rsidRPr="004467D7" w:rsidRDefault="008C56BD" w:rsidP="008C56BD">
      <w:pPr>
        <w:pStyle w:val="normal"/>
        <w:keepNext/>
        <w:keepLines/>
        <w:spacing w:before="360" w:after="240"/>
        <w:jc w:val="left"/>
        <w:rPr>
          <w:rFonts w:ascii="Athiti" w:eastAsia="Athiti" w:hAnsi="Athiti" w:cs="Athiti"/>
          <w:b/>
          <w:sz w:val="36"/>
          <w:szCs w:val="36"/>
          <w:lang w:val="cs-CZ"/>
        </w:rPr>
      </w:pPr>
      <w:r w:rsidRPr="004467D7">
        <w:rPr>
          <w:rFonts w:ascii="Athiti" w:eastAsia="Athiti" w:hAnsi="Athiti" w:cs="Athiti"/>
          <w:b/>
          <w:sz w:val="36"/>
          <w:szCs w:val="36"/>
          <w:lang w:val="cs-CZ"/>
        </w:rPr>
        <w:lastRenderedPageBreak/>
        <w:t>Obsah</w:t>
      </w:r>
    </w:p>
    <w:sdt>
      <w:sdtPr>
        <w:rPr>
          <w:lang w:val="cs-CZ"/>
        </w:rPr>
        <w:id w:val="266103533"/>
        <w:docPartObj>
          <w:docPartGallery w:val="Table of Contents"/>
          <w:docPartUnique/>
        </w:docPartObj>
      </w:sdtPr>
      <w:sdtContent>
        <w:p w:rsidR="008C56BD" w:rsidRPr="004467D7" w:rsidRDefault="00C315B3" w:rsidP="008C56BD">
          <w:pPr>
            <w:pStyle w:val="normal"/>
            <w:widowControl w:val="0"/>
            <w:tabs>
              <w:tab w:val="right" w:pos="12000"/>
            </w:tabs>
            <w:spacing w:before="60" w:after="0" w:line="240" w:lineRule="auto"/>
            <w:jc w:val="left"/>
            <w:rPr>
              <w:rFonts w:ascii="Athiti" w:eastAsia="Athiti" w:hAnsi="Athiti" w:cs="Athiti"/>
              <w:b/>
              <w:color w:val="000000"/>
              <w:sz w:val="22"/>
              <w:szCs w:val="22"/>
              <w:lang w:val="cs-CZ"/>
            </w:rPr>
          </w:pPr>
          <w:r w:rsidRPr="004467D7">
            <w:rPr>
              <w:lang w:val="cs-CZ"/>
            </w:rPr>
            <w:fldChar w:fldCharType="begin"/>
          </w:r>
          <w:r w:rsidR="008C56BD" w:rsidRPr="004467D7">
            <w:rPr>
              <w:lang w:val="cs-CZ"/>
            </w:rPr>
            <w:instrText xml:space="preserve"> TOC \h \u \z \t "Heading 1,1,Heading 2,2,Heading 3,3,"</w:instrText>
          </w:r>
          <w:r w:rsidRPr="004467D7">
            <w:rPr>
              <w:lang w:val="cs-CZ"/>
            </w:rPr>
            <w:fldChar w:fldCharType="separate"/>
          </w:r>
          <w:hyperlink w:anchor="_heading=h.9rjii7rpa9xa">
            <w:r w:rsidR="008C56BD" w:rsidRPr="004467D7">
              <w:rPr>
                <w:rFonts w:ascii="Athiti" w:eastAsia="Athiti" w:hAnsi="Athiti" w:cs="Athiti"/>
                <w:b/>
                <w:color w:val="000000"/>
                <w:sz w:val="22"/>
                <w:szCs w:val="22"/>
                <w:lang w:val="cs-CZ"/>
              </w:rPr>
              <w:t>Pojmy a definice</w:t>
            </w:r>
            <w:r w:rsidR="008C56BD" w:rsidRPr="004467D7">
              <w:rPr>
                <w:rFonts w:ascii="Athiti" w:eastAsia="Athiti" w:hAnsi="Athiti" w:cs="Athiti"/>
                <w:b/>
                <w:color w:val="000000"/>
                <w:sz w:val="22"/>
                <w:szCs w:val="22"/>
                <w:lang w:val="cs-CZ"/>
              </w:rPr>
              <w:tab/>
              <w:t>2</w:t>
            </w:r>
          </w:hyperlink>
        </w:p>
        <w:p w:rsidR="008C56BD" w:rsidRPr="004467D7" w:rsidRDefault="00C315B3" w:rsidP="008C56BD">
          <w:pPr>
            <w:pStyle w:val="normal"/>
            <w:widowControl w:val="0"/>
            <w:tabs>
              <w:tab w:val="right" w:pos="12000"/>
            </w:tabs>
            <w:spacing w:before="60" w:after="0" w:line="240" w:lineRule="auto"/>
            <w:jc w:val="left"/>
            <w:rPr>
              <w:rFonts w:ascii="Athiti" w:eastAsia="Athiti" w:hAnsi="Athiti" w:cs="Athiti"/>
              <w:b/>
              <w:color w:val="000000"/>
              <w:sz w:val="22"/>
              <w:szCs w:val="22"/>
              <w:lang w:val="cs-CZ"/>
            </w:rPr>
          </w:pPr>
          <w:hyperlink w:anchor="_heading=">
            <w:r w:rsidR="008C56BD" w:rsidRPr="004467D7">
              <w:rPr>
                <w:rFonts w:ascii="Athiti" w:eastAsia="Athiti" w:hAnsi="Athiti" w:cs="Athiti"/>
                <w:b/>
                <w:color w:val="000000"/>
                <w:sz w:val="22"/>
                <w:szCs w:val="22"/>
                <w:lang w:val="cs-CZ"/>
              </w:rPr>
              <w:t>1. PŘEDMĚT ÚPRAVY</w:t>
            </w:r>
            <w:r w:rsidR="008C56BD" w:rsidRPr="004467D7">
              <w:rPr>
                <w:rFonts w:ascii="Athiti" w:eastAsia="Athiti" w:hAnsi="Athiti" w:cs="Athiti"/>
                <w:b/>
                <w:color w:val="000000"/>
                <w:sz w:val="22"/>
                <w:szCs w:val="22"/>
                <w:lang w:val="cs-CZ"/>
              </w:rPr>
              <w:tab/>
              <w:t>3</w:t>
            </w:r>
          </w:hyperlink>
        </w:p>
        <w:p w:rsidR="008C56BD" w:rsidRPr="004467D7" w:rsidRDefault="00C315B3" w:rsidP="008C56BD">
          <w:pPr>
            <w:pStyle w:val="normal"/>
            <w:widowControl w:val="0"/>
            <w:tabs>
              <w:tab w:val="right" w:pos="12000"/>
            </w:tabs>
            <w:spacing w:before="60" w:after="0" w:line="240" w:lineRule="auto"/>
            <w:jc w:val="left"/>
            <w:rPr>
              <w:rFonts w:ascii="Athiti" w:eastAsia="Athiti" w:hAnsi="Athiti" w:cs="Athiti"/>
              <w:b/>
              <w:color w:val="000000"/>
              <w:sz w:val="22"/>
              <w:szCs w:val="22"/>
              <w:lang w:val="cs-CZ"/>
            </w:rPr>
          </w:pPr>
          <w:hyperlink w:anchor="_heading=">
            <w:r w:rsidR="008C56BD" w:rsidRPr="004467D7">
              <w:rPr>
                <w:rFonts w:ascii="Athiti" w:eastAsia="Athiti" w:hAnsi="Athiti" w:cs="Athiti"/>
                <w:b/>
                <w:color w:val="000000"/>
                <w:sz w:val="22"/>
                <w:szCs w:val="22"/>
                <w:lang w:val="cs-CZ"/>
              </w:rPr>
              <w:t>2. PŮSOBNOST</w:t>
            </w:r>
            <w:r w:rsidR="008C56BD" w:rsidRPr="004467D7">
              <w:rPr>
                <w:rFonts w:ascii="Athiti" w:eastAsia="Athiti" w:hAnsi="Athiti" w:cs="Athiti"/>
                <w:b/>
                <w:color w:val="000000"/>
                <w:sz w:val="22"/>
                <w:szCs w:val="22"/>
                <w:lang w:val="cs-CZ"/>
              </w:rPr>
              <w:tab/>
              <w:t>4</w:t>
            </w:r>
          </w:hyperlink>
        </w:p>
        <w:p w:rsidR="008C56BD" w:rsidRPr="004467D7" w:rsidRDefault="00C315B3" w:rsidP="008C56BD">
          <w:pPr>
            <w:pStyle w:val="normal"/>
            <w:widowControl w:val="0"/>
            <w:tabs>
              <w:tab w:val="right" w:pos="12000"/>
            </w:tabs>
            <w:spacing w:before="60" w:after="0" w:line="240" w:lineRule="auto"/>
            <w:jc w:val="left"/>
            <w:rPr>
              <w:rFonts w:ascii="Athiti" w:eastAsia="Athiti" w:hAnsi="Athiti" w:cs="Athiti"/>
              <w:b/>
              <w:color w:val="000000"/>
              <w:sz w:val="22"/>
              <w:szCs w:val="22"/>
              <w:lang w:val="cs-CZ"/>
            </w:rPr>
          </w:pPr>
          <w:hyperlink w:anchor="_heading=">
            <w:r w:rsidR="008C56BD" w:rsidRPr="004467D7">
              <w:rPr>
                <w:rFonts w:ascii="Athiti" w:eastAsia="Athiti" w:hAnsi="Athiti" w:cs="Athiti"/>
                <w:b/>
                <w:color w:val="000000"/>
                <w:sz w:val="22"/>
                <w:szCs w:val="22"/>
                <w:lang w:val="cs-CZ"/>
              </w:rPr>
              <w:t>3. ZÁKAZ DISKRIMINACE A ZÁSADA ROVNÉHO ZACHÁZENÍ</w:t>
            </w:r>
            <w:r w:rsidR="008C56BD" w:rsidRPr="004467D7">
              <w:rPr>
                <w:rFonts w:ascii="Athiti" w:eastAsia="Athiti" w:hAnsi="Athiti" w:cs="Athiti"/>
                <w:b/>
                <w:color w:val="000000"/>
                <w:sz w:val="22"/>
                <w:szCs w:val="22"/>
                <w:lang w:val="cs-CZ"/>
              </w:rPr>
              <w:tab/>
              <w:t>5</w:t>
            </w:r>
          </w:hyperlink>
        </w:p>
        <w:p w:rsidR="008C56BD" w:rsidRPr="004467D7" w:rsidRDefault="00C315B3" w:rsidP="008C56BD">
          <w:pPr>
            <w:pStyle w:val="normal"/>
            <w:widowControl w:val="0"/>
            <w:tabs>
              <w:tab w:val="right" w:pos="12000"/>
            </w:tabs>
            <w:spacing w:before="60" w:after="0" w:line="240" w:lineRule="auto"/>
            <w:ind w:left="720"/>
            <w:jc w:val="left"/>
            <w:rPr>
              <w:rFonts w:ascii="Athiti" w:eastAsia="Athiti" w:hAnsi="Athiti" w:cs="Athiti"/>
              <w:color w:val="000000"/>
              <w:sz w:val="22"/>
              <w:szCs w:val="22"/>
              <w:lang w:val="cs-CZ"/>
            </w:rPr>
          </w:pPr>
          <w:hyperlink w:anchor="_heading=h.xjxfxbfns0jl">
            <w:r w:rsidR="008C56BD" w:rsidRPr="004467D7">
              <w:rPr>
                <w:rFonts w:ascii="Athiti" w:eastAsia="Athiti" w:hAnsi="Athiti" w:cs="Athiti"/>
                <w:color w:val="000000"/>
                <w:sz w:val="22"/>
                <w:szCs w:val="22"/>
                <w:lang w:val="cs-CZ"/>
              </w:rPr>
              <w:t>Příklady legitimního rozlišování, které není nepřímou diskriminací:</w:t>
            </w:r>
            <w:r w:rsidR="008C56BD" w:rsidRPr="004467D7">
              <w:rPr>
                <w:rFonts w:ascii="Athiti" w:eastAsia="Athiti" w:hAnsi="Athiti" w:cs="Athiti"/>
                <w:color w:val="000000"/>
                <w:sz w:val="22"/>
                <w:szCs w:val="22"/>
                <w:lang w:val="cs-CZ"/>
              </w:rPr>
              <w:tab/>
              <w:t>6</w:t>
            </w:r>
          </w:hyperlink>
        </w:p>
        <w:p w:rsidR="008C56BD" w:rsidRPr="004467D7" w:rsidRDefault="00C315B3" w:rsidP="008C56BD">
          <w:pPr>
            <w:pStyle w:val="normal"/>
            <w:widowControl w:val="0"/>
            <w:tabs>
              <w:tab w:val="right" w:pos="12000"/>
            </w:tabs>
            <w:spacing w:before="60" w:after="0" w:line="240" w:lineRule="auto"/>
            <w:jc w:val="left"/>
            <w:rPr>
              <w:rFonts w:ascii="Athiti" w:eastAsia="Athiti" w:hAnsi="Athiti" w:cs="Athiti"/>
              <w:b/>
              <w:color w:val="000000"/>
              <w:sz w:val="22"/>
              <w:szCs w:val="22"/>
              <w:lang w:val="cs-CZ"/>
            </w:rPr>
          </w:pPr>
          <w:hyperlink w:anchor="_heading=">
            <w:r w:rsidR="008C56BD" w:rsidRPr="004467D7">
              <w:rPr>
                <w:rFonts w:ascii="Athiti" w:eastAsia="Athiti" w:hAnsi="Athiti" w:cs="Athiti"/>
                <w:b/>
                <w:color w:val="000000"/>
                <w:sz w:val="22"/>
                <w:szCs w:val="22"/>
                <w:lang w:val="cs-CZ"/>
              </w:rPr>
              <w:t>4. VZTAHY SE ZÁKAZNÍKY</w:t>
            </w:r>
            <w:r w:rsidR="008C56BD" w:rsidRPr="004467D7">
              <w:rPr>
                <w:rFonts w:ascii="Athiti" w:eastAsia="Athiti" w:hAnsi="Athiti" w:cs="Athiti"/>
                <w:b/>
                <w:color w:val="000000"/>
                <w:sz w:val="22"/>
                <w:szCs w:val="22"/>
                <w:lang w:val="cs-CZ"/>
              </w:rPr>
              <w:tab/>
              <w:t>7</w:t>
            </w:r>
          </w:hyperlink>
        </w:p>
        <w:p w:rsidR="008C56BD" w:rsidRPr="004467D7" w:rsidRDefault="00C315B3" w:rsidP="008C56BD">
          <w:pPr>
            <w:pStyle w:val="normal"/>
            <w:widowControl w:val="0"/>
            <w:tabs>
              <w:tab w:val="right" w:pos="12000"/>
            </w:tabs>
            <w:spacing w:before="60" w:after="0" w:line="240" w:lineRule="auto"/>
            <w:jc w:val="left"/>
            <w:rPr>
              <w:rFonts w:ascii="Athiti" w:eastAsia="Athiti" w:hAnsi="Athiti" w:cs="Athiti"/>
              <w:b/>
              <w:color w:val="000000"/>
              <w:sz w:val="22"/>
              <w:szCs w:val="22"/>
              <w:lang w:val="cs-CZ"/>
            </w:rPr>
          </w:pPr>
          <w:hyperlink w:anchor="_heading=">
            <w:r w:rsidR="008C56BD" w:rsidRPr="004467D7">
              <w:rPr>
                <w:rFonts w:ascii="Athiti" w:eastAsia="Athiti" w:hAnsi="Athiti" w:cs="Athiti"/>
                <w:b/>
                <w:color w:val="000000"/>
                <w:sz w:val="22"/>
                <w:szCs w:val="22"/>
                <w:lang w:val="cs-CZ"/>
              </w:rPr>
              <w:t>5. ŘÍDICÍ A KONTROLNÍ SYSTÉM SPOLEČNOSTI (Obchodní politika)</w:t>
            </w:r>
            <w:r w:rsidR="008C56BD" w:rsidRPr="004467D7">
              <w:rPr>
                <w:rFonts w:ascii="Athiti" w:eastAsia="Athiti" w:hAnsi="Athiti" w:cs="Athiti"/>
                <w:b/>
                <w:color w:val="000000"/>
                <w:sz w:val="22"/>
                <w:szCs w:val="22"/>
                <w:lang w:val="cs-CZ"/>
              </w:rPr>
              <w:tab/>
              <w:t>7</w:t>
            </w:r>
          </w:hyperlink>
        </w:p>
        <w:p w:rsidR="008C56BD" w:rsidRPr="004467D7" w:rsidRDefault="00C315B3" w:rsidP="008C56BD">
          <w:pPr>
            <w:pStyle w:val="normal"/>
            <w:widowControl w:val="0"/>
            <w:tabs>
              <w:tab w:val="right" w:pos="12000"/>
            </w:tabs>
            <w:spacing w:before="60" w:after="0" w:line="240" w:lineRule="auto"/>
            <w:jc w:val="left"/>
            <w:rPr>
              <w:rFonts w:ascii="Athiti" w:eastAsia="Athiti" w:hAnsi="Athiti" w:cs="Athiti"/>
              <w:b/>
              <w:color w:val="000000"/>
              <w:sz w:val="22"/>
              <w:szCs w:val="22"/>
              <w:lang w:val="cs-CZ"/>
            </w:rPr>
          </w:pPr>
          <w:hyperlink w:anchor="_heading=h.9n265plfcpoc">
            <w:r w:rsidR="008C56BD" w:rsidRPr="004467D7">
              <w:rPr>
                <w:rFonts w:ascii="Athiti" w:eastAsia="Athiti" w:hAnsi="Athiti" w:cs="Athiti"/>
                <w:b/>
                <w:color w:val="000000"/>
                <w:sz w:val="22"/>
                <w:szCs w:val="22"/>
                <w:lang w:val="cs-CZ"/>
              </w:rPr>
              <w:t>6. ZÁVĚREČNÁ USTANOVENÍ</w:t>
            </w:r>
            <w:r w:rsidR="008C56BD" w:rsidRPr="004467D7">
              <w:rPr>
                <w:rFonts w:ascii="Athiti" w:eastAsia="Athiti" w:hAnsi="Athiti" w:cs="Athiti"/>
                <w:b/>
                <w:color w:val="000000"/>
                <w:sz w:val="22"/>
                <w:szCs w:val="22"/>
                <w:lang w:val="cs-CZ"/>
              </w:rPr>
              <w:tab/>
              <w:t>9</w:t>
            </w:r>
          </w:hyperlink>
          <w:r w:rsidRPr="004467D7">
            <w:rPr>
              <w:lang w:val="cs-CZ"/>
            </w:rPr>
            <w:fldChar w:fldCharType="end"/>
          </w:r>
        </w:p>
      </w:sdtContent>
    </w:sdt>
    <w:p w:rsidR="008C56BD" w:rsidRPr="004467D7" w:rsidRDefault="008C56BD" w:rsidP="008C56BD">
      <w:pPr>
        <w:pStyle w:val="normal"/>
        <w:rPr>
          <w:rFonts w:ascii="Athiti" w:eastAsia="Athiti" w:hAnsi="Athiti" w:cs="Athiti"/>
          <w:color w:val="44546A"/>
          <w:sz w:val="32"/>
          <w:szCs w:val="32"/>
          <w:lang w:val="cs-CZ"/>
        </w:rPr>
      </w:pPr>
      <w:r w:rsidRPr="004467D7">
        <w:rPr>
          <w:lang w:val="cs-CZ"/>
        </w:rPr>
        <w:br w:type="page"/>
      </w:r>
    </w:p>
    <w:p w:rsidR="008C56BD" w:rsidRPr="004467D7" w:rsidRDefault="008C56BD" w:rsidP="008C56BD">
      <w:pPr>
        <w:pStyle w:val="Nadpis1"/>
        <w:keepNext w:val="0"/>
        <w:keepLines w:val="0"/>
        <w:widowControl w:val="0"/>
        <w:spacing w:before="0" w:after="0" w:line="240" w:lineRule="auto"/>
        <w:ind w:left="392" w:hanging="293"/>
        <w:rPr>
          <w:rFonts w:ascii="Athiti" w:eastAsia="Athiti" w:hAnsi="Athiti" w:cs="Athiti"/>
          <w:sz w:val="28"/>
          <w:szCs w:val="28"/>
          <w:lang w:val="cs-CZ"/>
        </w:rPr>
      </w:pPr>
      <w:bookmarkStart w:id="2" w:name="_heading=h.9rjii7rpa9xa" w:colFirst="0" w:colLast="0"/>
      <w:bookmarkEnd w:id="2"/>
      <w:r w:rsidRPr="004467D7">
        <w:rPr>
          <w:rFonts w:ascii="Athiti" w:eastAsia="Athiti" w:hAnsi="Athiti" w:cs="Athiti"/>
          <w:sz w:val="28"/>
          <w:szCs w:val="28"/>
          <w:lang w:val="cs-CZ"/>
        </w:rPr>
        <w:lastRenderedPageBreak/>
        <w:t>Pojmy a definice</w:t>
      </w:r>
    </w:p>
    <w:p w:rsidR="008C56BD" w:rsidRPr="004467D7" w:rsidRDefault="008C56BD" w:rsidP="008C56BD">
      <w:pPr>
        <w:pStyle w:val="normal"/>
        <w:rPr>
          <w:rFonts w:ascii="Athiti" w:eastAsia="Athiti" w:hAnsi="Athiti" w:cs="Athiti"/>
          <w:lang w:val="cs-CZ"/>
        </w:rPr>
      </w:pPr>
    </w:p>
    <w:tbl>
      <w:tblPr>
        <w:tblW w:w="9445" w:type="dxa"/>
        <w:tblBorders>
          <w:top w:val="single" w:sz="4" w:space="0" w:color="FF9900"/>
          <w:left w:val="single" w:sz="4" w:space="0" w:color="FF9900"/>
          <w:bottom w:val="single" w:sz="4" w:space="0" w:color="FF9900"/>
          <w:right w:val="single" w:sz="4" w:space="0" w:color="FF9900"/>
          <w:insideH w:val="single" w:sz="4" w:space="0" w:color="FF9900"/>
          <w:insideV w:val="single" w:sz="4" w:space="0" w:color="FF9900"/>
        </w:tblBorders>
        <w:tblLayout w:type="fixed"/>
        <w:tblLook w:val="0600"/>
      </w:tblPr>
      <w:tblGrid>
        <w:gridCol w:w="2465"/>
        <w:gridCol w:w="6980"/>
      </w:tblGrid>
      <w:tr w:rsidR="008C56BD" w:rsidRPr="004467D7" w:rsidTr="00A80743">
        <w:trPr>
          <w:cantSplit/>
          <w:trHeight w:val="515"/>
          <w:tblHeader/>
        </w:trPr>
        <w:tc>
          <w:tcPr>
            <w:tcW w:w="246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C56BD" w:rsidRPr="004467D7" w:rsidRDefault="008C56BD" w:rsidP="00A80743">
            <w:pPr>
              <w:pStyle w:val="normal"/>
              <w:jc w:val="center"/>
              <w:rPr>
                <w:rFonts w:ascii="Athiti" w:eastAsia="Athiti" w:hAnsi="Athiti" w:cs="Athiti"/>
                <w:lang w:val="cs-CZ"/>
              </w:rPr>
            </w:pPr>
            <w:r w:rsidRPr="004467D7">
              <w:rPr>
                <w:rFonts w:ascii="Athiti" w:eastAsia="Athiti" w:hAnsi="Athiti" w:cs="Athiti"/>
                <w:b/>
                <w:lang w:val="cs-CZ"/>
              </w:rPr>
              <w:t>Pojem</w:t>
            </w:r>
          </w:p>
        </w:tc>
        <w:tc>
          <w:tcPr>
            <w:tcW w:w="698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C56BD" w:rsidRPr="004467D7" w:rsidRDefault="008C56BD" w:rsidP="00A80743">
            <w:pPr>
              <w:pStyle w:val="normal"/>
              <w:jc w:val="center"/>
              <w:rPr>
                <w:rFonts w:ascii="Athiti" w:eastAsia="Athiti" w:hAnsi="Athiti" w:cs="Athiti"/>
                <w:lang w:val="cs-CZ"/>
              </w:rPr>
            </w:pPr>
            <w:r w:rsidRPr="004467D7">
              <w:rPr>
                <w:rFonts w:ascii="Athiti" w:eastAsia="Athiti" w:hAnsi="Athiti" w:cs="Athiti"/>
                <w:b/>
                <w:lang w:val="cs-CZ"/>
              </w:rPr>
              <w:t>Definice</w:t>
            </w:r>
          </w:p>
        </w:tc>
      </w:tr>
      <w:tr w:rsidR="008C56BD" w:rsidRPr="004467D7" w:rsidTr="00A80743">
        <w:trPr>
          <w:cantSplit/>
          <w:trHeight w:val="1070"/>
          <w:tblHeader/>
        </w:trPr>
        <w:tc>
          <w:tcPr>
            <w:tcW w:w="246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C56BD" w:rsidRPr="004467D7" w:rsidRDefault="008C56BD" w:rsidP="00A80743">
            <w:pPr>
              <w:pStyle w:val="normal"/>
              <w:rPr>
                <w:rFonts w:ascii="Athiti" w:eastAsia="Athiti" w:hAnsi="Athiti" w:cs="Athiti"/>
                <w:lang w:val="cs-CZ"/>
              </w:rPr>
            </w:pPr>
            <w:r w:rsidRPr="004467D7">
              <w:rPr>
                <w:rFonts w:ascii="Athiti" w:eastAsia="Athiti" w:hAnsi="Athiti" w:cs="Athiti"/>
                <w:b/>
                <w:lang w:val="cs-CZ"/>
              </w:rPr>
              <w:t>Diskriminace</w:t>
            </w:r>
          </w:p>
        </w:tc>
        <w:tc>
          <w:tcPr>
            <w:tcW w:w="698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C56BD" w:rsidRPr="004467D7" w:rsidRDefault="008C56BD" w:rsidP="00A80743">
            <w:pPr>
              <w:pStyle w:val="normal"/>
              <w:rPr>
                <w:rFonts w:ascii="Athiti" w:eastAsia="Athiti" w:hAnsi="Athiti" w:cs="Athiti"/>
                <w:lang w:val="cs-CZ"/>
              </w:rPr>
            </w:pPr>
            <w:r w:rsidRPr="004467D7">
              <w:rPr>
                <w:rFonts w:ascii="Athiti" w:eastAsia="Athiti" w:hAnsi="Athiti" w:cs="Athiti"/>
                <w:lang w:val="cs-CZ"/>
              </w:rPr>
              <w:t>Jakékoli rozlišování, vyloučení, omezení nebo upřednostnění, které má za cíl nebo důsledek narušení nebo znemožnění rovného zacházení.</w:t>
            </w:r>
          </w:p>
        </w:tc>
      </w:tr>
      <w:tr w:rsidR="008C56BD" w:rsidRPr="004467D7" w:rsidTr="00A80743">
        <w:trPr>
          <w:cantSplit/>
          <w:trHeight w:val="1070"/>
          <w:tblHeader/>
        </w:trPr>
        <w:tc>
          <w:tcPr>
            <w:tcW w:w="246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C56BD" w:rsidRPr="004467D7" w:rsidRDefault="008C56BD" w:rsidP="00A80743">
            <w:pPr>
              <w:pStyle w:val="normal"/>
              <w:rPr>
                <w:rFonts w:ascii="Athiti" w:eastAsia="Athiti" w:hAnsi="Athiti" w:cs="Athiti"/>
                <w:lang w:val="cs-CZ"/>
              </w:rPr>
            </w:pPr>
            <w:r w:rsidRPr="004467D7">
              <w:rPr>
                <w:rFonts w:ascii="Athiti" w:eastAsia="Athiti" w:hAnsi="Athiti" w:cs="Athiti"/>
                <w:b/>
                <w:lang w:val="cs-CZ"/>
              </w:rPr>
              <w:t>Zásada rovného zacházení</w:t>
            </w:r>
          </w:p>
        </w:tc>
        <w:tc>
          <w:tcPr>
            <w:tcW w:w="698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C56BD" w:rsidRPr="004467D7" w:rsidRDefault="008C56BD" w:rsidP="00A80743">
            <w:pPr>
              <w:pStyle w:val="normal"/>
              <w:rPr>
                <w:rFonts w:ascii="Athiti" w:eastAsia="Athiti" w:hAnsi="Athiti" w:cs="Athiti"/>
                <w:lang w:val="cs-CZ"/>
              </w:rPr>
            </w:pPr>
            <w:r w:rsidRPr="004467D7">
              <w:rPr>
                <w:rFonts w:ascii="Athiti" w:eastAsia="Athiti" w:hAnsi="Athiti" w:cs="Athiti"/>
                <w:lang w:val="cs-CZ"/>
              </w:rPr>
              <w:t>Pravidlo, podle něhož je všem osobám v obdobném postavení poskytována služba nebo možnost za srovnatelných podmínek bez neoprávněného rozdílu.</w:t>
            </w:r>
          </w:p>
        </w:tc>
      </w:tr>
      <w:tr w:rsidR="008C56BD" w:rsidRPr="004467D7" w:rsidTr="00A80743">
        <w:trPr>
          <w:cantSplit/>
          <w:trHeight w:val="785"/>
          <w:tblHeader/>
        </w:trPr>
        <w:tc>
          <w:tcPr>
            <w:tcW w:w="246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C56BD" w:rsidRPr="004467D7" w:rsidRDefault="008C56BD" w:rsidP="00A80743">
            <w:pPr>
              <w:pStyle w:val="normal"/>
              <w:rPr>
                <w:rFonts w:ascii="Athiti" w:eastAsia="Athiti" w:hAnsi="Athiti" w:cs="Athiti"/>
                <w:lang w:val="cs-CZ"/>
              </w:rPr>
            </w:pPr>
            <w:r w:rsidRPr="004467D7">
              <w:rPr>
                <w:rFonts w:ascii="Athiti" w:eastAsia="Athiti" w:hAnsi="Athiti" w:cs="Athiti"/>
                <w:b/>
                <w:lang w:val="cs-CZ"/>
              </w:rPr>
              <w:t>Znevýhodněná osoba</w:t>
            </w:r>
          </w:p>
        </w:tc>
        <w:tc>
          <w:tcPr>
            <w:tcW w:w="698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C56BD" w:rsidRPr="004467D7" w:rsidRDefault="008C56BD" w:rsidP="00A80743">
            <w:pPr>
              <w:pStyle w:val="normal"/>
              <w:rPr>
                <w:rFonts w:ascii="Athiti" w:eastAsia="Athiti" w:hAnsi="Athiti" w:cs="Athiti"/>
                <w:lang w:val="cs-CZ"/>
              </w:rPr>
            </w:pPr>
            <w:r w:rsidRPr="004467D7">
              <w:rPr>
                <w:rFonts w:ascii="Athiti" w:eastAsia="Athiti" w:hAnsi="Athiti" w:cs="Athiti"/>
                <w:lang w:val="cs-CZ"/>
              </w:rPr>
              <w:t>Osoba, která je v důsledku určitého opatření či postupu vystavena horším podmínkám oproti jiným osobám ve srovnatelné situaci.</w:t>
            </w:r>
          </w:p>
        </w:tc>
      </w:tr>
      <w:tr w:rsidR="008C56BD" w:rsidRPr="004467D7" w:rsidTr="00A80743">
        <w:trPr>
          <w:cantSplit/>
          <w:trHeight w:val="785"/>
          <w:tblHeader/>
        </w:trPr>
        <w:tc>
          <w:tcPr>
            <w:tcW w:w="246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C56BD" w:rsidRPr="004467D7" w:rsidRDefault="008C56BD" w:rsidP="00A80743">
            <w:pPr>
              <w:pStyle w:val="normal"/>
              <w:rPr>
                <w:rFonts w:ascii="Athiti" w:eastAsia="Athiti" w:hAnsi="Athiti" w:cs="Athiti"/>
                <w:lang w:val="cs-CZ"/>
              </w:rPr>
            </w:pPr>
            <w:r w:rsidRPr="004467D7">
              <w:rPr>
                <w:rFonts w:ascii="Athiti" w:eastAsia="Athiti" w:hAnsi="Athiti" w:cs="Athiti"/>
                <w:b/>
                <w:lang w:val="cs-CZ"/>
              </w:rPr>
              <w:t>Střet zájmů</w:t>
            </w:r>
          </w:p>
        </w:tc>
        <w:tc>
          <w:tcPr>
            <w:tcW w:w="698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C56BD" w:rsidRPr="004467D7" w:rsidRDefault="008C56BD" w:rsidP="00A80743">
            <w:pPr>
              <w:pStyle w:val="normal"/>
              <w:rPr>
                <w:rFonts w:ascii="Athiti" w:eastAsia="Athiti" w:hAnsi="Athiti" w:cs="Athiti"/>
                <w:lang w:val="cs-CZ"/>
              </w:rPr>
            </w:pPr>
            <w:r w:rsidRPr="004467D7">
              <w:rPr>
                <w:rFonts w:ascii="Athiti" w:eastAsia="Athiti" w:hAnsi="Athiti" w:cs="Athiti"/>
                <w:lang w:val="cs-CZ"/>
              </w:rPr>
              <w:t>Situace, kdy může dojít ke konfliktu mezi osobním zájmem pracovníka/zaměstnance a zájmem Společnosti nebo klienta.</w:t>
            </w:r>
          </w:p>
        </w:tc>
      </w:tr>
      <w:tr w:rsidR="008C56BD" w:rsidRPr="004467D7" w:rsidTr="00A80743">
        <w:trPr>
          <w:cantSplit/>
          <w:trHeight w:val="785"/>
          <w:tblHeader/>
        </w:trPr>
        <w:tc>
          <w:tcPr>
            <w:tcW w:w="246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C56BD" w:rsidRPr="004467D7" w:rsidRDefault="008C56BD" w:rsidP="00A80743">
            <w:pPr>
              <w:pStyle w:val="normal"/>
              <w:rPr>
                <w:rFonts w:ascii="Athiti" w:eastAsia="Athiti" w:hAnsi="Athiti" w:cs="Athiti"/>
                <w:lang w:val="cs-CZ"/>
              </w:rPr>
            </w:pPr>
            <w:r w:rsidRPr="004467D7">
              <w:rPr>
                <w:rFonts w:ascii="Athiti" w:eastAsia="Athiti" w:hAnsi="Athiti" w:cs="Athiti"/>
                <w:b/>
                <w:lang w:val="cs-CZ"/>
              </w:rPr>
              <w:t>Zpřístupnění podmínek</w:t>
            </w:r>
          </w:p>
        </w:tc>
        <w:tc>
          <w:tcPr>
            <w:tcW w:w="698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C56BD" w:rsidRPr="004467D7" w:rsidRDefault="008C56BD" w:rsidP="00A80743">
            <w:pPr>
              <w:pStyle w:val="normal"/>
              <w:rPr>
                <w:rFonts w:ascii="Athiti" w:eastAsia="Athiti" w:hAnsi="Athiti" w:cs="Athiti"/>
                <w:lang w:val="cs-CZ"/>
              </w:rPr>
            </w:pPr>
            <w:r w:rsidRPr="004467D7">
              <w:rPr>
                <w:rFonts w:ascii="Athiti" w:eastAsia="Athiti" w:hAnsi="Athiti" w:cs="Athiti"/>
                <w:lang w:val="cs-CZ"/>
              </w:rPr>
              <w:t>Povinnost Společnosti poskytovat veškeré smluvní, obchodní a interní podmínky zákazníkům tak, aby byly snadno dostupné a srozumitelné.</w:t>
            </w:r>
          </w:p>
        </w:tc>
      </w:tr>
      <w:tr w:rsidR="008C56BD" w:rsidRPr="004467D7" w:rsidTr="00A80743">
        <w:trPr>
          <w:cantSplit/>
          <w:trHeight w:val="1070"/>
          <w:tblHeader/>
        </w:trPr>
        <w:tc>
          <w:tcPr>
            <w:tcW w:w="246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C56BD" w:rsidRPr="004467D7" w:rsidRDefault="008C56BD" w:rsidP="00A80743">
            <w:pPr>
              <w:pStyle w:val="normal"/>
              <w:rPr>
                <w:rFonts w:ascii="Athiti" w:eastAsia="Athiti" w:hAnsi="Athiti" w:cs="Athiti"/>
                <w:lang w:val="cs-CZ"/>
              </w:rPr>
            </w:pPr>
            <w:r w:rsidRPr="004467D7">
              <w:rPr>
                <w:rFonts w:ascii="Athiti" w:eastAsia="Athiti" w:hAnsi="Athiti" w:cs="Athiti"/>
                <w:b/>
                <w:lang w:val="cs-CZ"/>
              </w:rPr>
              <w:t>Blacklist (seznam nežádoucích osob)</w:t>
            </w:r>
          </w:p>
        </w:tc>
        <w:tc>
          <w:tcPr>
            <w:tcW w:w="698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C56BD" w:rsidRPr="004467D7" w:rsidRDefault="008C56BD" w:rsidP="00A80743">
            <w:pPr>
              <w:pStyle w:val="normal"/>
              <w:rPr>
                <w:rFonts w:ascii="Athiti" w:eastAsia="Athiti" w:hAnsi="Athiti" w:cs="Athiti"/>
                <w:lang w:val="cs-CZ"/>
              </w:rPr>
            </w:pPr>
            <w:r w:rsidRPr="004467D7">
              <w:rPr>
                <w:rFonts w:ascii="Athiti" w:eastAsia="Athiti" w:hAnsi="Athiti" w:cs="Athiti"/>
                <w:lang w:val="cs-CZ"/>
              </w:rPr>
              <w:t>Interní seznam klientů, kterým z oprávněných důvodů není poskytována služba; zařazení musí být přiměřené, odůvodněné a písemně evidované.</w:t>
            </w:r>
          </w:p>
        </w:tc>
      </w:tr>
      <w:tr w:rsidR="008C56BD" w:rsidRPr="004467D7" w:rsidTr="00A80743">
        <w:trPr>
          <w:cantSplit/>
          <w:trHeight w:val="785"/>
          <w:tblHeader/>
        </w:trPr>
        <w:tc>
          <w:tcPr>
            <w:tcW w:w="246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C56BD" w:rsidRPr="004467D7" w:rsidRDefault="008C56BD" w:rsidP="00A80743">
            <w:pPr>
              <w:pStyle w:val="normal"/>
              <w:rPr>
                <w:rFonts w:ascii="Athiti" w:eastAsia="Athiti" w:hAnsi="Athiti" w:cs="Athiti"/>
                <w:lang w:val="cs-CZ"/>
              </w:rPr>
            </w:pPr>
            <w:r w:rsidRPr="004467D7">
              <w:rPr>
                <w:rFonts w:ascii="Athiti" w:eastAsia="Athiti" w:hAnsi="Athiti" w:cs="Athiti"/>
                <w:b/>
                <w:lang w:val="cs-CZ"/>
              </w:rPr>
              <w:t>Compliance Officer</w:t>
            </w:r>
          </w:p>
        </w:tc>
        <w:tc>
          <w:tcPr>
            <w:tcW w:w="698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C56BD" w:rsidRPr="004467D7" w:rsidRDefault="008C56BD" w:rsidP="00A80743">
            <w:pPr>
              <w:pStyle w:val="normal"/>
              <w:rPr>
                <w:rFonts w:ascii="Athiti" w:eastAsia="Athiti" w:hAnsi="Athiti" w:cs="Athiti"/>
                <w:lang w:val="cs-CZ"/>
              </w:rPr>
            </w:pPr>
            <w:r w:rsidRPr="004467D7">
              <w:rPr>
                <w:rFonts w:ascii="Athiti" w:eastAsia="Athiti" w:hAnsi="Athiti" w:cs="Athiti"/>
                <w:lang w:val="cs-CZ"/>
              </w:rPr>
              <w:t>Osoba zodpovědná za kontrolu souladu vnitřních předpisů s právními a regulatorními požadavky.</w:t>
            </w:r>
          </w:p>
        </w:tc>
      </w:tr>
      <w:tr w:rsidR="008C56BD" w:rsidRPr="004467D7" w:rsidTr="00A80743">
        <w:trPr>
          <w:cantSplit/>
          <w:trHeight w:val="785"/>
          <w:tblHeader/>
        </w:trPr>
        <w:tc>
          <w:tcPr>
            <w:tcW w:w="246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C56BD" w:rsidRPr="004467D7" w:rsidRDefault="008C56BD" w:rsidP="00A80743">
            <w:pPr>
              <w:pStyle w:val="normal"/>
              <w:rPr>
                <w:rFonts w:ascii="Athiti" w:eastAsia="Athiti" w:hAnsi="Athiti" w:cs="Athiti"/>
                <w:lang w:val="cs-CZ"/>
              </w:rPr>
            </w:pPr>
            <w:r w:rsidRPr="004467D7">
              <w:rPr>
                <w:rFonts w:ascii="Athiti" w:eastAsia="Athiti" w:hAnsi="Athiti" w:cs="Athiti"/>
                <w:b/>
                <w:lang w:val="cs-CZ"/>
              </w:rPr>
              <w:t>AML Officer</w:t>
            </w:r>
          </w:p>
        </w:tc>
        <w:tc>
          <w:tcPr>
            <w:tcW w:w="698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C56BD" w:rsidRPr="004467D7" w:rsidRDefault="008C56BD" w:rsidP="00A80743">
            <w:pPr>
              <w:pStyle w:val="normal"/>
              <w:rPr>
                <w:rFonts w:ascii="Athiti" w:eastAsia="Athiti" w:hAnsi="Athiti" w:cs="Athiti"/>
                <w:lang w:val="cs-CZ"/>
              </w:rPr>
            </w:pPr>
            <w:r w:rsidRPr="004467D7">
              <w:rPr>
                <w:rFonts w:ascii="Athiti" w:eastAsia="Athiti" w:hAnsi="Athiti" w:cs="Athiti"/>
                <w:lang w:val="cs-CZ"/>
              </w:rPr>
              <w:t>Osoba odpovědná za dohled nad dodržováním pravidel v oblasti boje proti praní špinavých peněz a financování terorismu.</w:t>
            </w:r>
          </w:p>
        </w:tc>
      </w:tr>
      <w:tr w:rsidR="008C56BD" w:rsidRPr="004467D7" w:rsidTr="00A80743">
        <w:trPr>
          <w:cantSplit/>
          <w:trHeight w:val="785"/>
          <w:tblHeader/>
        </w:trPr>
        <w:tc>
          <w:tcPr>
            <w:tcW w:w="246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C56BD" w:rsidRPr="004467D7" w:rsidRDefault="008C56BD" w:rsidP="00A80743">
            <w:pPr>
              <w:pStyle w:val="normal"/>
              <w:rPr>
                <w:rFonts w:ascii="Athiti" w:eastAsia="Athiti" w:hAnsi="Athiti" w:cs="Athiti"/>
                <w:lang w:val="cs-CZ"/>
              </w:rPr>
            </w:pPr>
            <w:r w:rsidRPr="004467D7">
              <w:rPr>
                <w:rFonts w:ascii="Athiti" w:eastAsia="Athiti" w:hAnsi="Athiti" w:cs="Athiti"/>
                <w:b/>
                <w:lang w:val="cs-CZ"/>
              </w:rPr>
              <w:t>Evidovaný důvod odmítnutí</w:t>
            </w:r>
          </w:p>
        </w:tc>
        <w:tc>
          <w:tcPr>
            <w:tcW w:w="698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C56BD" w:rsidRPr="004467D7" w:rsidRDefault="008C56BD" w:rsidP="00A80743">
            <w:pPr>
              <w:pStyle w:val="normal"/>
              <w:rPr>
                <w:rFonts w:ascii="Athiti" w:eastAsia="Athiti" w:hAnsi="Athiti" w:cs="Athiti"/>
                <w:lang w:val="cs-CZ"/>
              </w:rPr>
            </w:pPr>
            <w:r w:rsidRPr="004467D7">
              <w:rPr>
                <w:rFonts w:ascii="Athiti" w:eastAsia="Athiti" w:hAnsi="Athiti" w:cs="Athiti"/>
                <w:lang w:val="cs-CZ"/>
              </w:rPr>
              <w:t>Jasně a konkrétně zaznamenaný důvod, proč nebyla určité osobě služba poskytnuta, v souladu s vnitřními pravidly a zákonem.</w:t>
            </w:r>
          </w:p>
        </w:tc>
      </w:tr>
      <w:tr w:rsidR="008C56BD" w:rsidRPr="004467D7" w:rsidTr="00A80743">
        <w:trPr>
          <w:cantSplit/>
          <w:trHeight w:val="1340"/>
          <w:tblHeader/>
        </w:trPr>
        <w:tc>
          <w:tcPr>
            <w:tcW w:w="246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C56BD" w:rsidRPr="004467D7" w:rsidRDefault="008C56BD" w:rsidP="00A80743">
            <w:pPr>
              <w:pStyle w:val="normal"/>
              <w:rPr>
                <w:rFonts w:ascii="Athiti" w:eastAsia="Athiti" w:hAnsi="Athiti" w:cs="Athiti"/>
                <w:lang w:val="cs-CZ"/>
              </w:rPr>
            </w:pPr>
            <w:r w:rsidRPr="004467D7">
              <w:rPr>
                <w:rFonts w:ascii="Athiti" w:eastAsia="Athiti" w:hAnsi="Athiti" w:cs="Athiti"/>
                <w:b/>
                <w:lang w:val="cs-CZ"/>
              </w:rPr>
              <w:t>Oprávněné odmítnutí služby</w:t>
            </w:r>
          </w:p>
        </w:tc>
        <w:tc>
          <w:tcPr>
            <w:tcW w:w="698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C56BD" w:rsidRPr="004467D7" w:rsidRDefault="008C56BD" w:rsidP="00A80743">
            <w:pPr>
              <w:pStyle w:val="normal"/>
              <w:rPr>
                <w:rFonts w:ascii="Athiti" w:eastAsia="Athiti" w:hAnsi="Athiti" w:cs="Athiti"/>
                <w:lang w:val="cs-CZ"/>
              </w:rPr>
            </w:pPr>
            <w:r w:rsidRPr="004467D7">
              <w:rPr>
                <w:rFonts w:ascii="Athiti" w:eastAsia="Athiti" w:hAnsi="Athiti" w:cs="Athiti"/>
                <w:lang w:val="cs-CZ"/>
              </w:rPr>
              <w:t>Situace, kdy poskytovatel služby může odmítnout klienta z důvodu zákonných omezení, compliance pravidel, rizik AML nebo technických překážek, za předpokladu, že odmítnutí není diskriminační.</w:t>
            </w:r>
          </w:p>
        </w:tc>
      </w:tr>
      <w:tr w:rsidR="008C56BD" w:rsidRPr="004467D7" w:rsidTr="00A80743">
        <w:trPr>
          <w:cantSplit/>
          <w:trHeight w:val="785"/>
          <w:tblHeader/>
        </w:trPr>
        <w:tc>
          <w:tcPr>
            <w:tcW w:w="246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C56BD" w:rsidRPr="004467D7" w:rsidRDefault="008C56BD" w:rsidP="00A80743">
            <w:pPr>
              <w:pStyle w:val="normal"/>
              <w:rPr>
                <w:rFonts w:ascii="Athiti" w:eastAsia="Athiti" w:hAnsi="Athiti" w:cs="Athiti"/>
                <w:lang w:val="cs-CZ"/>
              </w:rPr>
            </w:pPr>
            <w:r w:rsidRPr="004467D7">
              <w:rPr>
                <w:rFonts w:ascii="Athiti" w:eastAsia="Athiti" w:hAnsi="Athiti" w:cs="Athiti"/>
                <w:b/>
                <w:lang w:val="cs-CZ"/>
              </w:rPr>
              <w:lastRenderedPageBreak/>
              <w:t>Zásady transparentnosti</w:t>
            </w:r>
          </w:p>
        </w:tc>
        <w:tc>
          <w:tcPr>
            <w:tcW w:w="698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C56BD" w:rsidRPr="004467D7" w:rsidRDefault="008C56BD" w:rsidP="00A80743">
            <w:pPr>
              <w:pStyle w:val="normal"/>
              <w:rPr>
                <w:rFonts w:ascii="Athiti" w:eastAsia="Athiti" w:hAnsi="Athiti" w:cs="Athiti"/>
                <w:lang w:val="cs-CZ"/>
              </w:rPr>
            </w:pPr>
            <w:r w:rsidRPr="004467D7">
              <w:rPr>
                <w:rFonts w:ascii="Athiti" w:eastAsia="Athiti" w:hAnsi="Athiti" w:cs="Athiti"/>
                <w:lang w:val="cs-CZ"/>
              </w:rPr>
              <w:t>Požadavek, aby pravidla a podmínky pro klienty byly jasně sdělené a přístupné, bez skrytých překážek nebo diskriminačních praktik.</w:t>
            </w:r>
          </w:p>
        </w:tc>
      </w:tr>
    </w:tbl>
    <w:p w:rsidR="008C56BD" w:rsidRPr="004467D7" w:rsidRDefault="008C56BD" w:rsidP="008C56BD">
      <w:pPr>
        <w:pStyle w:val="normal"/>
        <w:widowControl w:val="0"/>
        <w:spacing w:after="0" w:line="240" w:lineRule="auto"/>
        <w:rPr>
          <w:rFonts w:ascii="Athiti" w:eastAsia="Athiti" w:hAnsi="Athiti" w:cs="Athiti"/>
          <w:sz w:val="20"/>
          <w:szCs w:val="20"/>
          <w:lang w:val="cs-CZ"/>
        </w:rPr>
      </w:pPr>
    </w:p>
    <w:p w:rsidR="008C56BD" w:rsidRPr="004467D7" w:rsidRDefault="008C56BD" w:rsidP="008C56BD">
      <w:pPr>
        <w:pStyle w:val="Nadpis1"/>
        <w:keepNext w:val="0"/>
        <w:keepLines w:val="0"/>
        <w:widowControl w:val="0"/>
        <w:numPr>
          <w:ilvl w:val="0"/>
          <w:numId w:val="3"/>
        </w:numPr>
        <w:spacing w:before="0" w:after="0" w:line="240" w:lineRule="auto"/>
        <w:rPr>
          <w:sz w:val="28"/>
          <w:szCs w:val="28"/>
          <w:lang w:val="cs-CZ"/>
        </w:rPr>
      </w:pPr>
      <w:r w:rsidRPr="004467D7">
        <w:rPr>
          <w:rFonts w:ascii="Athiti" w:eastAsia="Athiti" w:hAnsi="Athiti" w:cs="Athiti"/>
          <w:sz w:val="28"/>
          <w:szCs w:val="28"/>
          <w:lang w:val="cs-CZ"/>
        </w:rPr>
        <w:t>PŘEDMĚT ÚPRAVY</w:t>
      </w:r>
    </w:p>
    <w:p w:rsidR="008C56BD" w:rsidRPr="004467D7" w:rsidRDefault="008C56BD" w:rsidP="008C56BD">
      <w:pPr>
        <w:pStyle w:val="normal"/>
        <w:widowControl w:val="0"/>
        <w:spacing w:before="240" w:after="240" w:line="240" w:lineRule="auto"/>
        <w:ind w:left="720"/>
        <w:rPr>
          <w:rFonts w:ascii="Athiti" w:eastAsia="Athiti" w:hAnsi="Athiti" w:cs="Athiti"/>
          <w:lang w:val="cs-CZ"/>
        </w:rPr>
      </w:pPr>
      <w:r w:rsidRPr="004467D7">
        <w:rPr>
          <w:rFonts w:ascii="Athiti" w:eastAsia="Athiti" w:hAnsi="Athiti" w:cs="Athiti"/>
          <w:lang w:val="cs-CZ"/>
        </w:rPr>
        <w:t>Tato Pravidla rovného zacházení (dále jen „Pravidla“) stanovují závazný rámec pro spravedlivý, přiměřený a nediskriminační přístup v rámci činnosti Společnosti, a to zejména při:</w:t>
      </w:r>
    </w:p>
    <w:p w:rsidR="008C56BD" w:rsidRPr="004467D7" w:rsidRDefault="008C56BD" w:rsidP="008C56BD">
      <w:pPr>
        <w:pStyle w:val="normal"/>
        <w:widowControl w:val="0"/>
        <w:numPr>
          <w:ilvl w:val="0"/>
          <w:numId w:val="16"/>
        </w:numPr>
        <w:spacing w:before="240" w:after="0" w:line="240" w:lineRule="auto"/>
        <w:ind w:firstLine="0"/>
        <w:jc w:val="left"/>
        <w:rPr>
          <w:rFonts w:ascii="Athiti" w:eastAsia="Athiti" w:hAnsi="Athiti" w:cs="Athiti"/>
          <w:lang w:val="cs-CZ"/>
        </w:rPr>
      </w:pPr>
      <w:r w:rsidRPr="004467D7">
        <w:rPr>
          <w:rFonts w:ascii="Athiti" w:eastAsia="Athiti" w:hAnsi="Athiti" w:cs="Athiti"/>
          <w:lang w:val="cs-CZ"/>
        </w:rPr>
        <w:t>uplatňování jejího řídicího a kontrolního systému,</w:t>
      </w:r>
    </w:p>
    <w:p w:rsidR="008C56BD" w:rsidRPr="004467D7" w:rsidRDefault="008C56BD" w:rsidP="008C56BD">
      <w:pPr>
        <w:pStyle w:val="normal"/>
        <w:widowControl w:val="0"/>
        <w:numPr>
          <w:ilvl w:val="0"/>
          <w:numId w:val="16"/>
        </w:numPr>
        <w:spacing w:after="0" w:line="240" w:lineRule="auto"/>
        <w:ind w:firstLine="0"/>
        <w:jc w:val="left"/>
        <w:rPr>
          <w:rFonts w:ascii="Athiti" w:eastAsia="Athiti" w:hAnsi="Athiti" w:cs="Athiti"/>
          <w:lang w:val="cs-CZ"/>
        </w:rPr>
      </w:pPr>
      <w:r w:rsidRPr="004467D7">
        <w:rPr>
          <w:rFonts w:ascii="Athiti" w:eastAsia="Athiti" w:hAnsi="Athiti" w:cs="Athiti"/>
          <w:lang w:val="cs-CZ"/>
        </w:rPr>
        <w:t>nastavení a výkonu obchodní politiky,</w:t>
      </w:r>
    </w:p>
    <w:p w:rsidR="008C56BD" w:rsidRPr="004467D7" w:rsidRDefault="008C56BD" w:rsidP="008C56BD">
      <w:pPr>
        <w:pStyle w:val="normal"/>
        <w:widowControl w:val="0"/>
        <w:numPr>
          <w:ilvl w:val="0"/>
          <w:numId w:val="16"/>
        </w:numPr>
        <w:spacing w:after="0" w:line="240" w:lineRule="auto"/>
        <w:ind w:firstLine="0"/>
        <w:jc w:val="left"/>
        <w:rPr>
          <w:rFonts w:ascii="Athiti" w:eastAsia="Athiti" w:hAnsi="Athiti" w:cs="Athiti"/>
          <w:lang w:val="cs-CZ"/>
        </w:rPr>
      </w:pPr>
      <w:r w:rsidRPr="004467D7">
        <w:rPr>
          <w:rFonts w:ascii="Athiti" w:eastAsia="Athiti" w:hAnsi="Athiti" w:cs="Athiti"/>
          <w:lang w:val="cs-CZ"/>
        </w:rPr>
        <w:t>poskytování služeb souvisejících s kryptoaktivy,</w:t>
      </w:r>
    </w:p>
    <w:p w:rsidR="008C56BD" w:rsidRPr="004467D7" w:rsidRDefault="008C56BD" w:rsidP="008C56BD">
      <w:pPr>
        <w:pStyle w:val="normal"/>
        <w:widowControl w:val="0"/>
        <w:numPr>
          <w:ilvl w:val="0"/>
          <w:numId w:val="16"/>
        </w:numPr>
        <w:spacing w:after="240" w:line="240" w:lineRule="auto"/>
        <w:ind w:firstLine="0"/>
        <w:jc w:val="left"/>
        <w:rPr>
          <w:rFonts w:ascii="Athiti" w:eastAsia="Athiti" w:hAnsi="Athiti" w:cs="Athiti"/>
          <w:lang w:val="cs-CZ"/>
        </w:rPr>
      </w:pPr>
      <w:r w:rsidRPr="004467D7">
        <w:rPr>
          <w:rFonts w:ascii="Athiti" w:eastAsia="Athiti" w:hAnsi="Athiti" w:cs="Athiti"/>
          <w:lang w:val="cs-CZ"/>
        </w:rPr>
        <w:t>a ve vztazích se zákazníky, třetími stranami i zaměstnanci.</w:t>
      </w:r>
    </w:p>
    <w:p w:rsidR="008C56BD" w:rsidRPr="004467D7" w:rsidRDefault="008C56BD" w:rsidP="008C56BD">
      <w:pPr>
        <w:pStyle w:val="normal"/>
        <w:widowControl w:val="0"/>
        <w:spacing w:before="240" w:after="240" w:line="240" w:lineRule="auto"/>
        <w:ind w:left="720"/>
        <w:rPr>
          <w:rFonts w:ascii="Athiti" w:eastAsia="Athiti" w:hAnsi="Athiti" w:cs="Athiti"/>
          <w:lang w:val="cs-CZ"/>
        </w:rPr>
      </w:pPr>
      <w:r w:rsidRPr="004467D7">
        <w:rPr>
          <w:rFonts w:ascii="Athiti" w:eastAsia="Athiti" w:hAnsi="Athiti" w:cs="Athiti"/>
          <w:lang w:val="cs-CZ"/>
        </w:rPr>
        <w:t>Cílem těchto Pravidel je zajistit, aby veškeré služby, procesy a rozhodnutí v rámci podnikání Společnosti probíhaly transparentně, předvídatelně a rovně vůči všem osobám, bez rozdílu na základě pohlaví, rasy, věku, národnosti, jazyka, víry, sociálního původu, politického přesvědčení, majetku, zdravotního stavu, sexuální orientace či jiného zákonem zakázaného důvodu.</w:t>
      </w:r>
    </w:p>
    <w:p w:rsidR="008C56BD" w:rsidRPr="004467D7" w:rsidRDefault="008C56BD" w:rsidP="008C56BD">
      <w:pPr>
        <w:pStyle w:val="normal"/>
        <w:widowControl w:val="0"/>
        <w:spacing w:before="240" w:after="240" w:line="240" w:lineRule="auto"/>
        <w:ind w:left="720"/>
        <w:rPr>
          <w:rFonts w:ascii="Athiti" w:eastAsia="Athiti" w:hAnsi="Athiti" w:cs="Athiti"/>
          <w:lang w:val="cs-CZ"/>
        </w:rPr>
      </w:pPr>
      <w:r w:rsidRPr="004467D7">
        <w:rPr>
          <w:rFonts w:ascii="Athiti" w:eastAsia="Athiti" w:hAnsi="Athiti" w:cs="Athiti"/>
          <w:lang w:val="cs-CZ"/>
        </w:rPr>
        <w:t>Součástí těchto pravidel je rovněž zavedení a udržování efektivního compliance systému, který:</w:t>
      </w:r>
    </w:p>
    <w:p w:rsidR="008C56BD" w:rsidRPr="004467D7" w:rsidRDefault="008C56BD" w:rsidP="008C56BD">
      <w:pPr>
        <w:pStyle w:val="normal"/>
        <w:widowControl w:val="0"/>
        <w:numPr>
          <w:ilvl w:val="0"/>
          <w:numId w:val="12"/>
        </w:numPr>
        <w:spacing w:before="240" w:after="0" w:line="240" w:lineRule="auto"/>
        <w:ind w:firstLine="0"/>
        <w:jc w:val="left"/>
        <w:rPr>
          <w:rFonts w:ascii="Athiti" w:eastAsia="Athiti" w:hAnsi="Athiti" w:cs="Athiti"/>
          <w:lang w:val="cs-CZ"/>
        </w:rPr>
      </w:pPr>
      <w:r w:rsidRPr="004467D7">
        <w:rPr>
          <w:rFonts w:ascii="Athiti" w:eastAsia="Athiti" w:hAnsi="Athiti" w:cs="Athiti"/>
          <w:lang w:val="cs-CZ"/>
        </w:rPr>
        <w:t>zajišťuje nediskriminační přístup k zákaznickým službám,</w:t>
      </w:r>
    </w:p>
    <w:p w:rsidR="008C56BD" w:rsidRPr="004467D7" w:rsidRDefault="008C56BD" w:rsidP="008C56BD">
      <w:pPr>
        <w:pStyle w:val="normal"/>
        <w:widowControl w:val="0"/>
        <w:numPr>
          <w:ilvl w:val="0"/>
          <w:numId w:val="12"/>
        </w:numPr>
        <w:spacing w:after="0" w:line="240" w:lineRule="auto"/>
        <w:ind w:firstLine="0"/>
        <w:jc w:val="left"/>
        <w:rPr>
          <w:rFonts w:ascii="Athiti" w:eastAsia="Athiti" w:hAnsi="Athiti" w:cs="Athiti"/>
          <w:lang w:val="cs-CZ"/>
        </w:rPr>
      </w:pPr>
      <w:r w:rsidRPr="004467D7">
        <w:rPr>
          <w:rFonts w:ascii="Athiti" w:eastAsia="Athiti" w:hAnsi="Athiti" w:cs="Athiti"/>
          <w:lang w:val="cs-CZ"/>
        </w:rPr>
        <w:t>stanovuje procesy pro řádné odůvodnění případného odmítnutí poskytnutí služby,</w:t>
      </w:r>
    </w:p>
    <w:p w:rsidR="008C56BD" w:rsidRPr="004467D7" w:rsidRDefault="008C56BD" w:rsidP="008C56BD">
      <w:pPr>
        <w:pStyle w:val="normal"/>
        <w:widowControl w:val="0"/>
        <w:numPr>
          <w:ilvl w:val="0"/>
          <w:numId w:val="12"/>
        </w:numPr>
        <w:spacing w:after="240" w:line="240" w:lineRule="auto"/>
        <w:ind w:firstLine="0"/>
        <w:jc w:val="left"/>
        <w:rPr>
          <w:rFonts w:ascii="Athiti" w:eastAsia="Athiti" w:hAnsi="Athiti" w:cs="Athiti"/>
          <w:lang w:val="cs-CZ"/>
        </w:rPr>
      </w:pPr>
      <w:r w:rsidRPr="004467D7">
        <w:rPr>
          <w:rFonts w:ascii="Athiti" w:eastAsia="Athiti" w:hAnsi="Athiti" w:cs="Athiti"/>
          <w:lang w:val="cs-CZ"/>
        </w:rPr>
        <w:t>sleduje a vyhodnocuje soulad s platnou legislativou a interními politikami.</w:t>
      </w:r>
      <w:r w:rsidRPr="004467D7">
        <w:rPr>
          <w:rFonts w:ascii="Athiti" w:eastAsia="Athiti" w:hAnsi="Athiti" w:cs="Athiti"/>
          <w:lang w:val="cs-CZ"/>
        </w:rPr>
        <w:br/>
      </w:r>
    </w:p>
    <w:p w:rsidR="008C56BD" w:rsidRPr="004467D7" w:rsidRDefault="008C56BD" w:rsidP="008C56BD">
      <w:pPr>
        <w:pStyle w:val="normal"/>
        <w:widowControl w:val="0"/>
        <w:spacing w:before="240" w:after="240" w:line="240" w:lineRule="auto"/>
        <w:ind w:left="720"/>
        <w:rPr>
          <w:rFonts w:ascii="Athiti" w:eastAsia="Athiti" w:hAnsi="Athiti" w:cs="Athiti"/>
          <w:lang w:val="cs-CZ"/>
        </w:rPr>
      </w:pPr>
      <w:r w:rsidRPr="004467D7">
        <w:rPr>
          <w:rFonts w:ascii="Athiti" w:eastAsia="Athiti" w:hAnsi="Athiti" w:cs="Athiti"/>
          <w:lang w:val="cs-CZ"/>
        </w:rPr>
        <w:t>Společnost si je vědoma, že v oblasti služeb spojených s kryptoaktivy, kde může být vstup zákazníka podmíněn předchozím posouzením rizika, musí být pravidla pro přístup objektivní, měřitelná a přiměřená. Z tohoto důvodu se vylučuje jakákoli forma svévolného nebo systematicky neodůvodněného omezování přístupu k produktům nebo službám.</w:t>
      </w:r>
    </w:p>
    <w:p w:rsidR="008C56BD" w:rsidRPr="004467D7" w:rsidRDefault="008C56BD" w:rsidP="008C56BD">
      <w:pPr>
        <w:pStyle w:val="normal"/>
        <w:widowControl w:val="0"/>
        <w:spacing w:before="240" w:after="240" w:line="240" w:lineRule="auto"/>
        <w:ind w:left="720"/>
        <w:rPr>
          <w:rFonts w:ascii="Athiti" w:eastAsia="Athiti" w:hAnsi="Athiti" w:cs="Athiti"/>
          <w:lang w:val="cs-CZ"/>
        </w:rPr>
      </w:pPr>
      <w:r w:rsidRPr="004467D7">
        <w:rPr>
          <w:rFonts w:ascii="Athiti" w:eastAsia="Athiti" w:hAnsi="Athiti" w:cs="Athiti"/>
          <w:lang w:val="cs-CZ"/>
        </w:rPr>
        <w:t>Tato Pravidla vycházejí a jsou plně v souladu s následujícími právními předpisy a závaznými výkladovými stanovisky:</w:t>
      </w:r>
    </w:p>
    <w:p w:rsidR="008C56BD" w:rsidRPr="004467D7" w:rsidRDefault="008C56BD" w:rsidP="008C56BD">
      <w:pPr>
        <w:pStyle w:val="normal"/>
        <w:widowControl w:val="0"/>
        <w:numPr>
          <w:ilvl w:val="0"/>
          <w:numId w:val="8"/>
        </w:numPr>
        <w:spacing w:before="240" w:after="0" w:line="240" w:lineRule="auto"/>
        <w:ind w:firstLine="0"/>
        <w:jc w:val="left"/>
        <w:rPr>
          <w:rFonts w:ascii="Athiti" w:eastAsia="Athiti" w:hAnsi="Athiti" w:cs="Athiti"/>
          <w:lang w:val="cs-CZ"/>
        </w:rPr>
      </w:pPr>
      <w:r w:rsidRPr="004467D7">
        <w:rPr>
          <w:rFonts w:ascii="Athiti" w:eastAsia="Athiti" w:hAnsi="Athiti" w:cs="Athiti"/>
          <w:b/>
          <w:lang w:val="cs-CZ"/>
        </w:rPr>
        <w:t>Zákon č. 198/2009 Sb., antidiskriminační zákon</w:t>
      </w:r>
      <w:r w:rsidRPr="004467D7">
        <w:rPr>
          <w:rFonts w:ascii="Athiti" w:eastAsia="Athiti" w:hAnsi="Athiti" w:cs="Athiti"/>
          <w:lang w:val="cs-CZ"/>
        </w:rPr>
        <w:t>, ve znění pozdějších předpisů – stanoví obecný rámec zákazu diskriminace a zavádí zásadu rovného zacházení ve všech oblastech veřejného a soukromého života.</w:t>
      </w:r>
    </w:p>
    <w:p w:rsidR="008C56BD" w:rsidRPr="004467D7" w:rsidRDefault="008C56BD" w:rsidP="008C56BD">
      <w:pPr>
        <w:pStyle w:val="normal"/>
        <w:widowControl w:val="0"/>
        <w:numPr>
          <w:ilvl w:val="0"/>
          <w:numId w:val="8"/>
        </w:numPr>
        <w:spacing w:after="0" w:line="240" w:lineRule="auto"/>
        <w:ind w:firstLine="0"/>
        <w:jc w:val="left"/>
        <w:rPr>
          <w:rFonts w:ascii="Athiti" w:eastAsia="Athiti" w:hAnsi="Athiti" w:cs="Athiti"/>
          <w:lang w:val="cs-CZ"/>
        </w:rPr>
      </w:pPr>
      <w:r w:rsidRPr="004467D7">
        <w:rPr>
          <w:rFonts w:ascii="Athiti" w:eastAsia="Athiti" w:hAnsi="Athiti" w:cs="Athiti"/>
          <w:b/>
          <w:lang w:val="cs-CZ"/>
        </w:rPr>
        <w:t>Zákon č. 634/1992 Sb., o ochraně spotřebitele</w:t>
      </w:r>
      <w:r w:rsidRPr="004467D7">
        <w:rPr>
          <w:rFonts w:ascii="Athiti" w:eastAsia="Athiti" w:hAnsi="Athiti" w:cs="Athiti"/>
          <w:lang w:val="cs-CZ"/>
        </w:rPr>
        <w:t>, ve znění pozdějších předpisů – klade důraz na transparentnost, srozumitelnost a rovný přístup ke spotřebitelům.</w:t>
      </w:r>
    </w:p>
    <w:p w:rsidR="008C56BD" w:rsidRPr="004467D7" w:rsidRDefault="008C56BD" w:rsidP="008C56BD">
      <w:pPr>
        <w:pStyle w:val="normal"/>
        <w:widowControl w:val="0"/>
        <w:numPr>
          <w:ilvl w:val="0"/>
          <w:numId w:val="8"/>
        </w:numPr>
        <w:spacing w:after="240" w:line="240" w:lineRule="auto"/>
        <w:ind w:firstLine="0"/>
        <w:jc w:val="left"/>
        <w:rPr>
          <w:rFonts w:ascii="Athiti" w:eastAsia="Athiti" w:hAnsi="Athiti" w:cs="Athiti"/>
          <w:lang w:val="cs-CZ"/>
        </w:rPr>
      </w:pPr>
      <w:bookmarkStart w:id="3" w:name="_heading=h.7bccam7n4emy" w:colFirst="0" w:colLast="0"/>
      <w:bookmarkEnd w:id="3"/>
      <w:r w:rsidRPr="004467D7">
        <w:rPr>
          <w:rFonts w:ascii="Athiti" w:eastAsia="Athiti" w:hAnsi="Athiti" w:cs="Athiti"/>
          <w:b/>
          <w:lang w:val="cs-CZ"/>
        </w:rPr>
        <w:t>Nařízení Evropského parlamentu a Rady (EU) 2023/1114</w:t>
      </w:r>
      <w:r w:rsidRPr="004467D7">
        <w:rPr>
          <w:rFonts w:ascii="Athiti" w:eastAsia="Athiti" w:hAnsi="Athiti" w:cs="Athiti"/>
          <w:lang w:val="cs-CZ"/>
        </w:rPr>
        <w:t xml:space="preserve"> ze dne 31. května 2023 o trzích s kryptoaktivy (</w:t>
      </w:r>
      <w:r w:rsidRPr="004467D7">
        <w:rPr>
          <w:rFonts w:ascii="Athiti" w:eastAsia="Athiti" w:hAnsi="Athiti" w:cs="Athiti"/>
          <w:b/>
          <w:lang w:val="cs-CZ"/>
        </w:rPr>
        <w:t>MiCA</w:t>
      </w:r>
      <w:r w:rsidRPr="004467D7">
        <w:rPr>
          <w:rFonts w:ascii="Athiti" w:eastAsia="Athiti" w:hAnsi="Athiti" w:cs="Athiti"/>
          <w:lang w:val="cs-CZ"/>
        </w:rPr>
        <w:t xml:space="preserve">) – požaduje, aby poskytovatelé služeb souvisejících s kryptoaktivy jednali čestně, spravedlivě a profesionálně ve vztahu ke všem klientům, a aby zavedli odpovídající opatření k zajištění </w:t>
      </w:r>
      <w:r w:rsidRPr="004467D7">
        <w:rPr>
          <w:rFonts w:ascii="Athiti" w:eastAsia="Athiti" w:hAnsi="Athiti" w:cs="Athiti"/>
          <w:b/>
          <w:lang w:val="cs-CZ"/>
        </w:rPr>
        <w:t>nediskriminačního přístupu ke službám</w:t>
      </w:r>
      <w:r w:rsidRPr="004467D7">
        <w:rPr>
          <w:rFonts w:ascii="Athiti" w:eastAsia="Athiti" w:hAnsi="Athiti" w:cs="Athiti"/>
          <w:lang w:val="cs-CZ"/>
        </w:rPr>
        <w:t>.</w:t>
      </w:r>
    </w:p>
    <w:p w:rsidR="008C56BD" w:rsidRPr="004467D7" w:rsidRDefault="008C56BD" w:rsidP="008C56BD">
      <w:pPr>
        <w:pStyle w:val="normal"/>
        <w:widowControl w:val="0"/>
        <w:spacing w:after="0" w:line="240" w:lineRule="auto"/>
        <w:ind w:left="1191" w:hanging="454"/>
        <w:jc w:val="left"/>
        <w:rPr>
          <w:rFonts w:ascii="Athiti" w:eastAsia="Athiti" w:hAnsi="Athiti" w:cs="Athiti"/>
          <w:lang w:val="cs-CZ"/>
        </w:rPr>
      </w:pPr>
    </w:p>
    <w:p w:rsidR="008C56BD" w:rsidRPr="004467D7" w:rsidRDefault="008C56BD" w:rsidP="008C56BD">
      <w:pPr>
        <w:pStyle w:val="Nadpis1"/>
        <w:keepNext w:val="0"/>
        <w:keepLines w:val="0"/>
        <w:widowControl w:val="0"/>
        <w:numPr>
          <w:ilvl w:val="0"/>
          <w:numId w:val="3"/>
        </w:numPr>
        <w:spacing w:before="0" w:after="0" w:line="240" w:lineRule="auto"/>
        <w:rPr>
          <w:sz w:val="28"/>
          <w:szCs w:val="28"/>
          <w:lang w:val="cs-CZ"/>
        </w:rPr>
      </w:pPr>
      <w:r w:rsidRPr="004467D7">
        <w:rPr>
          <w:rFonts w:ascii="Athiti" w:eastAsia="Athiti" w:hAnsi="Athiti" w:cs="Athiti"/>
          <w:sz w:val="28"/>
          <w:szCs w:val="28"/>
          <w:lang w:val="cs-CZ"/>
        </w:rPr>
        <w:t>PŮSOBNOST</w:t>
      </w:r>
    </w:p>
    <w:p w:rsidR="008C56BD" w:rsidRPr="004467D7" w:rsidRDefault="008C56BD" w:rsidP="008C56BD">
      <w:pPr>
        <w:pStyle w:val="normal"/>
        <w:widowControl w:val="0"/>
        <w:spacing w:before="240" w:after="240" w:line="240" w:lineRule="auto"/>
        <w:ind w:left="720"/>
        <w:rPr>
          <w:rFonts w:ascii="Athiti" w:eastAsia="Athiti" w:hAnsi="Athiti" w:cs="Athiti"/>
          <w:lang w:val="cs-CZ"/>
        </w:rPr>
      </w:pPr>
      <w:r w:rsidRPr="004467D7">
        <w:rPr>
          <w:rFonts w:ascii="Athiti" w:eastAsia="Athiti" w:hAnsi="Athiti" w:cs="Athiti"/>
          <w:lang w:val="cs-CZ"/>
        </w:rPr>
        <w:t xml:space="preserve">Tato </w:t>
      </w:r>
      <w:r w:rsidRPr="004467D7">
        <w:rPr>
          <w:rFonts w:ascii="Athiti" w:eastAsia="Athiti" w:hAnsi="Athiti" w:cs="Athiti"/>
          <w:b/>
          <w:lang w:val="cs-CZ"/>
        </w:rPr>
        <w:t>Pravidla rovného zacházení</w:t>
      </w:r>
      <w:r w:rsidRPr="004467D7">
        <w:rPr>
          <w:rFonts w:ascii="Athiti" w:eastAsia="Athiti" w:hAnsi="Athiti" w:cs="Athiti"/>
          <w:lang w:val="cs-CZ"/>
        </w:rPr>
        <w:t xml:space="preserve"> jsou závazná pro všechny zaměstnance, vedoucí </w:t>
      </w:r>
      <w:r w:rsidRPr="004467D7">
        <w:rPr>
          <w:rFonts w:ascii="Athiti" w:eastAsia="Athiti" w:hAnsi="Athiti" w:cs="Athiti"/>
          <w:lang w:val="cs-CZ"/>
        </w:rPr>
        <w:lastRenderedPageBreak/>
        <w:t xml:space="preserve">pracovníky, členy orgánů a další osoby jednající jménem nebo na účet </w:t>
      </w:r>
      <w:r w:rsidRPr="004467D7">
        <w:rPr>
          <w:rFonts w:ascii="Athiti" w:eastAsia="Athiti" w:hAnsi="Athiti" w:cs="Athiti"/>
          <w:b/>
          <w:lang w:val="cs-CZ"/>
        </w:rPr>
        <w:t>Společnosti</w:t>
      </w:r>
      <w:r w:rsidRPr="004467D7">
        <w:rPr>
          <w:rFonts w:ascii="Athiti" w:eastAsia="Athiti" w:hAnsi="Athiti" w:cs="Athiti"/>
          <w:lang w:val="cs-CZ"/>
        </w:rPr>
        <w:t>, včetně osob vykonávajících činnost na základě dohod mimo pracovní poměr, mandátních smluv nebo jiných smluvních vztahů.</w:t>
      </w:r>
    </w:p>
    <w:p w:rsidR="008C56BD" w:rsidRPr="004467D7" w:rsidRDefault="008C56BD" w:rsidP="008C56BD">
      <w:pPr>
        <w:pStyle w:val="normal"/>
        <w:widowControl w:val="0"/>
        <w:spacing w:before="240" w:after="240" w:line="240" w:lineRule="auto"/>
        <w:ind w:left="720"/>
        <w:rPr>
          <w:rFonts w:ascii="Athiti" w:eastAsia="Athiti" w:hAnsi="Athiti" w:cs="Athiti"/>
          <w:lang w:val="cs-CZ"/>
        </w:rPr>
      </w:pPr>
      <w:r w:rsidRPr="004467D7">
        <w:rPr>
          <w:rFonts w:ascii="Athiti" w:eastAsia="Athiti" w:hAnsi="Athiti" w:cs="Athiti"/>
          <w:lang w:val="cs-CZ"/>
        </w:rPr>
        <w:t>Povinnost řídit se těmito Pravidly platí ve vztahu ke všem potenciálním, novým i stávajícím zákazníkům, klientům, obchodním partnerům a třetím osobám, bez ohledu na formu jejich zapojení nebo kontaktu se Společností.</w:t>
      </w:r>
    </w:p>
    <w:p w:rsidR="008C56BD" w:rsidRPr="004467D7" w:rsidRDefault="008C56BD" w:rsidP="008C56BD">
      <w:pPr>
        <w:pStyle w:val="normal"/>
        <w:widowControl w:val="0"/>
        <w:spacing w:before="240" w:after="240" w:line="240" w:lineRule="auto"/>
        <w:ind w:left="720"/>
        <w:rPr>
          <w:rFonts w:ascii="Athiti" w:eastAsia="Athiti" w:hAnsi="Athiti" w:cs="Athiti"/>
          <w:lang w:val="cs-CZ"/>
        </w:rPr>
      </w:pPr>
      <w:r w:rsidRPr="004467D7">
        <w:rPr>
          <w:rFonts w:ascii="Athiti" w:eastAsia="Athiti" w:hAnsi="Athiti" w:cs="Athiti"/>
          <w:lang w:val="cs-CZ"/>
        </w:rPr>
        <w:t>Pravidla se dále vztahují na:</w:t>
      </w:r>
    </w:p>
    <w:p w:rsidR="008C56BD" w:rsidRPr="004467D7" w:rsidRDefault="008C56BD" w:rsidP="008C56BD">
      <w:pPr>
        <w:pStyle w:val="normal"/>
        <w:widowControl w:val="0"/>
        <w:numPr>
          <w:ilvl w:val="0"/>
          <w:numId w:val="15"/>
        </w:numPr>
        <w:spacing w:before="240" w:after="0" w:line="240" w:lineRule="auto"/>
        <w:ind w:firstLine="0"/>
        <w:jc w:val="left"/>
        <w:rPr>
          <w:rFonts w:ascii="Athiti" w:eastAsia="Athiti" w:hAnsi="Athiti" w:cs="Athiti"/>
          <w:lang w:val="cs-CZ"/>
        </w:rPr>
      </w:pPr>
      <w:r w:rsidRPr="004467D7">
        <w:rPr>
          <w:rFonts w:ascii="Athiti" w:eastAsia="Athiti" w:hAnsi="Athiti" w:cs="Athiti"/>
          <w:lang w:val="cs-CZ"/>
        </w:rPr>
        <w:t>Externí dodavatele a poskytovatele služeb, pokud vykonávají činnost, která má přímý nebo nepřímý dopad na poskytování služeb zákazníkům,</w:t>
      </w:r>
    </w:p>
    <w:p w:rsidR="008C56BD" w:rsidRPr="004467D7" w:rsidRDefault="008C56BD" w:rsidP="008C56BD">
      <w:pPr>
        <w:pStyle w:val="normal"/>
        <w:widowControl w:val="0"/>
        <w:numPr>
          <w:ilvl w:val="0"/>
          <w:numId w:val="15"/>
        </w:numPr>
        <w:spacing w:after="0" w:line="240" w:lineRule="auto"/>
        <w:ind w:firstLine="0"/>
        <w:jc w:val="left"/>
        <w:rPr>
          <w:rFonts w:ascii="Athiti" w:eastAsia="Athiti" w:hAnsi="Athiti" w:cs="Athiti"/>
          <w:lang w:val="cs-CZ"/>
        </w:rPr>
      </w:pPr>
      <w:r w:rsidRPr="004467D7">
        <w:rPr>
          <w:rFonts w:ascii="Athiti" w:eastAsia="Athiti" w:hAnsi="Athiti" w:cs="Athiti"/>
          <w:lang w:val="cs-CZ"/>
        </w:rPr>
        <w:t>procesy výběru klientů, onboardingu, nastavování smluvních vztahů, poskytování služeb i ukončení obchodních vztahů,</w:t>
      </w:r>
    </w:p>
    <w:p w:rsidR="008C56BD" w:rsidRPr="004467D7" w:rsidRDefault="008C56BD" w:rsidP="008C56BD">
      <w:pPr>
        <w:pStyle w:val="normal"/>
        <w:widowControl w:val="0"/>
        <w:numPr>
          <w:ilvl w:val="0"/>
          <w:numId w:val="15"/>
        </w:numPr>
        <w:spacing w:after="240" w:line="240" w:lineRule="auto"/>
        <w:ind w:firstLine="0"/>
        <w:jc w:val="left"/>
        <w:rPr>
          <w:rFonts w:ascii="Athiti" w:eastAsia="Athiti" w:hAnsi="Athiti" w:cs="Athiti"/>
          <w:lang w:val="cs-CZ"/>
        </w:rPr>
      </w:pPr>
      <w:r w:rsidRPr="004467D7">
        <w:rPr>
          <w:rFonts w:ascii="Athiti" w:eastAsia="Athiti" w:hAnsi="Athiti" w:cs="Athiti"/>
          <w:lang w:val="cs-CZ"/>
        </w:rPr>
        <w:t>všechny komunikační kanály, včetně online platforem, zákaznické podpory a osobních interakcí.</w:t>
      </w:r>
    </w:p>
    <w:p w:rsidR="008C56BD" w:rsidRPr="004467D7" w:rsidRDefault="008C56BD" w:rsidP="008C56BD">
      <w:pPr>
        <w:pStyle w:val="normal"/>
        <w:widowControl w:val="0"/>
        <w:spacing w:before="240" w:after="240" w:line="240" w:lineRule="auto"/>
        <w:ind w:left="720"/>
        <w:rPr>
          <w:rFonts w:ascii="Athiti" w:eastAsia="Athiti" w:hAnsi="Athiti" w:cs="Athiti"/>
          <w:lang w:val="cs-CZ"/>
        </w:rPr>
      </w:pPr>
      <w:r w:rsidRPr="004467D7">
        <w:rPr>
          <w:rFonts w:ascii="Athiti" w:eastAsia="Athiti" w:hAnsi="Athiti" w:cs="Athiti"/>
          <w:lang w:val="cs-CZ"/>
        </w:rPr>
        <w:t>Každý, kdo jedná jménem nebo v zastoupení Společnosti, je povinen zajistit, aby veškeré jeho kroky byly v souladu s těmito Pravidly, zejména pokud jde o zákaz diskriminace, rovný přístup, odůvodnění odmítnutí služby a transparentní komunikaci vůči klientům.</w:t>
      </w:r>
    </w:p>
    <w:p w:rsidR="008C56BD" w:rsidRPr="004467D7" w:rsidRDefault="008C56BD" w:rsidP="008C56BD">
      <w:pPr>
        <w:pStyle w:val="normal"/>
        <w:widowControl w:val="0"/>
        <w:spacing w:after="0" w:line="240" w:lineRule="auto"/>
        <w:ind w:left="720" w:hanging="360"/>
        <w:rPr>
          <w:rFonts w:ascii="Athiti" w:eastAsia="Athiti" w:hAnsi="Athiti" w:cs="Athiti"/>
          <w:lang w:val="cs-CZ"/>
        </w:rPr>
      </w:pPr>
    </w:p>
    <w:p w:rsidR="008C56BD" w:rsidRPr="004467D7" w:rsidRDefault="008C56BD" w:rsidP="008C56BD">
      <w:pPr>
        <w:pStyle w:val="Nadpis1"/>
        <w:keepNext w:val="0"/>
        <w:keepLines w:val="0"/>
        <w:widowControl w:val="0"/>
        <w:numPr>
          <w:ilvl w:val="0"/>
          <w:numId w:val="3"/>
        </w:numPr>
        <w:spacing w:before="0" w:after="0" w:line="240" w:lineRule="auto"/>
        <w:rPr>
          <w:sz w:val="28"/>
          <w:szCs w:val="28"/>
          <w:lang w:val="cs-CZ"/>
        </w:rPr>
      </w:pPr>
      <w:r w:rsidRPr="004467D7">
        <w:rPr>
          <w:rFonts w:ascii="Athiti" w:eastAsia="Athiti" w:hAnsi="Athiti" w:cs="Athiti"/>
          <w:sz w:val="28"/>
          <w:szCs w:val="28"/>
          <w:lang w:val="cs-CZ"/>
        </w:rPr>
        <w:t>ZÁKAZ DISKRIMINACE A ZÁSADA ROVNÉHO ZACHÁZENÍ</w:t>
      </w:r>
    </w:p>
    <w:p w:rsidR="008C56BD" w:rsidRPr="004467D7" w:rsidRDefault="008C56BD" w:rsidP="008C56BD">
      <w:pPr>
        <w:pStyle w:val="normal"/>
        <w:widowControl w:val="0"/>
        <w:numPr>
          <w:ilvl w:val="0"/>
          <w:numId w:val="11"/>
        </w:numPr>
        <w:spacing w:after="0" w:line="240" w:lineRule="auto"/>
        <w:rPr>
          <w:rFonts w:ascii="Athiti" w:eastAsia="Athiti" w:hAnsi="Athiti" w:cs="Athiti"/>
          <w:lang w:val="cs-CZ"/>
        </w:rPr>
      </w:pPr>
      <w:r w:rsidRPr="004467D7">
        <w:rPr>
          <w:rFonts w:ascii="Athiti" w:eastAsia="Athiti" w:hAnsi="Athiti" w:cs="Athiti"/>
          <w:lang w:val="cs-CZ"/>
        </w:rPr>
        <w:t>Společnost při poskytování veškerých svých služeb postupuje při zachování zákazu diskriminace, kterou se rozumí přímá nebo nepřímá diskriminace.</w:t>
      </w:r>
    </w:p>
    <w:p w:rsidR="008C56BD" w:rsidRPr="004467D7" w:rsidRDefault="008C56BD" w:rsidP="008C56BD">
      <w:pPr>
        <w:pStyle w:val="normal"/>
        <w:widowControl w:val="0"/>
        <w:numPr>
          <w:ilvl w:val="0"/>
          <w:numId w:val="11"/>
        </w:numPr>
        <w:spacing w:after="0" w:line="240" w:lineRule="auto"/>
        <w:rPr>
          <w:rFonts w:ascii="Athiti" w:eastAsia="Athiti" w:hAnsi="Athiti" w:cs="Athiti"/>
          <w:lang w:val="cs-CZ"/>
        </w:rPr>
      </w:pPr>
      <w:r w:rsidRPr="004467D7">
        <w:rPr>
          <w:rFonts w:ascii="Athiti" w:eastAsia="Athiti" w:hAnsi="Athiti" w:cs="Athiti"/>
          <w:lang w:val="cs-CZ"/>
        </w:rPr>
        <w:t>Přímou diskriminací se rozumí jednání, včetně opomenutí, kdy se s jednou osobou zachází méně příznivě, než se zachází nebo zacházelo nebo by se zacházelo s jinou osobou ve srovnatelné situaci, a to z důvodu rasy, etnického původu, národnosti, pohlaví, sexuální orientace, věku, zdravotního postižení, náboženského vyznání, víry či světového názoru, a dále v právních vztazích, ve kterých se uplatní přímo použitelný předpis Evropské unie z oblasti volného pohybu pracovníků, i z důvodu státní příslušnosti.</w:t>
      </w:r>
    </w:p>
    <w:p w:rsidR="008C56BD" w:rsidRPr="004467D7" w:rsidRDefault="008C56BD" w:rsidP="008C56BD">
      <w:pPr>
        <w:pStyle w:val="normal"/>
        <w:widowControl w:val="0"/>
        <w:numPr>
          <w:ilvl w:val="0"/>
          <w:numId w:val="11"/>
        </w:numPr>
        <w:spacing w:after="0" w:line="240" w:lineRule="auto"/>
        <w:rPr>
          <w:rFonts w:ascii="Athiti" w:eastAsia="Athiti" w:hAnsi="Athiti" w:cs="Athiti"/>
          <w:lang w:val="cs-CZ"/>
        </w:rPr>
      </w:pPr>
      <w:r w:rsidRPr="004467D7">
        <w:rPr>
          <w:rFonts w:ascii="Athiti" w:eastAsia="Athiti" w:hAnsi="Athiti" w:cs="Athiti"/>
          <w:lang w:val="cs-CZ"/>
        </w:rPr>
        <w:t xml:space="preserve">Za </w:t>
      </w:r>
      <w:r w:rsidRPr="004467D7">
        <w:rPr>
          <w:rFonts w:ascii="Athiti" w:eastAsia="Athiti" w:hAnsi="Athiti" w:cs="Athiti"/>
          <w:b/>
          <w:lang w:val="cs-CZ"/>
        </w:rPr>
        <w:t>přímou diskriminaci</w:t>
      </w:r>
      <w:r w:rsidRPr="004467D7">
        <w:rPr>
          <w:rFonts w:ascii="Athiti" w:eastAsia="Athiti" w:hAnsi="Athiti" w:cs="Athiti"/>
          <w:lang w:val="cs-CZ"/>
        </w:rPr>
        <w:t xml:space="preserve"> se ve smyslu antidiskriminační legislativy považuje takové jednání, při němž je s jednou osobou zacházeno méně příznivě než s jinou osobou ve srovnatelné situaci, a to výlučně nebo převážně na základě diskriminačního znaku (např. věku, pohlaví, etnicity, náboženského přesvědčení apod.).</w:t>
      </w:r>
    </w:p>
    <w:p w:rsidR="008C56BD" w:rsidRPr="004467D7" w:rsidRDefault="008C56BD" w:rsidP="008C56BD">
      <w:pPr>
        <w:pStyle w:val="normal"/>
        <w:widowControl w:val="0"/>
        <w:spacing w:before="240" w:after="240" w:line="240" w:lineRule="auto"/>
        <w:ind w:left="720"/>
        <w:rPr>
          <w:rFonts w:ascii="Athiti" w:eastAsia="Athiti" w:hAnsi="Athiti" w:cs="Athiti"/>
          <w:lang w:val="cs-CZ"/>
        </w:rPr>
      </w:pPr>
      <w:r w:rsidRPr="004467D7">
        <w:rPr>
          <w:rFonts w:ascii="Athiti" w:eastAsia="Athiti" w:hAnsi="Athiti" w:cs="Athiti"/>
          <w:lang w:val="cs-CZ"/>
        </w:rPr>
        <w:t>Za přímou diskriminaci se však nepovažuje:</w:t>
      </w:r>
    </w:p>
    <w:p w:rsidR="008C56BD" w:rsidRPr="004467D7" w:rsidRDefault="008C56BD" w:rsidP="008C56BD">
      <w:pPr>
        <w:pStyle w:val="normal"/>
        <w:widowControl w:val="0"/>
        <w:numPr>
          <w:ilvl w:val="0"/>
          <w:numId w:val="4"/>
        </w:numPr>
        <w:spacing w:before="240" w:after="0" w:line="240" w:lineRule="auto"/>
        <w:ind w:firstLine="0"/>
        <w:jc w:val="left"/>
        <w:rPr>
          <w:rFonts w:ascii="Athiti" w:eastAsia="Athiti" w:hAnsi="Athiti" w:cs="Athiti"/>
          <w:lang w:val="cs-CZ"/>
        </w:rPr>
      </w:pPr>
      <w:r w:rsidRPr="004467D7">
        <w:rPr>
          <w:rFonts w:ascii="Athiti" w:eastAsia="Athiti" w:hAnsi="Athiti" w:cs="Athiti"/>
          <w:lang w:val="cs-CZ"/>
        </w:rPr>
        <w:t>jednotný a rovnoměrně uplatňovaný přístup ke všem (potenciálním) zákazníkům,</w:t>
      </w:r>
    </w:p>
    <w:p w:rsidR="008C56BD" w:rsidRPr="004467D7" w:rsidRDefault="008C56BD" w:rsidP="008C56BD">
      <w:pPr>
        <w:pStyle w:val="normal"/>
        <w:widowControl w:val="0"/>
        <w:numPr>
          <w:ilvl w:val="0"/>
          <w:numId w:val="4"/>
        </w:numPr>
        <w:spacing w:after="0" w:line="240" w:lineRule="auto"/>
        <w:ind w:firstLine="0"/>
        <w:jc w:val="left"/>
        <w:rPr>
          <w:rFonts w:ascii="Athiti" w:eastAsia="Athiti" w:hAnsi="Athiti" w:cs="Athiti"/>
          <w:lang w:val="cs-CZ"/>
        </w:rPr>
      </w:pPr>
      <w:r w:rsidRPr="004467D7">
        <w:rPr>
          <w:rFonts w:ascii="Athiti" w:eastAsia="Athiti" w:hAnsi="Athiti" w:cs="Athiti"/>
          <w:lang w:val="cs-CZ"/>
        </w:rPr>
        <w:t>pokud je takový přístup odůvodněn objektivními, legitimními a přiměřenými důvody,</w:t>
      </w:r>
    </w:p>
    <w:p w:rsidR="008C56BD" w:rsidRPr="004467D7" w:rsidRDefault="008C56BD" w:rsidP="008C56BD">
      <w:pPr>
        <w:pStyle w:val="normal"/>
        <w:widowControl w:val="0"/>
        <w:numPr>
          <w:ilvl w:val="0"/>
          <w:numId w:val="4"/>
        </w:numPr>
        <w:spacing w:after="240" w:line="240" w:lineRule="auto"/>
        <w:ind w:firstLine="0"/>
        <w:jc w:val="left"/>
        <w:rPr>
          <w:rFonts w:ascii="Athiti" w:eastAsia="Athiti" w:hAnsi="Athiti" w:cs="Athiti"/>
          <w:lang w:val="cs-CZ"/>
        </w:rPr>
      </w:pPr>
      <w:r w:rsidRPr="004467D7">
        <w:rPr>
          <w:rFonts w:ascii="Athiti" w:eastAsia="Athiti" w:hAnsi="Athiti" w:cs="Athiti"/>
          <w:lang w:val="cs-CZ"/>
        </w:rPr>
        <w:t>zejména pokud vychází z platných právních předpisů, regulatorních požadavků, zásad obezřetného poskytování služeb, ochrany spotřebitele nebo AML/CTF pravidel.</w:t>
      </w:r>
    </w:p>
    <w:p w:rsidR="008C56BD" w:rsidRPr="004467D7" w:rsidRDefault="008C56BD" w:rsidP="008C56BD">
      <w:pPr>
        <w:pStyle w:val="normal"/>
        <w:widowControl w:val="0"/>
        <w:spacing w:before="240" w:after="240" w:line="240" w:lineRule="auto"/>
        <w:ind w:left="720"/>
        <w:rPr>
          <w:rFonts w:ascii="Athiti" w:eastAsia="Athiti" w:hAnsi="Athiti" w:cs="Athiti"/>
          <w:lang w:val="cs-CZ"/>
        </w:rPr>
      </w:pPr>
      <w:r w:rsidRPr="004467D7">
        <w:rPr>
          <w:rFonts w:ascii="Athiti" w:eastAsia="Athiti" w:hAnsi="Athiti" w:cs="Athiti"/>
          <w:lang w:val="cs-CZ"/>
        </w:rPr>
        <w:t>Příklady legitimního rozlišování, které není diskriminační:</w:t>
      </w:r>
    </w:p>
    <w:p w:rsidR="008C56BD" w:rsidRPr="004467D7" w:rsidRDefault="008C56BD" w:rsidP="008C56BD">
      <w:pPr>
        <w:pStyle w:val="normal"/>
        <w:widowControl w:val="0"/>
        <w:numPr>
          <w:ilvl w:val="0"/>
          <w:numId w:val="10"/>
        </w:numPr>
        <w:spacing w:before="240" w:after="0" w:line="240" w:lineRule="auto"/>
        <w:ind w:firstLine="0"/>
        <w:jc w:val="left"/>
        <w:rPr>
          <w:rFonts w:ascii="Athiti" w:eastAsia="Athiti" w:hAnsi="Athiti" w:cs="Athiti"/>
          <w:lang w:val="cs-CZ"/>
        </w:rPr>
      </w:pPr>
      <w:r w:rsidRPr="004467D7">
        <w:rPr>
          <w:rFonts w:ascii="Athiti" w:eastAsia="Athiti" w:hAnsi="Athiti" w:cs="Athiti"/>
          <w:lang w:val="cs-CZ"/>
        </w:rPr>
        <w:t>odmítnutí poskytování služeb osobám mladším 18 let, protože tyto osoby nemají plnou způsobilost k právním úkonům,</w:t>
      </w:r>
    </w:p>
    <w:p w:rsidR="008C56BD" w:rsidRPr="004467D7" w:rsidRDefault="008C56BD" w:rsidP="008C56BD">
      <w:pPr>
        <w:pStyle w:val="normal"/>
        <w:widowControl w:val="0"/>
        <w:numPr>
          <w:ilvl w:val="0"/>
          <w:numId w:val="10"/>
        </w:numPr>
        <w:spacing w:after="0" w:line="240" w:lineRule="auto"/>
        <w:ind w:firstLine="0"/>
        <w:jc w:val="left"/>
        <w:rPr>
          <w:rFonts w:ascii="Athiti" w:eastAsia="Athiti" w:hAnsi="Athiti" w:cs="Athiti"/>
          <w:lang w:val="cs-CZ"/>
        </w:rPr>
      </w:pPr>
      <w:r w:rsidRPr="004467D7">
        <w:rPr>
          <w:rFonts w:ascii="Athiti" w:eastAsia="Athiti" w:hAnsi="Athiti" w:cs="Athiti"/>
          <w:lang w:val="cs-CZ"/>
        </w:rPr>
        <w:t>odmítnutí navázání obchodního vztahu s osobou, která odmítne doložit identitu nebo původ finančních prostředků, v souladu s požadavky zákona č. 253/2008 Sb. o některých opatřeních proti legalizaci výnosů z trestné činnosti,</w:t>
      </w:r>
    </w:p>
    <w:p w:rsidR="008C56BD" w:rsidRPr="004467D7" w:rsidRDefault="008C56BD" w:rsidP="008C56BD">
      <w:pPr>
        <w:pStyle w:val="normal"/>
        <w:widowControl w:val="0"/>
        <w:numPr>
          <w:ilvl w:val="0"/>
          <w:numId w:val="10"/>
        </w:numPr>
        <w:spacing w:after="240" w:line="240" w:lineRule="auto"/>
        <w:ind w:firstLine="0"/>
        <w:jc w:val="left"/>
        <w:rPr>
          <w:rFonts w:ascii="Athiti" w:eastAsia="Athiti" w:hAnsi="Athiti" w:cs="Athiti"/>
          <w:lang w:val="cs-CZ"/>
        </w:rPr>
      </w:pPr>
      <w:r w:rsidRPr="004467D7">
        <w:rPr>
          <w:rFonts w:ascii="Athiti" w:eastAsia="Athiti" w:hAnsi="Athiti" w:cs="Athiti"/>
          <w:lang w:val="cs-CZ"/>
        </w:rPr>
        <w:t xml:space="preserve">neposkytnutí služby osobě, jejíž obchodní profil je vyhodnocen jako nepřijatelně </w:t>
      </w:r>
      <w:r w:rsidRPr="004467D7">
        <w:rPr>
          <w:rFonts w:ascii="Athiti" w:eastAsia="Athiti" w:hAnsi="Athiti" w:cs="Athiti"/>
          <w:lang w:val="cs-CZ"/>
        </w:rPr>
        <w:lastRenderedPageBreak/>
        <w:t xml:space="preserve">rizikový v rámci schváleného systému řízení rizik Společnosti. </w:t>
      </w:r>
    </w:p>
    <w:p w:rsidR="008C56BD" w:rsidRPr="004467D7" w:rsidRDefault="008C56BD" w:rsidP="008C56BD">
      <w:pPr>
        <w:pStyle w:val="normal"/>
        <w:widowControl w:val="0"/>
        <w:spacing w:before="240" w:after="240" w:line="240" w:lineRule="auto"/>
        <w:ind w:left="720"/>
        <w:rPr>
          <w:rFonts w:ascii="Athiti" w:eastAsia="Athiti" w:hAnsi="Athiti" w:cs="Athiti"/>
          <w:lang w:val="cs-CZ"/>
        </w:rPr>
      </w:pPr>
      <w:r w:rsidRPr="004467D7">
        <w:rPr>
          <w:rFonts w:ascii="Athiti" w:eastAsia="Athiti" w:hAnsi="Athiti" w:cs="Athiti"/>
          <w:lang w:val="cs-CZ"/>
        </w:rPr>
        <w:t>Za nepřímou diskriminaci se považuje jednání, rozhodnutí nebo opomenutí, které není na první pohled zjevně diskriminační, ale ve svém důsledku znevýhodňuje určitou skupinu osob oproti ostatním.</w:t>
      </w:r>
    </w:p>
    <w:p w:rsidR="008C56BD" w:rsidRPr="004467D7" w:rsidRDefault="008C56BD" w:rsidP="008C56BD">
      <w:pPr>
        <w:pStyle w:val="normal"/>
        <w:widowControl w:val="0"/>
        <w:spacing w:before="240" w:after="240" w:line="240" w:lineRule="auto"/>
        <w:ind w:left="720"/>
        <w:rPr>
          <w:rFonts w:ascii="Athiti" w:eastAsia="Athiti" w:hAnsi="Athiti" w:cs="Athiti"/>
          <w:lang w:val="cs-CZ"/>
        </w:rPr>
      </w:pPr>
      <w:r w:rsidRPr="004467D7">
        <w:rPr>
          <w:rFonts w:ascii="Athiti" w:eastAsia="Athiti" w:hAnsi="Athiti" w:cs="Athiti"/>
          <w:lang w:val="cs-CZ"/>
        </w:rPr>
        <w:t>Příkladem nepřímé diskriminace může být:</w:t>
      </w:r>
    </w:p>
    <w:p w:rsidR="008C56BD" w:rsidRPr="004467D7" w:rsidRDefault="008C56BD" w:rsidP="008C56BD">
      <w:pPr>
        <w:pStyle w:val="normal"/>
        <w:widowControl w:val="0"/>
        <w:numPr>
          <w:ilvl w:val="0"/>
          <w:numId w:val="7"/>
        </w:numPr>
        <w:spacing w:before="240" w:after="0" w:line="240" w:lineRule="auto"/>
        <w:ind w:firstLine="0"/>
        <w:jc w:val="left"/>
        <w:rPr>
          <w:rFonts w:ascii="Athiti" w:eastAsia="Athiti" w:hAnsi="Athiti" w:cs="Athiti"/>
          <w:lang w:val="cs-CZ"/>
        </w:rPr>
      </w:pPr>
      <w:r w:rsidRPr="004467D7">
        <w:rPr>
          <w:rFonts w:ascii="Athiti" w:eastAsia="Athiti" w:hAnsi="Athiti" w:cs="Athiti"/>
          <w:lang w:val="cs-CZ"/>
        </w:rPr>
        <w:t>zavedení interního pravidla, které na první pohled působí neutrálně, ale fakticky omezuje přístup osob určitého pohlaví, víry či věku bez objektivního a legitimního odůvodnění,</w:t>
      </w:r>
    </w:p>
    <w:p w:rsidR="008C56BD" w:rsidRPr="004467D7" w:rsidRDefault="008C56BD" w:rsidP="008C56BD">
      <w:pPr>
        <w:pStyle w:val="normal"/>
        <w:widowControl w:val="0"/>
        <w:numPr>
          <w:ilvl w:val="0"/>
          <w:numId w:val="7"/>
        </w:numPr>
        <w:spacing w:after="0" w:line="240" w:lineRule="auto"/>
        <w:ind w:firstLine="0"/>
        <w:jc w:val="left"/>
        <w:rPr>
          <w:rFonts w:ascii="Athiti" w:eastAsia="Athiti" w:hAnsi="Athiti" w:cs="Athiti"/>
          <w:lang w:val="cs-CZ"/>
        </w:rPr>
      </w:pPr>
      <w:r w:rsidRPr="004467D7">
        <w:rPr>
          <w:rFonts w:ascii="Athiti" w:eastAsia="Athiti" w:hAnsi="Athiti" w:cs="Athiti"/>
          <w:lang w:val="cs-CZ"/>
        </w:rPr>
        <w:t xml:space="preserve">systémová praxe, která vylučuje určité skupiny bez individuálního posouzení (např. plošné odmítání klientů z konkrétních států bez posouzení konkrétní situace). </w:t>
      </w:r>
    </w:p>
    <w:p w:rsidR="008C56BD" w:rsidRPr="004467D7" w:rsidRDefault="008C56BD" w:rsidP="008C56BD">
      <w:pPr>
        <w:pStyle w:val="normal"/>
        <w:widowControl w:val="0"/>
        <w:numPr>
          <w:ilvl w:val="0"/>
          <w:numId w:val="11"/>
        </w:numPr>
        <w:spacing w:after="0" w:line="240" w:lineRule="auto"/>
        <w:rPr>
          <w:rFonts w:ascii="Athiti" w:eastAsia="Athiti" w:hAnsi="Athiti" w:cs="Athiti"/>
          <w:lang w:val="cs-CZ"/>
        </w:rPr>
      </w:pPr>
      <w:r w:rsidRPr="004467D7">
        <w:rPr>
          <w:rFonts w:ascii="Athiti" w:eastAsia="Athiti" w:hAnsi="Athiti" w:cs="Athiti"/>
          <w:lang w:val="cs-CZ"/>
        </w:rPr>
        <w:t>Za nepřímou diskriminaci se nepovažují případy, kdy zdánlivě neutrální ustanovení, kritérium nebo praxe sice může mít nepříznivý dopad na určitou skupinu osob, avšak:</w:t>
      </w:r>
    </w:p>
    <w:p w:rsidR="008C56BD" w:rsidRPr="004467D7" w:rsidRDefault="008C56BD" w:rsidP="008C56BD">
      <w:pPr>
        <w:pStyle w:val="normal"/>
        <w:widowControl w:val="0"/>
        <w:numPr>
          <w:ilvl w:val="1"/>
          <w:numId w:val="11"/>
        </w:numPr>
        <w:spacing w:after="0" w:line="240" w:lineRule="auto"/>
        <w:rPr>
          <w:rFonts w:ascii="Athiti" w:eastAsia="Athiti" w:hAnsi="Athiti" w:cs="Athiti"/>
          <w:lang w:val="cs-CZ"/>
        </w:rPr>
      </w:pPr>
      <w:r w:rsidRPr="004467D7">
        <w:rPr>
          <w:rFonts w:ascii="Athiti" w:eastAsia="Athiti" w:hAnsi="Athiti" w:cs="Athiti"/>
          <w:lang w:val="cs-CZ"/>
        </w:rPr>
        <w:t>sleduje objektivně odůvodněný a legitimní cíl,</w:t>
      </w:r>
    </w:p>
    <w:p w:rsidR="008C56BD" w:rsidRPr="004467D7" w:rsidRDefault="008C56BD" w:rsidP="008C56BD">
      <w:pPr>
        <w:pStyle w:val="normal"/>
        <w:widowControl w:val="0"/>
        <w:numPr>
          <w:ilvl w:val="1"/>
          <w:numId w:val="11"/>
        </w:numPr>
        <w:spacing w:after="0" w:line="240" w:lineRule="auto"/>
        <w:rPr>
          <w:rFonts w:ascii="Athiti" w:eastAsia="Athiti" w:hAnsi="Athiti" w:cs="Athiti"/>
          <w:lang w:val="cs-CZ"/>
        </w:rPr>
      </w:pPr>
      <w:r w:rsidRPr="004467D7">
        <w:rPr>
          <w:rFonts w:ascii="Athiti" w:eastAsia="Athiti" w:hAnsi="Athiti" w:cs="Athiti"/>
          <w:lang w:val="cs-CZ"/>
        </w:rPr>
        <w:t>a prostředky zvolené k dosažení tohoto cíle jsou zároveň přiměřené a nezbytné.</w:t>
      </w:r>
    </w:p>
    <w:p w:rsidR="008C56BD" w:rsidRPr="004467D7" w:rsidRDefault="008C56BD" w:rsidP="008C56BD">
      <w:pPr>
        <w:pStyle w:val="normal"/>
        <w:widowControl w:val="0"/>
        <w:spacing w:after="0" w:line="240" w:lineRule="auto"/>
        <w:ind w:left="720"/>
        <w:rPr>
          <w:rFonts w:ascii="Athiti" w:eastAsia="Athiti" w:hAnsi="Athiti" w:cs="Athiti"/>
          <w:lang w:val="cs-CZ"/>
        </w:rPr>
      </w:pPr>
      <w:r w:rsidRPr="004467D7">
        <w:rPr>
          <w:rFonts w:ascii="Athiti" w:eastAsia="Athiti" w:hAnsi="Athiti" w:cs="Athiti"/>
          <w:lang w:val="cs-CZ"/>
        </w:rPr>
        <w:t>V takových případech nejde o zakázanou diskriminaci, neboť převažuje oprávněný zájem společnosti nebo veřejnosti nad omezením jednotlivce, přičemž takové omezení nesmí být svévolné, nepřiměřené nebo neodůvodněné.</w:t>
      </w:r>
    </w:p>
    <w:p w:rsidR="008C56BD" w:rsidRPr="004467D7" w:rsidRDefault="008C56BD" w:rsidP="008C56BD">
      <w:pPr>
        <w:pStyle w:val="Nadpis3"/>
        <w:keepNext w:val="0"/>
        <w:keepLines w:val="0"/>
        <w:widowControl w:val="0"/>
        <w:spacing w:before="280" w:after="80" w:line="240" w:lineRule="auto"/>
        <w:ind w:left="720"/>
        <w:rPr>
          <w:rFonts w:ascii="Athiti" w:eastAsia="Athiti" w:hAnsi="Athiti" w:cs="Athiti"/>
          <w:b/>
          <w:sz w:val="26"/>
          <w:szCs w:val="26"/>
          <w:lang w:val="cs-CZ"/>
        </w:rPr>
      </w:pPr>
      <w:bookmarkStart w:id="4" w:name="_heading=h.xjxfxbfns0jl" w:colFirst="0" w:colLast="0"/>
      <w:bookmarkEnd w:id="4"/>
      <w:r w:rsidRPr="004467D7">
        <w:rPr>
          <w:rFonts w:ascii="Athiti" w:eastAsia="Athiti" w:hAnsi="Athiti" w:cs="Athiti"/>
          <w:b/>
          <w:sz w:val="26"/>
          <w:szCs w:val="26"/>
          <w:lang w:val="cs-CZ"/>
        </w:rPr>
        <w:t>Příklady legitimního rozlišování, které není nepřímou diskriminací:</w:t>
      </w:r>
    </w:p>
    <w:p w:rsidR="008C56BD" w:rsidRPr="004467D7" w:rsidRDefault="008C56BD" w:rsidP="008C56BD">
      <w:pPr>
        <w:pStyle w:val="normal"/>
        <w:widowControl w:val="0"/>
        <w:spacing w:before="240" w:after="240" w:line="240" w:lineRule="auto"/>
        <w:ind w:left="720"/>
        <w:jc w:val="left"/>
        <w:rPr>
          <w:rFonts w:ascii="Athiti" w:eastAsia="Athiti" w:hAnsi="Athiti" w:cs="Athiti"/>
          <w:lang w:val="cs-CZ"/>
        </w:rPr>
      </w:pPr>
      <w:r w:rsidRPr="004467D7">
        <w:rPr>
          <w:rFonts w:ascii="Athiti" w:eastAsia="Athiti" w:hAnsi="Athiti" w:cs="Athiti"/>
          <w:lang w:val="cs-CZ"/>
        </w:rPr>
        <w:t>Zavedení pravidla o povinnosti doložení identity nebo původu prostředků při poskytování služeb – přestože může nepřímo znevýhodnit osoby bez přístupu k formálním dokladům, je opodstatněné požadavky právních předpisů v oblasti AML/CFT.</w:t>
      </w:r>
    </w:p>
    <w:p w:rsidR="008C56BD" w:rsidRPr="004467D7" w:rsidRDefault="008C56BD" w:rsidP="008C56BD">
      <w:pPr>
        <w:pStyle w:val="normal"/>
        <w:widowControl w:val="0"/>
        <w:spacing w:before="240" w:after="240" w:line="240" w:lineRule="auto"/>
        <w:ind w:left="720"/>
        <w:jc w:val="left"/>
        <w:rPr>
          <w:rFonts w:ascii="Athiti" w:eastAsia="Athiti" w:hAnsi="Athiti" w:cs="Athiti"/>
          <w:lang w:val="cs-CZ"/>
        </w:rPr>
      </w:pPr>
      <w:r w:rsidRPr="004467D7">
        <w:rPr>
          <w:rFonts w:ascii="Athiti" w:eastAsia="Athiti" w:hAnsi="Athiti" w:cs="Athiti"/>
          <w:lang w:val="cs-CZ"/>
        </w:rPr>
        <w:t>Vyšší nároky na technologickou vybavenost klienta při využívání určitých služeb – pokud je technologický standard nezbytný k zajištění bezpečnosti a efektivity služby.</w:t>
      </w:r>
    </w:p>
    <w:p w:rsidR="008C56BD" w:rsidRPr="004467D7" w:rsidRDefault="008C56BD" w:rsidP="008C56BD">
      <w:pPr>
        <w:pStyle w:val="normal"/>
        <w:widowControl w:val="0"/>
        <w:spacing w:before="240" w:after="240" w:line="240" w:lineRule="auto"/>
        <w:ind w:left="720"/>
        <w:jc w:val="left"/>
        <w:rPr>
          <w:rFonts w:ascii="Athiti" w:eastAsia="Athiti" w:hAnsi="Athiti" w:cs="Athiti"/>
          <w:lang w:val="cs-CZ"/>
        </w:rPr>
      </w:pPr>
      <w:r w:rsidRPr="004467D7">
        <w:rPr>
          <w:rFonts w:ascii="Athiti" w:eastAsia="Athiti" w:hAnsi="Athiti" w:cs="Athiti"/>
          <w:lang w:val="cs-CZ"/>
        </w:rPr>
        <w:t>Omezení poskytování služeb klientům z určitých jurisdikcí – pokud vyplývá z mezinárodních sankcí, embarg nebo regulatorního posouzení rizik (např. FATF high-risk jurisdictions).</w:t>
      </w:r>
    </w:p>
    <w:p w:rsidR="008C56BD" w:rsidRPr="004467D7" w:rsidRDefault="008C56BD" w:rsidP="008C56BD">
      <w:pPr>
        <w:pStyle w:val="normal"/>
        <w:widowControl w:val="0"/>
        <w:spacing w:before="240" w:after="240" w:line="240" w:lineRule="auto"/>
        <w:ind w:left="720"/>
        <w:jc w:val="left"/>
        <w:rPr>
          <w:rFonts w:ascii="Athiti" w:eastAsia="Athiti" w:hAnsi="Athiti" w:cs="Athiti"/>
          <w:lang w:val="cs-CZ"/>
        </w:rPr>
      </w:pPr>
      <w:r w:rsidRPr="004467D7">
        <w:rPr>
          <w:rFonts w:ascii="Athiti" w:eastAsia="Athiti" w:hAnsi="Athiti" w:cs="Athiti"/>
          <w:lang w:val="cs-CZ"/>
        </w:rPr>
        <w:t>Zákaz obchodního vztahu se subjekty bez právní subjektivity – pokud je právní forma klienta podmínkou platné smlouvy nebo registrace.</w:t>
      </w:r>
    </w:p>
    <w:p w:rsidR="008C56BD" w:rsidRPr="004467D7" w:rsidRDefault="008C56BD" w:rsidP="008C56BD">
      <w:pPr>
        <w:pStyle w:val="normal"/>
        <w:widowControl w:val="0"/>
        <w:numPr>
          <w:ilvl w:val="0"/>
          <w:numId w:val="11"/>
        </w:numPr>
        <w:spacing w:after="0" w:line="240" w:lineRule="auto"/>
        <w:rPr>
          <w:rFonts w:ascii="Athiti" w:eastAsia="Athiti" w:hAnsi="Athiti" w:cs="Athiti"/>
          <w:lang w:val="cs-CZ"/>
        </w:rPr>
      </w:pPr>
      <w:r w:rsidRPr="004467D7">
        <w:rPr>
          <w:rFonts w:ascii="Athiti" w:eastAsia="Athiti" w:hAnsi="Athiti" w:cs="Athiti"/>
          <w:lang w:val="cs-CZ"/>
        </w:rPr>
        <w:t xml:space="preserve">Společnost zákaz přímé a nepřímé diskriminace uplatňuje tak, že všechny její služby jsou poskytovány při zachování </w:t>
      </w:r>
      <w:r w:rsidRPr="004467D7">
        <w:rPr>
          <w:rFonts w:ascii="Athiti" w:eastAsia="Athiti" w:hAnsi="Athiti" w:cs="Athiti"/>
          <w:b/>
          <w:lang w:val="cs-CZ"/>
        </w:rPr>
        <w:t>zásady jednotného zacházení</w:t>
      </w:r>
      <w:r w:rsidRPr="004467D7">
        <w:rPr>
          <w:rFonts w:ascii="Athiti" w:eastAsia="Athiti" w:hAnsi="Athiti" w:cs="Athiti"/>
          <w:lang w:val="cs-CZ"/>
        </w:rPr>
        <w:t>, tj. jednotným způsobem, transparentně a na základě jasných, úplných, objektivních, přiměřených a předem definovaných podmínek (dále jen „</w:t>
      </w:r>
      <w:r w:rsidRPr="004467D7">
        <w:rPr>
          <w:rFonts w:ascii="Athiti" w:eastAsia="Athiti" w:hAnsi="Athiti" w:cs="Athiti"/>
          <w:b/>
          <w:lang w:val="cs-CZ"/>
        </w:rPr>
        <w:t>zákaz diskriminace</w:t>
      </w:r>
      <w:r w:rsidRPr="004467D7">
        <w:rPr>
          <w:rFonts w:ascii="Athiti" w:eastAsia="Athiti" w:hAnsi="Athiti" w:cs="Athiti"/>
          <w:lang w:val="cs-CZ"/>
        </w:rPr>
        <w:t>“). Tyto podmínky zahrnují jak veškeré smluvní a obchodní podmínky, které musí být trvale zpřístupněné všem (potenciálním) zákazníkům Společnosti (dále jen „smluvní a obchodní podmínky“), tak vnitřní pravidla a postupy upravené vnitřními předpisy a metodickými pokyny Společnosti (dále jen „vnitřní pravidla a postupy“).</w:t>
      </w:r>
    </w:p>
    <w:p w:rsidR="008C56BD" w:rsidRPr="004467D7" w:rsidRDefault="008C56BD" w:rsidP="008C56BD">
      <w:pPr>
        <w:pStyle w:val="normal"/>
        <w:widowControl w:val="0"/>
        <w:spacing w:after="0" w:line="240" w:lineRule="auto"/>
        <w:ind w:left="720" w:hanging="360"/>
        <w:rPr>
          <w:rFonts w:ascii="Athiti" w:eastAsia="Athiti" w:hAnsi="Athiti" w:cs="Athiti"/>
          <w:lang w:val="cs-CZ"/>
        </w:rPr>
      </w:pPr>
    </w:p>
    <w:p w:rsidR="008C56BD" w:rsidRPr="004467D7" w:rsidRDefault="008C56BD" w:rsidP="008C56BD">
      <w:pPr>
        <w:pStyle w:val="Nadpis1"/>
        <w:keepNext w:val="0"/>
        <w:keepLines w:val="0"/>
        <w:widowControl w:val="0"/>
        <w:numPr>
          <w:ilvl w:val="0"/>
          <w:numId w:val="3"/>
        </w:numPr>
        <w:spacing w:before="0" w:after="0" w:line="240" w:lineRule="auto"/>
        <w:rPr>
          <w:sz w:val="28"/>
          <w:szCs w:val="28"/>
          <w:lang w:val="cs-CZ"/>
        </w:rPr>
      </w:pPr>
      <w:r w:rsidRPr="004467D7">
        <w:rPr>
          <w:rFonts w:ascii="Athiti" w:eastAsia="Athiti" w:hAnsi="Athiti" w:cs="Athiti"/>
          <w:sz w:val="28"/>
          <w:szCs w:val="28"/>
          <w:lang w:val="cs-CZ"/>
        </w:rPr>
        <w:t>VZTAHY SE ZÁKAZNÍKY</w:t>
      </w:r>
    </w:p>
    <w:p w:rsidR="008C56BD" w:rsidRPr="004467D7" w:rsidRDefault="008C56BD" w:rsidP="008C56BD">
      <w:pPr>
        <w:pStyle w:val="normal"/>
        <w:widowControl w:val="0"/>
        <w:numPr>
          <w:ilvl w:val="0"/>
          <w:numId w:val="13"/>
        </w:numPr>
        <w:spacing w:after="0" w:line="240" w:lineRule="auto"/>
        <w:rPr>
          <w:rFonts w:ascii="Athiti" w:eastAsia="Athiti" w:hAnsi="Athiti" w:cs="Athiti"/>
          <w:lang w:val="cs-CZ"/>
        </w:rPr>
      </w:pPr>
      <w:r w:rsidRPr="004467D7">
        <w:rPr>
          <w:rFonts w:ascii="Athiti" w:eastAsia="Athiti" w:hAnsi="Athiti" w:cs="Athiti"/>
          <w:lang w:val="cs-CZ"/>
        </w:rPr>
        <w:t xml:space="preserve">Společnost veškeré své smluvní a obchodní podmínky určené zákazníkům koncipuje tak, aby byl zajištěn </w:t>
      </w:r>
      <w:r w:rsidRPr="004467D7">
        <w:rPr>
          <w:rFonts w:ascii="Athiti" w:eastAsia="Athiti" w:hAnsi="Athiti" w:cs="Athiti"/>
          <w:b/>
          <w:lang w:val="cs-CZ"/>
        </w:rPr>
        <w:t>rovný přístup k poskytování služeb Společnosti</w:t>
      </w:r>
      <w:r w:rsidRPr="004467D7">
        <w:rPr>
          <w:rFonts w:ascii="Athiti" w:eastAsia="Athiti" w:hAnsi="Athiti" w:cs="Athiti"/>
          <w:lang w:val="cs-CZ"/>
        </w:rPr>
        <w:t>, tedy mj. aby:</w:t>
      </w:r>
    </w:p>
    <w:p w:rsidR="008C56BD" w:rsidRPr="004467D7" w:rsidRDefault="008C56BD" w:rsidP="008C56BD">
      <w:pPr>
        <w:pStyle w:val="normal"/>
        <w:widowControl w:val="0"/>
        <w:numPr>
          <w:ilvl w:val="1"/>
          <w:numId w:val="13"/>
        </w:numPr>
        <w:spacing w:after="0" w:line="240" w:lineRule="auto"/>
        <w:ind w:left="1191" w:hanging="454"/>
        <w:rPr>
          <w:rFonts w:ascii="Athiti" w:eastAsia="Athiti" w:hAnsi="Athiti" w:cs="Athiti"/>
          <w:lang w:val="cs-CZ"/>
        </w:rPr>
      </w:pPr>
      <w:r w:rsidRPr="004467D7">
        <w:rPr>
          <w:rFonts w:ascii="Athiti" w:eastAsia="Athiti" w:hAnsi="Athiti" w:cs="Athiti"/>
          <w:lang w:val="cs-CZ"/>
        </w:rPr>
        <w:t>byly napsány co nejsrozumitelnějším jazykem a byly co nejsnáze pochopitelné zejména (nikoli však výhradně) i pro průměrné spotřebitele,</w:t>
      </w:r>
    </w:p>
    <w:p w:rsidR="008C56BD" w:rsidRPr="004467D7" w:rsidRDefault="008C56BD" w:rsidP="008C56BD">
      <w:pPr>
        <w:pStyle w:val="normal"/>
        <w:widowControl w:val="0"/>
        <w:numPr>
          <w:ilvl w:val="1"/>
          <w:numId w:val="13"/>
        </w:numPr>
        <w:spacing w:after="0" w:line="240" w:lineRule="auto"/>
        <w:ind w:left="1191" w:hanging="454"/>
        <w:rPr>
          <w:rFonts w:ascii="Athiti" w:eastAsia="Athiti" w:hAnsi="Athiti" w:cs="Athiti"/>
          <w:lang w:val="cs-CZ"/>
        </w:rPr>
      </w:pPr>
      <w:r w:rsidRPr="004467D7">
        <w:rPr>
          <w:rFonts w:ascii="Athiti" w:eastAsia="Athiti" w:hAnsi="Athiti" w:cs="Athiti"/>
          <w:lang w:val="cs-CZ"/>
        </w:rPr>
        <w:lastRenderedPageBreak/>
        <w:t>byly napsány stejně výrazným písmem a neobsahovaly žádná skrytá či překvapivá ustanovení, nepřiměřené smluvní podmínky či jakákoli jiná ustanovení zakládající významnou nerovnováhu práv zákazníka,</w:t>
      </w:r>
    </w:p>
    <w:p w:rsidR="008C56BD" w:rsidRPr="004467D7" w:rsidRDefault="008C56BD" w:rsidP="008C56BD">
      <w:pPr>
        <w:pStyle w:val="normal"/>
        <w:widowControl w:val="0"/>
        <w:numPr>
          <w:ilvl w:val="1"/>
          <w:numId w:val="13"/>
        </w:numPr>
        <w:spacing w:after="0" w:line="240" w:lineRule="auto"/>
        <w:ind w:left="1191" w:hanging="454"/>
        <w:rPr>
          <w:rFonts w:ascii="Athiti" w:eastAsia="Athiti" w:hAnsi="Athiti" w:cs="Athiti"/>
          <w:lang w:val="cs-CZ"/>
        </w:rPr>
      </w:pPr>
      <w:r w:rsidRPr="004467D7">
        <w:rPr>
          <w:rFonts w:ascii="Athiti" w:eastAsia="Athiti" w:hAnsi="Athiti" w:cs="Athiti"/>
          <w:lang w:val="cs-CZ"/>
        </w:rPr>
        <w:t>obsahovaly veškeré podstatné informace, vč. poplatků, srozumitelného vysvětlení práv a povinností,</w:t>
      </w:r>
    </w:p>
    <w:p w:rsidR="008C56BD" w:rsidRPr="004467D7" w:rsidRDefault="008C56BD" w:rsidP="008C56BD">
      <w:pPr>
        <w:pStyle w:val="normal"/>
        <w:widowControl w:val="0"/>
        <w:numPr>
          <w:ilvl w:val="1"/>
          <w:numId w:val="13"/>
        </w:numPr>
        <w:spacing w:after="0" w:line="240" w:lineRule="auto"/>
        <w:ind w:left="1191" w:hanging="454"/>
        <w:rPr>
          <w:rFonts w:ascii="Athiti" w:eastAsia="Athiti" w:hAnsi="Athiti" w:cs="Athiti"/>
          <w:lang w:val="cs-CZ"/>
        </w:rPr>
      </w:pPr>
      <w:r w:rsidRPr="004467D7">
        <w:rPr>
          <w:rFonts w:ascii="Athiti" w:eastAsia="Athiti" w:hAnsi="Athiti" w:cs="Athiti"/>
          <w:lang w:val="cs-CZ"/>
        </w:rPr>
        <w:t>byly trvale zpřístupněny všem (potenciálním) zákazníkům tak, aby byl vůči všem zajištěn rovný přístup ke službám, informacím a úrovni podpory.</w:t>
      </w:r>
    </w:p>
    <w:p w:rsidR="008C56BD" w:rsidRPr="004467D7" w:rsidRDefault="008C56BD" w:rsidP="008C56BD">
      <w:pPr>
        <w:pStyle w:val="normal"/>
        <w:widowControl w:val="0"/>
        <w:numPr>
          <w:ilvl w:val="0"/>
          <w:numId w:val="13"/>
        </w:numPr>
        <w:spacing w:after="0" w:line="240" w:lineRule="auto"/>
        <w:rPr>
          <w:rFonts w:ascii="Athiti" w:eastAsia="Athiti" w:hAnsi="Athiti" w:cs="Athiti"/>
          <w:sz w:val="22"/>
          <w:szCs w:val="22"/>
          <w:lang w:val="cs-CZ"/>
        </w:rPr>
      </w:pPr>
      <w:r w:rsidRPr="004467D7">
        <w:rPr>
          <w:rFonts w:ascii="Athiti" w:eastAsia="Athiti" w:hAnsi="Athiti" w:cs="Athiti"/>
          <w:lang w:val="cs-CZ"/>
        </w:rPr>
        <w:t xml:space="preserve">Pravidla zákazu diskriminace při vyřizování stížností a reklamací klientů jsou upravena blíže ve vnitřním předpisu </w:t>
      </w:r>
      <w:r w:rsidRPr="004467D7">
        <w:rPr>
          <w:rFonts w:ascii="Athiti" w:eastAsia="Athiti" w:hAnsi="Athiti" w:cs="Athiti"/>
          <w:i/>
          <w:lang w:val="cs-CZ"/>
        </w:rPr>
        <w:t>Pravidla a postupy pro vyřizování stížností a reklamací</w:t>
      </w:r>
      <w:r w:rsidRPr="004467D7">
        <w:rPr>
          <w:rFonts w:ascii="Athiti" w:eastAsia="Athiti" w:hAnsi="Athiti" w:cs="Athiti"/>
          <w:lang w:val="cs-CZ"/>
        </w:rPr>
        <w:t>. Zejména platí pravidlo, že žádný zákazník nesmí být diskriminován proto, že podal stížnost či reklamaci nebo proto, že se obrátil na orgán veřejnoprávního dohledu (Českou národní banku), Finančního arbitra, soud či jiný orgán či instituci. Stejně tak platí, že všechny stížnosti a reklamace musí být posuzovány objektivně, nestranně a na základě zákazu diskriminace, tedy při uplatňování zásady rovného zacházení, a to i tehdy, byla-li podána stížnost na porušení zákazu diskriminace.</w:t>
      </w:r>
    </w:p>
    <w:p w:rsidR="008C56BD" w:rsidRPr="004467D7" w:rsidRDefault="008C56BD" w:rsidP="008C56BD">
      <w:pPr>
        <w:pStyle w:val="normal"/>
        <w:widowControl w:val="0"/>
        <w:numPr>
          <w:ilvl w:val="0"/>
          <w:numId w:val="13"/>
        </w:numPr>
        <w:spacing w:after="0" w:line="240" w:lineRule="auto"/>
        <w:rPr>
          <w:rFonts w:ascii="Athiti" w:eastAsia="Athiti" w:hAnsi="Athiti" w:cs="Athiti"/>
          <w:lang w:val="cs-CZ"/>
        </w:rPr>
      </w:pPr>
      <w:r w:rsidRPr="004467D7">
        <w:rPr>
          <w:rFonts w:ascii="Athiti" w:eastAsia="Athiti" w:hAnsi="Athiti" w:cs="Athiti"/>
          <w:lang w:val="cs-CZ"/>
        </w:rPr>
        <w:t xml:space="preserve">Pro plné zachování zákazu diskriminace, a tedy rovného zacházení vůči zákazníkům, se dále plně uplatňuje </w:t>
      </w:r>
      <w:r w:rsidRPr="004467D7">
        <w:rPr>
          <w:rFonts w:ascii="Athiti" w:eastAsia="Athiti" w:hAnsi="Athiti" w:cs="Athiti"/>
          <w:b/>
          <w:lang w:val="cs-CZ"/>
        </w:rPr>
        <w:t>pravidlo zákazu střetu zájmů</w:t>
      </w:r>
      <w:r w:rsidRPr="004467D7">
        <w:rPr>
          <w:rFonts w:ascii="Athiti" w:eastAsia="Athiti" w:hAnsi="Athiti" w:cs="Athiti"/>
          <w:lang w:val="cs-CZ"/>
        </w:rPr>
        <w:t>, což znamená, že pokud by jakýkoli zaměstnanec či pracovník Společnosti měl jednat s jakýmkoliv (potenciálním) zákazníkem Společnosti, s nímž by byl ve střetu zájmů, je povinen o tom neprodleně informovat vedení Společnosti. Vedení Společnosti následně rozhodne, kdo bude v komunikaci s (potenciálním) zákazníkem nadále jednat tak, aby byla nadále zajištěna plná nestrannost a objektivita této komunikace.</w:t>
      </w:r>
    </w:p>
    <w:p w:rsidR="008C56BD" w:rsidRPr="004467D7" w:rsidRDefault="008C56BD" w:rsidP="008C56BD">
      <w:pPr>
        <w:pStyle w:val="normal"/>
        <w:widowControl w:val="0"/>
        <w:spacing w:after="0" w:line="240" w:lineRule="auto"/>
        <w:ind w:left="720"/>
        <w:rPr>
          <w:rFonts w:ascii="Athiti" w:eastAsia="Athiti" w:hAnsi="Athiti" w:cs="Athiti"/>
          <w:lang w:val="cs-CZ"/>
        </w:rPr>
      </w:pPr>
    </w:p>
    <w:p w:rsidR="008C56BD" w:rsidRPr="004467D7" w:rsidRDefault="008C56BD" w:rsidP="008C56BD">
      <w:pPr>
        <w:pStyle w:val="Nadpis1"/>
        <w:keepNext w:val="0"/>
        <w:keepLines w:val="0"/>
        <w:widowControl w:val="0"/>
        <w:numPr>
          <w:ilvl w:val="0"/>
          <w:numId w:val="6"/>
        </w:numPr>
        <w:spacing w:before="0" w:after="0" w:line="240" w:lineRule="auto"/>
        <w:rPr>
          <w:rFonts w:ascii="Athiti" w:eastAsia="Athiti" w:hAnsi="Athiti" w:cs="Athiti"/>
          <w:sz w:val="28"/>
          <w:szCs w:val="28"/>
          <w:lang w:val="cs-CZ"/>
        </w:rPr>
      </w:pPr>
      <w:r w:rsidRPr="004467D7">
        <w:rPr>
          <w:rFonts w:ascii="Athiti" w:eastAsia="Athiti" w:hAnsi="Athiti" w:cs="Athiti"/>
          <w:sz w:val="28"/>
          <w:szCs w:val="28"/>
          <w:lang w:val="cs-CZ"/>
        </w:rPr>
        <w:t>ŘÍDICÍ A KONTROLNÍ SYSTÉM SPOLEČNOSTI (Obchodní politika)</w:t>
      </w:r>
    </w:p>
    <w:p w:rsidR="008C56BD" w:rsidRPr="004467D7" w:rsidRDefault="008C56BD" w:rsidP="008C56BD">
      <w:pPr>
        <w:pStyle w:val="normal"/>
        <w:widowControl w:val="0"/>
        <w:numPr>
          <w:ilvl w:val="0"/>
          <w:numId w:val="5"/>
        </w:numPr>
        <w:spacing w:after="0" w:line="240" w:lineRule="auto"/>
        <w:rPr>
          <w:rFonts w:ascii="Athiti" w:eastAsia="Athiti" w:hAnsi="Athiti" w:cs="Athiti"/>
          <w:lang w:val="cs-CZ"/>
        </w:rPr>
      </w:pPr>
      <w:r w:rsidRPr="004467D7">
        <w:rPr>
          <w:rFonts w:ascii="Athiti" w:eastAsia="Athiti" w:hAnsi="Athiti" w:cs="Athiti"/>
          <w:lang w:val="cs-CZ"/>
        </w:rPr>
        <w:t>Společnost vnitřní pravidla a postupy týkající se její obchodní politiky a pravidel pro vztahy se zákazníky, vč. provádění pokynů ke kryptoaktivům jménem zákazníků, uplatňuje vždy v souladu se zákazem diskriminace ve smyslu ustanovení čl. 3 odst. 1. V případě, že je nutno uplatnit či dlouhodobě uplatňovat opatření s (potenciálně) negativním dopadem na jednoho či více (potenciálních) zákazníků Společnosti anebo v případě, kdy toto opatření sám zákazník vnímá či může vnímat jako (potenciálně) diskriminační (dále jen „omezující opatření“), pak je toto opatření možno uplatňovat jedině za splnění všech následujících podmínek: opatření není zakázanou přímou diskriminací a</w:t>
      </w:r>
      <w:r w:rsidRPr="004467D7">
        <w:rPr>
          <w:rFonts w:ascii="Athiti" w:eastAsia="Athiti" w:hAnsi="Athiti" w:cs="Athiti"/>
          <w:b/>
          <w:lang w:val="cs-CZ"/>
        </w:rPr>
        <w:t xml:space="preserve"> je nezbytné, přiměřené a objektivně odůvodněné</w:t>
      </w:r>
      <w:r w:rsidRPr="004467D7">
        <w:rPr>
          <w:rFonts w:ascii="Athiti" w:eastAsia="Athiti" w:hAnsi="Athiti" w:cs="Athiti"/>
          <w:lang w:val="cs-CZ"/>
        </w:rPr>
        <w:t>.</w:t>
      </w:r>
    </w:p>
    <w:p w:rsidR="008C56BD" w:rsidRPr="004467D7" w:rsidRDefault="008C56BD" w:rsidP="008C56BD">
      <w:pPr>
        <w:pStyle w:val="normal"/>
        <w:widowControl w:val="0"/>
        <w:numPr>
          <w:ilvl w:val="0"/>
          <w:numId w:val="5"/>
        </w:numPr>
        <w:spacing w:after="0" w:line="240" w:lineRule="auto"/>
        <w:rPr>
          <w:rFonts w:ascii="Athiti" w:eastAsia="Athiti" w:hAnsi="Athiti" w:cs="Athiti"/>
          <w:lang w:val="cs-CZ"/>
        </w:rPr>
      </w:pPr>
      <w:r w:rsidRPr="004467D7">
        <w:rPr>
          <w:rFonts w:ascii="Athiti" w:eastAsia="Athiti" w:hAnsi="Athiti" w:cs="Athiti"/>
          <w:lang w:val="cs-CZ"/>
        </w:rPr>
        <w:t>Pro naplnění podmínky nezbytnosti opatření je nutné, aby bylo dáno najisto, že opatření je nezbytné pro naplnění právních požadavků, ochranu Společnosti nebo třetích stran. Může se jednat např. o splnění požadavku/příkazu Policie, Finančního analytického úřadu, opatření proti zamezení podvodu nebo jiným nezákonným aktivitám.</w:t>
      </w:r>
    </w:p>
    <w:p w:rsidR="008C56BD" w:rsidRPr="004467D7" w:rsidRDefault="008C56BD" w:rsidP="008C56BD">
      <w:pPr>
        <w:pStyle w:val="normal"/>
        <w:widowControl w:val="0"/>
        <w:numPr>
          <w:ilvl w:val="0"/>
          <w:numId w:val="5"/>
        </w:numPr>
        <w:spacing w:after="0" w:line="240" w:lineRule="auto"/>
        <w:rPr>
          <w:rFonts w:ascii="Athiti" w:eastAsia="Athiti" w:hAnsi="Athiti" w:cs="Athiti"/>
          <w:lang w:val="cs-CZ"/>
        </w:rPr>
      </w:pPr>
      <w:r w:rsidRPr="004467D7">
        <w:rPr>
          <w:rFonts w:ascii="Athiti" w:eastAsia="Athiti" w:hAnsi="Athiti" w:cs="Athiti"/>
          <w:lang w:val="cs-CZ"/>
        </w:rPr>
        <w:t>Pro naplnění podmínky přiměřenosti zavedeného opatření je nutné, aby bylo dáno najisto, že není možné téhož cíle dosáhnout jiným vhodným způsobem. Např. nesmí být klientovi bráněno v podání stížnosti či reklamace nebo identifikace (předložení průkazu totožnosti) jakýmkoliv vhodným a přípustným způsobem.</w:t>
      </w:r>
    </w:p>
    <w:p w:rsidR="008C56BD" w:rsidRPr="004467D7" w:rsidRDefault="008C56BD" w:rsidP="008C56BD">
      <w:pPr>
        <w:pStyle w:val="normal"/>
        <w:widowControl w:val="0"/>
        <w:numPr>
          <w:ilvl w:val="0"/>
          <w:numId w:val="5"/>
        </w:numPr>
        <w:spacing w:after="0" w:line="240" w:lineRule="auto"/>
        <w:rPr>
          <w:rFonts w:ascii="Athiti" w:eastAsia="Athiti" w:hAnsi="Athiti" w:cs="Athiti"/>
          <w:lang w:val="cs-CZ"/>
        </w:rPr>
      </w:pPr>
      <w:r w:rsidRPr="004467D7">
        <w:rPr>
          <w:rFonts w:ascii="Athiti" w:eastAsia="Athiti" w:hAnsi="Athiti" w:cs="Athiti"/>
          <w:lang w:val="cs-CZ"/>
        </w:rPr>
        <w:t>Pro naplnění podmínky objektivní odůvodnitelnosti opatření je nutné, aby bylo dáno najisto, že se opatření opírá o požadavky právní úpravy. Společnost je tak souladu s těmito požadavky oprávněna nenavázat s klientem obchodní vztah či ho ukončit (je-li to také nezbytné a přiměřené) např. v případech (tedy nikoli výhradě), kdy:</w:t>
      </w:r>
    </w:p>
    <w:p w:rsidR="008C56BD" w:rsidRPr="004467D7" w:rsidRDefault="008C56BD" w:rsidP="008C56BD">
      <w:pPr>
        <w:pStyle w:val="normal"/>
        <w:widowControl w:val="0"/>
        <w:numPr>
          <w:ilvl w:val="1"/>
          <w:numId w:val="5"/>
        </w:numPr>
        <w:spacing w:after="0" w:line="240" w:lineRule="auto"/>
        <w:ind w:left="1191" w:hanging="454"/>
        <w:rPr>
          <w:rFonts w:ascii="Athiti" w:eastAsia="Athiti" w:hAnsi="Athiti" w:cs="Athiti"/>
          <w:lang w:val="cs-CZ"/>
        </w:rPr>
      </w:pPr>
      <w:r w:rsidRPr="004467D7">
        <w:rPr>
          <w:rFonts w:ascii="Athiti" w:eastAsia="Athiti" w:hAnsi="Athiti" w:cs="Athiti"/>
          <w:lang w:val="cs-CZ"/>
        </w:rPr>
        <w:t>se jedná o postup v souladu s AML/CFT úpravou, souvisejícího hodnocení rizik a zjištěných rizikových faktorů klienta. Může tak být odepřen přístup ke službám např. sankcionované osobě či osobě, která je rezidentem ve vysoce rizikové jurisdikci či v ní působí anebo osobě, u níž nemohla být provedena plná identifikace a kontrola klienta dle požadavků tzv. AML zákona.</w:t>
      </w:r>
    </w:p>
    <w:p w:rsidR="008C56BD" w:rsidRPr="004467D7" w:rsidRDefault="008C56BD" w:rsidP="008C56BD">
      <w:pPr>
        <w:pStyle w:val="normal"/>
        <w:widowControl w:val="0"/>
        <w:numPr>
          <w:ilvl w:val="1"/>
          <w:numId w:val="5"/>
        </w:numPr>
        <w:spacing w:after="0" w:line="240" w:lineRule="auto"/>
        <w:ind w:left="1191" w:hanging="454"/>
        <w:rPr>
          <w:rFonts w:ascii="Athiti" w:eastAsia="Athiti" w:hAnsi="Athiti" w:cs="Athiti"/>
          <w:lang w:val="cs-CZ"/>
        </w:rPr>
      </w:pPr>
      <w:r w:rsidRPr="004467D7">
        <w:rPr>
          <w:rFonts w:ascii="Athiti" w:eastAsia="Athiti" w:hAnsi="Athiti" w:cs="Athiti"/>
          <w:lang w:val="cs-CZ"/>
        </w:rPr>
        <w:lastRenderedPageBreak/>
        <w:t>se jedná o postup vůči osobě, o níž je známo, že se dopustila trestného činu nebo je o tom založeno důvodné podezření.</w:t>
      </w:r>
    </w:p>
    <w:p w:rsidR="008C56BD" w:rsidRPr="004467D7" w:rsidRDefault="008C56BD" w:rsidP="008C56BD">
      <w:pPr>
        <w:pStyle w:val="normal"/>
        <w:widowControl w:val="0"/>
        <w:numPr>
          <w:ilvl w:val="0"/>
          <w:numId w:val="5"/>
        </w:numPr>
        <w:spacing w:after="0" w:line="240" w:lineRule="auto"/>
        <w:rPr>
          <w:rFonts w:ascii="Athiti" w:eastAsia="Athiti" w:hAnsi="Athiti" w:cs="Athiti"/>
          <w:lang w:val="cs-CZ"/>
        </w:rPr>
      </w:pPr>
      <w:r w:rsidRPr="004467D7">
        <w:rPr>
          <w:rFonts w:ascii="Athiti" w:eastAsia="Athiti" w:hAnsi="Athiti" w:cs="Athiti"/>
          <w:lang w:val="cs-CZ"/>
        </w:rPr>
        <w:t>Společnost v souladu se shora uvedenou zásadou zákazu diskriminace při uplatňování svého řídicího a kontrolního systému a obchodní politiky zejména neuplatňuje svévolná vyloučení zákazníků z poskytnutí či poskytování svých služeb a ani se nezapojuje do diskriminačních praktik založených na subjektivních nebo nepodložených faktorech. Veškerá případná omezující opatření (např. nenavázání nebo ukončení obchodního vztahu s klientem, omezení služeb klientovi) musí splňovat podmínky nezbytnosti, přiměřenosti a objektivní odůvodnitelnosti a mohou být přijata v závislosti na své povaze výhradně těmito osobami Společnosti:</w:t>
      </w:r>
    </w:p>
    <w:p w:rsidR="008C56BD" w:rsidRPr="004467D7" w:rsidRDefault="008C56BD" w:rsidP="008C56BD">
      <w:pPr>
        <w:pStyle w:val="normal"/>
        <w:widowControl w:val="0"/>
        <w:numPr>
          <w:ilvl w:val="1"/>
          <w:numId w:val="5"/>
        </w:numPr>
        <w:spacing w:after="0" w:line="240" w:lineRule="auto"/>
        <w:ind w:left="1191" w:hanging="454"/>
        <w:rPr>
          <w:rFonts w:ascii="Athiti" w:eastAsia="Athiti" w:hAnsi="Athiti" w:cs="Athiti"/>
          <w:lang w:val="cs-CZ"/>
        </w:rPr>
      </w:pPr>
      <w:r w:rsidRPr="004467D7">
        <w:rPr>
          <w:rFonts w:ascii="Athiti" w:eastAsia="Athiti" w:hAnsi="Athiti" w:cs="Athiti"/>
          <w:lang w:val="cs-CZ"/>
        </w:rPr>
        <w:t>AML Officerem, v případě, že se jedná o opatření AML/CFT (např. zesílená kontrola klienta),</w:t>
      </w:r>
    </w:p>
    <w:p w:rsidR="008C56BD" w:rsidRPr="004467D7" w:rsidRDefault="008C56BD" w:rsidP="008C56BD">
      <w:pPr>
        <w:pStyle w:val="normal"/>
        <w:widowControl w:val="0"/>
        <w:numPr>
          <w:ilvl w:val="1"/>
          <w:numId w:val="5"/>
        </w:numPr>
        <w:spacing w:after="0" w:line="240" w:lineRule="auto"/>
        <w:ind w:left="1191" w:hanging="454"/>
        <w:rPr>
          <w:rFonts w:ascii="Athiti" w:eastAsia="Athiti" w:hAnsi="Athiti" w:cs="Athiti"/>
          <w:lang w:val="cs-CZ"/>
        </w:rPr>
      </w:pPr>
      <w:r w:rsidRPr="004467D7">
        <w:rPr>
          <w:rFonts w:ascii="Athiti" w:eastAsia="Athiti" w:hAnsi="Athiti" w:cs="Athiti"/>
          <w:lang w:val="cs-CZ"/>
        </w:rPr>
        <w:t xml:space="preserve">Compliance Officerem, v případě, že se jedná o jakákoli jiná </w:t>
      </w:r>
      <w:r w:rsidRPr="004467D7">
        <w:rPr>
          <w:rFonts w:ascii="Athiti" w:eastAsia="Athiti" w:hAnsi="Athiti" w:cs="Athiti"/>
          <w:u w:val="single"/>
          <w:lang w:val="cs-CZ"/>
        </w:rPr>
        <w:t>individuální</w:t>
      </w:r>
      <w:r w:rsidRPr="004467D7">
        <w:rPr>
          <w:rFonts w:ascii="Athiti" w:eastAsia="Athiti" w:hAnsi="Athiti" w:cs="Athiti"/>
          <w:lang w:val="cs-CZ"/>
        </w:rPr>
        <w:t xml:space="preserve"> opatření (např. zaevidování zákazníka na tzv. black list např. z důvodu spáchání podvodu),</w:t>
      </w:r>
    </w:p>
    <w:p w:rsidR="008C56BD" w:rsidRPr="004467D7" w:rsidRDefault="008C56BD" w:rsidP="008C56BD">
      <w:pPr>
        <w:pStyle w:val="normal"/>
        <w:widowControl w:val="0"/>
        <w:numPr>
          <w:ilvl w:val="1"/>
          <w:numId w:val="5"/>
        </w:numPr>
        <w:spacing w:after="0" w:line="240" w:lineRule="auto"/>
        <w:ind w:left="1191" w:hanging="454"/>
        <w:rPr>
          <w:rFonts w:ascii="Athiti" w:eastAsia="Athiti" w:hAnsi="Athiti" w:cs="Athiti"/>
          <w:lang w:val="cs-CZ"/>
        </w:rPr>
      </w:pPr>
      <w:r w:rsidRPr="004467D7">
        <w:rPr>
          <w:rFonts w:ascii="Athiti" w:eastAsia="Athiti" w:hAnsi="Athiti" w:cs="Athiti"/>
          <w:lang w:val="cs-CZ"/>
        </w:rPr>
        <w:t>vedením Společnosti v případě, že se jedná o systémová a dlouhodobá opatření, např. z důvodu nových regulatorních požadavků.</w:t>
      </w:r>
    </w:p>
    <w:p w:rsidR="008C56BD" w:rsidRPr="004467D7" w:rsidRDefault="008C56BD" w:rsidP="008C56BD">
      <w:pPr>
        <w:pStyle w:val="normal"/>
        <w:widowControl w:val="0"/>
        <w:numPr>
          <w:ilvl w:val="0"/>
          <w:numId w:val="5"/>
        </w:numPr>
        <w:spacing w:after="0" w:line="240" w:lineRule="auto"/>
        <w:rPr>
          <w:rFonts w:ascii="Athiti" w:eastAsia="Athiti" w:hAnsi="Athiti" w:cs="Athiti"/>
          <w:lang w:val="cs-CZ"/>
        </w:rPr>
      </w:pPr>
      <w:r w:rsidRPr="004467D7">
        <w:rPr>
          <w:rFonts w:ascii="Athiti" w:eastAsia="Athiti" w:hAnsi="Athiti" w:cs="Athiti"/>
          <w:lang w:val="cs-CZ"/>
        </w:rPr>
        <w:t>U všech takto přijatých opatření musí být navíc zaevidováno písemné rozhodnutí o jejich přijetí s odůvodněním, které bude dostatečně vysvětlovat naplnění všech tří shora uvedených podmínek nezbytnosti, přiměřenosti a objektivní odůvodnitelnosti (tj. např. black list musí obsahovat mj. dostatečně zřejmý důvod zařazení klienta do black listu jako tzv. nežádoucího).</w:t>
      </w:r>
    </w:p>
    <w:p w:rsidR="008C56BD" w:rsidRPr="004467D7" w:rsidRDefault="008C56BD" w:rsidP="008C56BD">
      <w:pPr>
        <w:pStyle w:val="Nzev"/>
        <w:keepNext w:val="0"/>
        <w:keepLines w:val="0"/>
        <w:widowControl w:val="0"/>
        <w:spacing w:before="0" w:after="0" w:line="240" w:lineRule="auto"/>
        <w:ind w:left="720" w:right="130" w:hanging="360"/>
        <w:rPr>
          <w:rFonts w:ascii="Athiti" w:eastAsia="Athiti" w:hAnsi="Athiti" w:cs="Athiti"/>
          <w:sz w:val="24"/>
          <w:szCs w:val="24"/>
          <w:lang w:val="cs-CZ"/>
        </w:rPr>
      </w:pPr>
    </w:p>
    <w:p w:rsidR="008C56BD" w:rsidRPr="004467D7" w:rsidRDefault="008C56BD" w:rsidP="008C56BD">
      <w:pPr>
        <w:pStyle w:val="Nadpis1"/>
        <w:keepNext w:val="0"/>
        <w:keepLines w:val="0"/>
        <w:widowControl w:val="0"/>
        <w:numPr>
          <w:ilvl w:val="0"/>
          <w:numId w:val="6"/>
        </w:numPr>
        <w:spacing w:before="0" w:after="0" w:line="240" w:lineRule="auto"/>
        <w:ind w:firstLine="0"/>
        <w:rPr>
          <w:rFonts w:ascii="Athiti" w:eastAsia="Athiti" w:hAnsi="Athiti" w:cs="Athiti"/>
          <w:sz w:val="28"/>
          <w:szCs w:val="28"/>
          <w:lang w:val="cs-CZ"/>
        </w:rPr>
      </w:pPr>
      <w:bookmarkStart w:id="5" w:name="_heading=h.9n265plfcpoc" w:colFirst="0" w:colLast="0"/>
      <w:bookmarkEnd w:id="5"/>
      <w:r w:rsidRPr="004467D7">
        <w:rPr>
          <w:rFonts w:ascii="Athiti" w:eastAsia="Athiti" w:hAnsi="Athiti" w:cs="Athiti"/>
          <w:sz w:val="28"/>
          <w:szCs w:val="28"/>
          <w:lang w:val="cs-CZ"/>
        </w:rPr>
        <w:t>Stanovení ceny kryptoaktiv – nediskriminační metodika</w:t>
      </w:r>
    </w:p>
    <w:p w:rsidR="008C56BD" w:rsidRPr="004467D7" w:rsidRDefault="008C56BD" w:rsidP="008C56BD">
      <w:pPr>
        <w:pStyle w:val="normal"/>
        <w:ind w:left="720"/>
        <w:rPr>
          <w:rFonts w:ascii="Athiti" w:eastAsia="Athiti" w:hAnsi="Athiti" w:cs="Athiti"/>
          <w:lang w:val="cs-CZ"/>
        </w:rPr>
      </w:pPr>
      <w:r w:rsidRPr="004467D7">
        <w:rPr>
          <w:rFonts w:ascii="Athiti" w:eastAsia="Athiti" w:hAnsi="Athiti" w:cs="Athiti"/>
          <w:lang w:val="cs-CZ"/>
        </w:rPr>
        <w:t>Společnost při určování ceny kryptoaktiv, která jsou předmětem jejích služeb, uplatňuje jednotnou, objektivní a nediskriminační metodologii, která vychází z principů transparentnosti, rovného zacházení a regulatorní odpovědnosti. Tato metodika je navržena tak, aby zajistila, že žádný klient nebude znevýhodněn ani zvýhodněn na základě své identity, země původu, obchodního modelu nebo jiných faktorů nesouvisejících s tržním rizikem či regulatorními omezeními.</w:t>
      </w:r>
    </w:p>
    <w:p w:rsidR="008C56BD" w:rsidRPr="004467D7" w:rsidRDefault="008C56BD" w:rsidP="008C56BD">
      <w:pPr>
        <w:pStyle w:val="normal"/>
        <w:ind w:left="720"/>
        <w:rPr>
          <w:rFonts w:ascii="Athiti" w:eastAsia="Athiti" w:hAnsi="Athiti" w:cs="Athiti"/>
          <w:lang w:val="cs-CZ"/>
        </w:rPr>
      </w:pPr>
      <w:r w:rsidRPr="004467D7">
        <w:rPr>
          <w:rFonts w:ascii="Athiti" w:eastAsia="Athiti" w:hAnsi="Athiti" w:cs="Athiti"/>
          <w:lang w:val="cs-CZ"/>
        </w:rPr>
        <w:t>Referenční cena kryptoaktiv je určována výhradně na základě aktuálních tržních údajů, které Společnost získává z několika nezávislých a veřejně dostupných zdrojů, jako jsou renomované kryptoměnové burzy nebo licencovaní poskytovatelé tržních dat. Výpočet ceny probíhá prostřednictvím stanoveného algoritmu, který obvykle vychází z váženého průměru nebo mediánu aktuálních cen během definovaného časového úseku. Při výpočtu dochází k vyloučení extrémních hodnot, aby byla zajištěna stabilita a férovost výsledné ceny.</w:t>
      </w:r>
    </w:p>
    <w:p w:rsidR="008C56BD" w:rsidRPr="004467D7" w:rsidRDefault="008C56BD" w:rsidP="008C56BD">
      <w:pPr>
        <w:pStyle w:val="normal"/>
        <w:ind w:left="720"/>
        <w:rPr>
          <w:rFonts w:ascii="Athiti" w:eastAsia="Athiti" w:hAnsi="Athiti" w:cs="Athiti"/>
          <w:lang w:val="cs-CZ"/>
        </w:rPr>
      </w:pPr>
      <w:r w:rsidRPr="004467D7">
        <w:rPr>
          <w:rFonts w:ascii="Athiti" w:eastAsia="Athiti" w:hAnsi="Athiti" w:cs="Athiti"/>
          <w:lang w:val="cs-CZ"/>
        </w:rPr>
        <w:t>K referenční ceně mohou být připočteny přiměřené přirážky (spready) nebo servisní poplatky, které odrážejí provozní náklady, aktuální volatilitu trhu či rizika likvidity. Tyto přirážky jsou stanoveny jednotně pro všechny klienty ve srovnatelné situaci a nejsou aplikovány selektivně. Výše těchto poplatků je vždy předem stanovena v souladu s interními pravidly Společnosti a řádně komunikována klientovi ještě před uzavřením transakce.</w:t>
      </w:r>
    </w:p>
    <w:p w:rsidR="008C56BD" w:rsidRPr="004467D7" w:rsidRDefault="008C56BD" w:rsidP="008C56BD">
      <w:pPr>
        <w:pStyle w:val="normal"/>
        <w:ind w:left="720"/>
        <w:rPr>
          <w:rFonts w:ascii="Athiti" w:eastAsia="Athiti" w:hAnsi="Athiti" w:cs="Athiti"/>
          <w:lang w:val="cs-CZ"/>
        </w:rPr>
      </w:pPr>
    </w:p>
    <w:p w:rsidR="008C56BD" w:rsidRPr="004467D7" w:rsidRDefault="008C56BD" w:rsidP="008C56BD">
      <w:pPr>
        <w:pStyle w:val="normal"/>
        <w:ind w:left="720"/>
        <w:rPr>
          <w:rFonts w:ascii="Athiti" w:eastAsia="Athiti" w:hAnsi="Athiti" w:cs="Athiti"/>
          <w:lang w:val="cs-CZ"/>
        </w:rPr>
      </w:pPr>
      <w:r w:rsidRPr="004467D7">
        <w:rPr>
          <w:rFonts w:ascii="Athiti" w:eastAsia="Athiti" w:hAnsi="Athiti" w:cs="Athiti"/>
          <w:lang w:val="cs-CZ"/>
        </w:rPr>
        <w:t xml:space="preserve">V případech, kdy dojde k výpadku datových zdrojů, náhlé tržní nestabilitě nebo jiné výjimečné situaci, může Společnost dočasně uplatnit náhradní oceňovací postup, jako je použití poslední dostupné referenční ceny nebo výpočet podle záložní metodiky. Takový </w:t>
      </w:r>
      <w:r w:rsidRPr="004467D7">
        <w:rPr>
          <w:rFonts w:ascii="Athiti" w:eastAsia="Athiti" w:hAnsi="Athiti" w:cs="Athiti"/>
          <w:lang w:val="cs-CZ"/>
        </w:rPr>
        <w:lastRenderedPageBreak/>
        <w:t>postup je však uplatňován rovnoměrně vůči všem klientům a výhradně v souladu s interními zásadami schválenými vedením.</w:t>
      </w:r>
    </w:p>
    <w:p w:rsidR="008C56BD" w:rsidRPr="004467D7" w:rsidRDefault="008C56BD" w:rsidP="008C56BD">
      <w:pPr>
        <w:pStyle w:val="normal"/>
        <w:ind w:left="720"/>
        <w:rPr>
          <w:rFonts w:ascii="Athiti" w:eastAsia="Athiti" w:hAnsi="Athiti" w:cs="Athiti"/>
          <w:lang w:val="cs-CZ"/>
        </w:rPr>
      </w:pPr>
      <w:r w:rsidRPr="004467D7">
        <w:rPr>
          <w:rFonts w:ascii="Athiti" w:eastAsia="Athiti" w:hAnsi="Athiti" w:cs="Athiti"/>
          <w:lang w:val="cs-CZ"/>
        </w:rPr>
        <w:t>Za účelem zajištění transparentnosti a dohledatelnosti celého procesu Společnost uchovává úplnou dokumentaci o použitých zdrojích, výpočtech, aplikovaných přirážkách a mimořádných opatřeních po dobu nejméně pěti let. Tato dokumentace je k dispozici pro účely interního auditu i případné kontroly ze strany dozorových orgánů.</w:t>
      </w:r>
    </w:p>
    <w:p w:rsidR="008C56BD" w:rsidRPr="004467D7" w:rsidRDefault="008C56BD" w:rsidP="008C56BD">
      <w:pPr>
        <w:pStyle w:val="normal"/>
        <w:ind w:left="720"/>
        <w:rPr>
          <w:rFonts w:ascii="Athiti" w:eastAsia="Athiti" w:hAnsi="Athiti" w:cs="Athiti"/>
          <w:lang w:val="cs-CZ"/>
        </w:rPr>
      </w:pPr>
      <w:r w:rsidRPr="004467D7">
        <w:rPr>
          <w:rFonts w:ascii="Athiti" w:eastAsia="Athiti" w:hAnsi="Athiti" w:cs="Athiti"/>
          <w:lang w:val="cs-CZ"/>
        </w:rPr>
        <w:t>Díky výše popsanému postupu Společnost zajišťuje, že cenotvorba kryptoaktiv probíhá v souladu s požadavky nařízení MiCA a zároveň v duchu zásad rovného přístupu a ochrany klienta. Cílem této metodiky není maximalizace zisku na úkor klienta, ale spravedlivé, konzistentní a regulatorně obhajitelné určení ceny poskytovaných služeb.</w:t>
      </w:r>
    </w:p>
    <w:p w:rsidR="008C56BD" w:rsidRPr="004467D7" w:rsidRDefault="008C56BD" w:rsidP="008C56BD">
      <w:pPr>
        <w:pStyle w:val="Nadpis1"/>
        <w:keepNext w:val="0"/>
        <w:keepLines w:val="0"/>
        <w:widowControl w:val="0"/>
        <w:numPr>
          <w:ilvl w:val="0"/>
          <w:numId w:val="6"/>
        </w:numPr>
        <w:spacing w:before="0" w:after="0" w:line="240" w:lineRule="auto"/>
        <w:rPr>
          <w:rFonts w:ascii="Athiti" w:eastAsia="Athiti" w:hAnsi="Athiti" w:cs="Athiti"/>
          <w:sz w:val="28"/>
          <w:szCs w:val="28"/>
          <w:lang w:val="cs-CZ"/>
        </w:rPr>
      </w:pPr>
      <w:bookmarkStart w:id="6" w:name="_heading=h.x4f3ggmz1suf" w:colFirst="0" w:colLast="0"/>
      <w:bookmarkEnd w:id="6"/>
      <w:r w:rsidRPr="004467D7">
        <w:rPr>
          <w:rFonts w:ascii="Athiti" w:eastAsia="Athiti" w:hAnsi="Athiti" w:cs="Athiti"/>
          <w:sz w:val="28"/>
          <w:szCs w:val="28"/>
          <w:lang w:val="cs-CZ"/>
        </w:rPr>
        <w:t>ZÁVĚREČNÁ USTANOVENÍ</w:t>
      </w:r>
    </w:p>
    <w:p w:rsidR="008C56BD" w:rsidRPr="004467D7" w:rsidRDefault="008C56BD" w:rsidP="008C56BD">
      <w:pPr>
        <w:pStyle w:val="normal"/>
        <w:widowControl w:val="0"/>
        <w:spacing w:before="240" w:after="240"/>
        <w:ind w:left="720"/>
        <w:rPr>
          <w:rFonts w:ascii="Athiti" w:eastAsia="Athiti" w:hAnsi="Athiti" w:cs="Athiti"/>
          <w:lang w:val="cs-CZ"/>
        </w:rPr>
      </w:pPr>
      <w:r w:rsidRPr="004467D7">
        <w:rPr>
          <w:rFonts w:ascii="Athiti" w:eastAsia="Athiti" w:hAnsi="Athiti" w:cs="Athiti"/>
          <w:lang w:val="cs-CZ"/>
        </w:rPr>
        <w:t>Společnost považuje tyto Zásady za závazný interní dokument, který je nedílnou součástí jejího systému řízení a kultury bezpečnosti. Dodržování těchto Zásad je povinností všech zaměstnanců a pracovníků společnosti bez ohledu na jejich pracovní zařazení, formu pracovního vztahu nebo délku pracovního poměru.</w:t>
      </w:r>
    </w:p>
    <w:p w:rsidR="008C56BD" w:rsidRPr="004467D7" w:rsidRDefault="008C56BD" w:rsidP="008C56BD">
      <w:pPr>
        <w:pStyle w:val="Nadpis4"/>
        <w:keepNext w:val="0"/>
        <w:keepLines w:val="0"/>
        <w:widowControl w:val="0"/>
        <w:ind w:left="720"/>
        <w:rPr>
          <w:rFonts w:ascii="Athiti" w:eastAsia="Athiti" w:hAnsi="Athiti" w:cs="Athiti"/>
          <w:lang w:val="cs-CZ"/>
        </w:rPr>
      </w:pPr>
      <w:bookmarkStart w:id="7" w:name="_heading=h.f56347snnp3e" w:colFirst="0" w:colLast="0"/>
      <w:bookmarkEnd w:id="7"/>
      <w:r w:rsidRPr="004467D7">
        <w:rPr>
          <w:rFonts w:ascii="Athiti" w:eastAsia="Athiti" w:hAnsi="Athiti" w:cs="Athiti"/>
          <w:lang w:val="cs-CZ"/>
        </w:rPr>
        <w:t>7.1 Zpřístupnění a komunikace Zásad</w:t>
      </w:r>
    </w:p>
    <w:p w:rsidR="008C56BD" w:rsidRPr="004467D7" w:rsidRDefault="008C56BD" w:rsidP="008C56BD">
      <w:pPr>
        <w:pStyle w:val="normal"/>
        <w:widowControl w:val="0"/>
        <w:spacing w:before="240" w:after="240"/>
        <w:ind w:left="720"/>
        <w:rPr>
          <w:rFonts w:ascii="Athiti" w:eastAsia="Athiti" w:hAnsi="Athiti" w:cs="Athiti"/>
          <w:lang w:val="cs-CZ"/>
        </w:rPr>
      </w:pPr>
      <w:r w:rsidRPr="004467D7">
        <w:rPr>
          <w:rFonts w:ascii="Athiti" w:eastAsia="Athiti" w:hAnsi="Athiti" w:cs="Athiti"/>
          <w:lang w:val="cs-CZ"/>
        </w:rPr>
        <w:t>Tyto Zásady budou trvale interně zpřístupněny všem zaměstnancům a pracovníkům společnosti prostřednictvím interní elektronické složky s názvem „Zásady a postupy společnosti“, která je součástí oficiální dokumentace společnosti. O existenci a obsahu tohoto předpisu, jeho aktualizacích, datu účinnosti a případných změnách budou zaměstnanci a pracovníci společnosti pravidelně informováni e-mailem, a to nejpozději do 5 pracovních dnů od provedení jakékoli revize nebo změny.</w:t>
      </w:r>
    </w:p>
    <w:p w:rsidR="008C56BD" w:rsidRPr="004467D7" w:rsidRDefault="008C56BD" w:rsidP="008C56BD">
      <w:pPr>
        <w:pStyle w:val="normal"/>
        <w:widowControl w:val="0"/>
        <w:spacing w:before="240" w:after="240"/>
        <w:ind w:left="720"/>
        <w:rPr>
          <w:rFonts w:ascii="Athiti" w:eastAsia="Athiti" w:hAnsi="Athiti" w:cs="Athiti"/>
          <w:lang w:val="cs-CZ"/>
        </w:rPr>
      </w:pPr>
      <w:r w:rsidRPr="004467D7">
        <w:rPr>
          <w:rFonts w:ascii="Athiti" w:eastAsia="Athiti" w:hAnsi="Athiti" w:cs="Athiti"/>
          <w:lang w:val="cs-CZ"/>
        </w:rPr>
        <w:t>Každý zaměstnanec a pracovník společnosti je povinen se s tímto vnitřním předpisem podrobně seznámit, potvrdit své seznámení formou elektronického potvrzení v systému nebo jiným průkazným způsobem, který stanoví Compliance &amp; AML Officer.</w:t>
      </w:r>
    </w:p>
    <w:p w:rsidR="008C56BD" w:rsidRPr="004467D7" w:rsidRDefault="008C56BD" w:rsidP="008C56BD">
      <w:pPr>
        <w:pStyle w:val="Nadpis4"/>
        <w:keepNext w:val="0"/>
        <w:keepLines w:val="0"/>
        <w:widowControl w:val="0"/>
        <w:ind w:left="720"/>
        <w:rPr>
          <w:rFonts w:ascii="Athiti" w:eastAsia="Athiti" w:hAnsi="Athiti" w:cs="Athiti"/>
          <w:lang w:val="cs-CZ"/>
        </w:rPr>
      </w:pPr>
      <w:bookmarkStart w:id="8" w:name="_heading=h.193mh0oeh8j9" w:colFirst="0" w:colLast="0"/>
      <w:bookmarkEnd w:id="8"/>
      <w:r w:rsidRPr="004467D7">
        <w:rPr>
          <w:rFonts w:ascii="Athiti" w:eastAsia="Athiti" w:hAnsi="Athiti" w:cs="Athiti"/>
          <w:lang w:val="cs-CZ"/>
        </w:rPr>
        <w:t>7.2 Školení zaměstnanců a pracovníků</w:t>
      </w:r>
    </w:p>
    <w:p w:rsidR="008C56BD" w:rsidRPr="004467D7" w:rsidRDefault="008C56BD" w:rsidP="008C56BD">
      <w:pPr>
        <w:pStyle w:val="normal"/>
        <w:widowControl w:val="0"/>
        <w:spacing w:before="240" w:after="240"/>
        <w:ind w:left="720"/>
        <w:rPr>
          <w:rFonts w:ascii="Athiti" w:eastAsia="Athiti" w:hAnsi="Athiti" w:cs="Athiti"/>
          <w:lang w:val="cs-CZ"/>
        </w:rPr>
      </w:pPr>
      <w:r w:rsidRPr="004467D7">
        <w:rPr>
          <w:rFonts w:ascii="Athiti" w:eastAsia="Athiti" w:hAnsi="Athiti" w:cs="Athiti"/>
          <w:lang w:val="cs-CZ"/>
        </w:rPr>
        <w:t xml:space="preserve">Za zajištění proškolení všech dotčených osob odpovídá </w:t>
      </w:r>
      <w:r w:rsidRPr="004467D7">
        <w:rPr>
          <w:rFonts w:ascii="Athiti" w:eastAsia="Athiti" w:hAnsi="Athiti" w:cs="Athiti"/>
          <w:b/>
          <w:lang w:val="cs-CZ"/>
        </w:rPr>
        <w:t>Compliance &amp; AML Officer</w:t>
      </w:r>
      <w:r w:rsidRPr="004467D7">
        <w:rPr>
          <w:rFonts w:ascii="Athiti" w:eastAsia="Athiti" w:hAnsi="Athiti" w:cs="Athiti"/>
          <w:lang w:val="cs-CZ"/>
        </w:rPr>
        <w:t>. Školení musí být realizováno:</w:t>
      </w:r>
    </w:p>
    <w:p w:rsidR="008C56BD" w:rsidRPr="004467D7" w:rsidRDefault="008C56BD" w:rsidP="008C56BD">
      <w:pPr>
        <w:pStyle w:val="normal"/>
        <w:widowControl w:val="0"/>
        <w:numPr>
          <w:ilvl w:val="0"/>
          <w:numId w:val="14"/>
        </w:numPr>
        <w:spacing w:before="240" w:after="0"/>
        <w:ind w:firstLine="0"/>
        <w:jc w:val="left"/>
        <w:rPr>
          <w:rFonts w:ascii="Athiti" w:eastAsia="Athiti" w:hAnsi="Athiti" w:cs="Athiti"/>
          <w:lang w:val="cs-CZ"/>
        </w:rPr>
      </w:pPr>
      <w:r w:rsidRPr="004467D7">
        <w:rPr>
          <w:rFonts w:ascii="Athiti" w:eastAsia="Athiti" w:hAnsi="Athiti" w:cs="Athiti"/>
          <w:lang w:val="cs-CZ"/>
        </w:rPr>
        <w:t>Při prvním nástupu zaměstnance nebo pracovníka do společnosti (součást vstupního školení).</w:t>
      </w:r>
    </w:p>
    <w:p w:rsidR="008C56BD" w:rsidRPr="004467D7" w:rsidRDefault="008C56BD" w:rsidP="008C56BD">
      <w:pPr>
        <w:pStyle w:val="normal"/>
        <w:widowControl w:val="0"/>
        <w:numPr>
          <w:ilvl w:val="0"/>
          <w:numId w:val="14"/>
        </w:numPr>
        <w:spacing w:after="0"/>
        <w:ind w:firstLine="0"/>
        <w:jc w:val="left"/>
        <w:rPr>
          <w:rFonts w:ascii="Athiti" w:eastAsia="Athiti" w:hAnsi="Athiti" w:cs="Athiti"/>
          <w:lang w:val="cs-CZ"/>
        </w:rPr>
      </w:pPr>
      <w:r w:rsidRPr="004467D7">
        <w:rPr>
          <w:rFonts w:ascii="Athiti" w:eastAsia="Athiti" w:hAnsi="Athiti" w:cs="Athiti"/>
          <w:lang w:val="cs-CZ"/>
        </w:rPr>
        <w:t>Při každé revizi Zásad, pokud dojde k významným změnám v jejich obsahu.</w:t>
      </w:r>
    </w:p>
    <w:p w:rsidR="008C56BD" w:rsidRPr="004467D7" w:rsidRDefault="008C56BD" w:rsidP="008C56BD">
      <w:pPr>
        <w:pStyle w:val="normal"/>
        <w:widowControl w:val="0"/>
        <w:numPr>
          <w:ilvl w:val="0"/>
          <w:numId w:val="14"/>
        </w:numPr>
        <w:spacing w:after="240"/>
        <w:ind w:firstLine="0"/>
        <w:jc w:val="left"/>
        <w:rPr>
          <w:rFonts w:ascii="Athiti" w:eastAsia="Athiti" w:hAnsi="Athiti" w:cs="Athiti"/>
          <w:lang w:val="cs-CZ"/>
        </w:rPr>
      </w:pPr>
      <w:r w:rsidRPr="004467D7">
        <w:rPr>
          <w:rFonts w:ascii="Athiti" w:eastAsia="Athiti" w:hAnsi="Athiti" w:cs="Athiti"/>
          <w:lang w:val="cs-CZ"/>
        </w:rPr>
        <w:t xml:space="preserve">Minimálně </w:t>
      </w:r>
      <w:r w:rsidRPr="004467D7">
        <w:rPr>
          <w:rFonts w:ascii="Athiti" w:eastAsia="Athiti" w:hAnsi="Athiti" w:cs="Athiti"/>
          <w:b/>
          <w:lang w:val="cs-CZ"/>
        </w:rPr>
        <w:t>jednou ročně</w:t>
      </w:r>
      <w:r w:rsidRPr="004467D7">
        <w:rPr>
          <w:rFonts w:ascii="Athiti" w:eastAsia="Athiti" w:hAnsi="Athiti" w:cs="Athiti"/>
          <w:lang w:val="cs-CZ"/>
        </w:rPr>
        <w:t xml:space="preserve"> jako součást opakovaného školení na udržení povědomí o bezpečnostních pravidlech.</w:t>
      </w:r>
    </w:p>
    <w:p w:rsidR="008C56BD" w:rsidRPr="004467D7" w:rsidRDefault="008C56BD" w:rsidP="008C56BD">
      <w:pPr>
        <w:pStyle w:val="normal"/>
        <w:widowControl w:val="0"/>
        <w:spacing w:before="240" w:after="240"/>
        <w:ind w:left="720"/>
        <w:rPr>
          <w:rFonts w:ascii="Athiti" w:eastAsia="Athiti" w:hAnsi="Athiti" w:cs="Athiti"/>
          <w:lang w:val="cs-CZ"/>
        </w:rPr>
      </w:pPr>
      <w:r w:rsidRPr="004467D7">
        <w:rPr>
          <w:rFonts w:ascii="Athiti" w:eastAsia="Athiti" w:hAnsi="Athiti" w:cs="Athiti"/>
          <w:lang w:val="cs-CZ"/>
        </w:rPr>
        <w:t>Obsah školení bude zahrnovat:</w:t>
      </w:r>
    </w:p>
    <w:p w:rsidR="008C56BD" w:rsidRPr="004467D7" w:rsidRDefault="008C56BD" w:rsidP="008C56BD">
      <w:pPr>
        <w:pStyle w:val="normal"/>
        <w:widowControl w:val="0"/>
        <w:numPr>
          <w:ilvl w:val="0"/>
          <w:numId w:val="9"/>
        </w:numPr>
        <w:spacing w:before="240" w:after="0"/>
        <w:ind w:firstLine="0"/>
        <w:jc w:val="left"/>
        <w:rPr>
          <w:rFonts w:ascii="Athiti" w:eastAsia="Athiti" w:hAnsi="Athiti" w:cs="Athiti"/>
          <w:lang w:val="cs-CZ"/>
        </w:rPr>
      </w:pPr>
      <w:r w:rsidRPr="004467D7">
        <w:rPr>
          <w:rFonts w:ascii="Athiti" w:eastAsia="Athiti" w:hAnsi="Athiti" w:cs="Athiti"/>
          <w:lang w:val="cs-CZ"/>
        </w:rPr>
        <w:t>Přehled cílů a zásad tohoto dokumentu.</w:t>
      </w:r>
    </w:p>
    <w:p w:rsidR="008C56BD" w:rsidRPr="004467D7" w:rsidRDefault="008C56BD" w:rsidP="008C56BD">
      <w:pPr>
        <w:pStyle w:val="normal"/>
        <w:widowControl w:val="0"/>
        <w:numPr>
          <w:ilvl w:val="0"/>
          <w:numId w:val="9"/>
        </w:numPr>
        <w:spacing w:after="0"/>
        <w:ind w:firstLine="0"/>
        <w:jc w:val="left"/>
        <w:rPr>
          <w:rFonts w:ascii="Athiti" w:eastAsia="Athiti" w:hAnsi="Athiti" w:cs="Athiti"/>
          <w:lang w:val="cs-CZ"/>
        </w:rPr>
      </w:pPr>
      <w:r w:rsidRPr="004467D7">
        <w:rPr>
          <w:rFonts w:ascii="Athiti" w:eastAsia="Athiti" w:hAnsi="Athiti" w:cs="Athiti"/>
          <w:lang w:val="cs-CZ"/>
        </w:rPr>
        <w:t>Praktické příklady aplikace zásad v každodenní činnosti.</w:t>
      </w:r>
    </w:p>
    <w:p w:rsidR="008C56BD" w:rsidRPr="004467D7" w:rsidRDefault="008C56BD" w:rsidP="008C56BD">
      <w:pPr>
        <w:pStyle w:val="normal"/>
        <w:widowControl w:val="0"/>
        <w:numPr>
          <w:ilvl w:val="0"/>
          <w:numId w:val="9"/>
        </w:numPr>
        <w:spacing w:after="0"/>
        <w:ind w:firstLine="0"/>
        <w:jc w:val="left"/>
        <w:rPr>
          <w:rFonts w:ascii="Athiti" w:eastAsia="Athiti" w:hAnsi="Athiti" w:cs="Athiti"/>
          <w:lang w:val="cs-CZ"/>
        </w:rPr>
      </w:pPr>
      <w:r w:rsidRPr="004467D7">
        <w:rPr>
          <w:rFonts w:ascii="Athiti" w:eastAsia="Athiti" w:hAnsi="Athiti" w:cs="Athiti"/>
          <w:lang w:val="cs-CZ"/>
        </w:rPr>
        <w:lastRenderedPageBreak/>
        <w:t>Povinnosti jednotlivých zaměstnanců a pracovníků.</w:t>
      </w:r>
    </w:p>
    <w:p w:rsidR="008C56BD" w:rsidRPr="004467D7" w:rsidRDefault="008C56BD" w:rsidP="008C56BD">
      <w:pPr>
        <w:pStyle w:val="normal"/>
        <w:widowControl w:val="0"/>
        <w:numPr>
          <w:ilvl w:val="0"/>
          <w:numId w:val="9"/>
        </w:numPr>
        <w:spacing w:after="240"/>
        <w:ind w:firstLine="0"/>
        <w:jc w:val="left"/>
        <w:rPr>
          <w:rFonts w:ascii="Athiti" w:eastAsia="Athiti" w:hAnsi="Athiti" w:cs="Athiti"/>
          <w:lang w:val="cs-CZ"/>
        </w:rPr>
      </w:pPr>
      <w:r w:rsidRPr="004467D7">
        <w:rPr>
          <w:rFonts w:ascii="Athiti" w:eastAsia="Athiti" w:hAnsi="Athiti" w:cs="Athiti"/>
          <w:lang w:val="cs-CZ"/>
        </w:rPr>
        <w:t>Postupy při porušení zásad nebo hlášení incidentů.</w:t>
      </w:r>
    </w:p>
    <w:p w:rsidR="008C56BD" w:rsidRPr="004467D7" w:rsidRDefault="008C56BD" w:rsidP="008C56BD">
      <w:pPr>
        <w:pStyle w:val="normal"/>
        <w:widowControl w:val="0"/>
        <w:spacing w:before="240" w:after="240"/>
        <w:ind w:left="720"/>
        <w:rPr>
          <w:rFonts w:ascii="Athiti" w:eastAsia="Athiti" w:hAnsi="Athiti" w:cs="Athiti"/>
          <w:lang w:val="cs-CZ"/>
        </w:rPr>
      </w:pPr>
      <w:r w:rsidRPr="004467D7">
        <w:rPr>
          <w:rFonts w:ascii="Athiti" w:eastAsia="Athiti" w:hAnsi="Athiti" w:cs="Athiti"/>
          <w:lang w:val="cs-CZ"/>
        </w:rPr>
        <w:t>Proškolení bude dokumentováno prostřednictvím prezenčních listin, záznamů v interním systému nebo jiným průkazným způsobem, který umožní doložit účast jednotlivých osob.</w:t>
      </w:r>
    </w:p>
    <w:p w:rsidR="008C56BD" w:rsidRPr="004467D7" w:rsidRDefault="008C56BD" w:rsidP="008C56BD">
      <w:pPr>
        <w:pStyle w:val="Nadpis4"/>
        <w:keepNext w:val="0"/>
        <w:keepLines w:val="0"/>
        <w:widowControl w:val="0"/>
        <w:ind w:left="720"/>
        <w:rPr>
          <w:rFonts w:ascii="Athiti" w:eastAsia="Athiti" w:hAnsi="Athiti" w:cs="Athiti"/>
          <w:lang w:val="cs-CZ"/>
        </w:rPr>
      </w:pPr>
      <w:bookmarkStart w:id="9" w:name="_heading=h.pxzwqb3vx92w" w:colFirst="0" w:colLast="0"/>
      <w:bookmarkEnd w:id="9"/>
      <w:r w:rsidRPr="004467D7">
        <w:rPr>
          <w:rFonts w:ascii="Athiti" w:eastAsia="Athiti" w:hAnsi="Athiti" w:cs="Athiti"/>
          <w:lang w:val="cs-CZ"/>
        </w:rPr>
        <w:t>7.3 Revize a aktualizace Zásad</w:t>
      </w:r>
    </w:p>
    <w:p w:rsidR="008C56BD" w:rsidRPr="004467D7" w:rsidRDefault="008C56BD" w:rsidP="008C56BD">
      <w:pPr>
        <w:pStyle w:val="normal"/>
        <w:widowControl w:val="0"/>
        <w:spacing w:before="240" w:after="240"/>
        <w:ind w:left="720"/>
        <w:rPr>
          <w:rFonts w:ascii="Athiti" w:eastAsia="Athiti" w:hAnsi="Athiti" w:cs="Athiti"/>
          <w:lang w:val="cs-CZ"/>
        </w:rPr>
      </w:pPr>
      <w:r w:rsidRPr="004467D7">
        <w:rPr>
          <w:rFonts w:ascii="Athiti" w:eastAsia="Athiti" w:hAnsi="Athiti" w:cs="Athiti"/>
          <w:lang w:val="cs-CZ"/>
        </w:rPr>
        <w:t>Tyto Zásady podléhají pravidelné revizi, která probíhá:</w:t>
      </w:r>
    </w:p>
    <w:p w:rsidR="008C56BD" w:rsidRPr="004467D7" w:rsidRDefault="008C56BD" w:rsidP="008C56BD">
      <w:pPr>
        <w:pStyle w:val="normal"/>
        <w:widowControl w:val="0"/>
        <w:numPr>
          <w:ilvl w:val="0"/>
          <w:numId w:val="1"/>
        </w:numPr>
        <w:spacing w:before="240" w:after="0"/>
        <w:ind w:firstLine="0"/>
        <w:jc w:val="left"/>
        <w:rPr>
          <w:rFonts w:ascii="Athiti" w:eastAsia="Athiti" w:hAnsi="Athiti" w:cs="Athiti"/>
          <w:lang w:val="cs-CZ"/>
        </w:rPr>
      </w:pPr>
      <w:r w:rsidRPr="004467D7">
        <w:rPr>
          <w:rFonts w:ascii="Athiti" w:eastAsia="Athiti" w:hAnsi="Athiti" w:cs="Athiti"/>
          <w:lang w:val="cs-CZ"/>
        </w:rPr>
        <w:t>Minimálně jednou ročně v rámci pravidelného cyklu přezkumu.</w:t>
      </w:r>
    </w:p>
    <w:p w:rsidR="008C56BD" w:rsidRPr="004467D7" w:rsidRDefault="008C56BD" w:rsidP="008C56BD">
      <w:pPr>
        <w:pStyle w:val="normal"/>
        <w:widowControl w:val="0"/>
        <w:numPr>
          <w:ilvl w:val="0"/>
          <w:numId w:val="1"/>
        </w:numPr>
        <w:spacing w:after="0"/>
        <w:ind w:firstLine="0"/>
        <w:jc w:val="left"/>
        <w:rPr>
          <w:rFonts w:ascii="Athiti" w:eastAsia="Athiti" w:hAnsi="Athiti" w:cs="Athiti"/>
          <w:lang w:val="cs-CZ"/>
        </w:rPr>
      </w:pPr>
      <w:r w:rsidRPr="004467D7">
        <w:rPr>
          <w:rFonts w:ascii="Athiti" w:eastAsia="Athiti" w:hAnsi="Athiti" w:cs="Athiti"/>
          <w:lang w:val="cs-CZ"/>
        </w:rPr>
        <w:t>Bezprostředně při změnách relevantních právních předpisů, zejména nařízení MiCA a jeho prováděcích předpisů.</w:t>
      </w:r>
    </w:p>
    <w:p w:rsidR="008C56BD" w:rsidRPr="004467D7" w:rsidRDefault="008C56BD" w:rsidP="008C56BD">
      <w:pPr>
        <w:pStyle w:val="normal"/>
        <w:widowControl w:val="0"/>
        <w:numPr>
          <w:ilvl w:val="0"/>
          <w:numId w:val="1"/>
        </w:numPr>
        <w:spacing w:after="0"/>
        <w:ind w:firstLine="0"/>
        <w:jc w:val="left"/>
        <w:rPr>
          <w:rFonts w:ascii="Athiti" w:eastAsia="Athiti" w:hAnsi="Athiti" w:cs="Athiti"/>
          <w:lang w:val="cs-CZ"/>
        </w:rPr>
      </w:pPr>
      <w:r w:rsidRPr="004467D7">
        <w:rPr>
          <w:rFonts w:ascii="Athiti" w:eastAsia="Athiti" w:hAnsi="Athiti" w:cs="Athiti"/>
          <w:lang w:val="cs-CZ"/>
        </w:rPr>
        <w:t>Při vydání nebo aktualizaci obecných pokynů, doporučení a RTS ze strany ESMA, EBA nebo jiných příslušných orgánů.</w:t>
      </w:r>
    </w:p>
    <w:p w:rsidR="008C56BD" w:rsidRPr="004467D7" w:rsidRDefault="008C56BD" w:rsidP="008C56BD">
      <w:pPr>
        <w:pStyle w:val="normal"/>
        <w:widowControl w:val="0"/>
        <w:numPr>
          <w:ilvl w:val="0"/>
          <w:numId w:val="1"/>
        </w:numPr>
        <w:spacing w:after="240"/>
        <w:ind w:firstLine="0"/>
        <w:jc w:val="left"/>
        <w:rPr>
          <w:rFonts w:ascii="Athiti" w:eastAsia="Athiti" w:hAnsi="Athiti" w:cs="Athiti"/>
          <w:lang w:val="cs-CZ"/>
        </w:rPr>
      </w:pPr>
      <w:r w:rsidRPr="004467D7">
        <w:rPr>
          <w:rFonts w:ascii="Athiti" w:eastAsia="Athiti" w:hAnsi="Athiti" w:cs="Athiti"/>
          <w:lang w:val="cs-CZ"/>
        </w:rPr>
        <w:t>Po identifikaci nedostatků nebo incidentu, který odhalí slabinu v dosavadních postupech.</w:t>
      </w:r>
    </w:p>
    <w:p w:rsidR="008C56BD" w:rsidRPr="004467D7" w:rsidRDefault="008C56BD" w:rsidP="008C56BD">
      <w:pPr>
        <w:pStyle w:val="normal"/>
        <w:widowControl w:val="0"/>
        <w:spacing w:before="240" w:after="240"/>
        <w:ind w:left="720"/>
        <w:rPr>
          <w:rFonts w:ascii="Athiti" w:eastAsia="Athiti" w:hAnsi="Athiti" w:cs="Athiti"/>
          <w:lang w:val="cs-CZ"/>
        </w:rPr>
      </w:pPr>
      <w:r w:rsidRPr="004467D7">
        <w:rPr>
          <w:rFonts w:ascii="Athiti" w:eastAsia="Athiti" w:hAnsi="Athiti" w:cs="Athiti"/>
          <w:lang w:val="cs-CZ"/>
        </w:rPr>
        <w:t xml:space="preserve">Za revizi a aktuálnost těchto Zásad odpovídá </w:t>
      </w:r>
      <w:r w:rsidRPr="004467D7">
        <w:rPr>
          <w:rFonts w:ascii="Athiti" w:eastAsia="Athiti" w:hAnsi="Athiti" w:cs="Athiti"/>
          <w:b/>
          <w:lang w:val="cs-CZ"/>
        </w:rPr>
        <w:t>Compliance &amp; AML Officer</w:t>
      </w:r>
      <w:r w:rsidRPr="004467D7">
        <w:rPr>
          <w:rFonts w:ascii="Athiti" w:eastAsia="Athiti" w:hAnsi="Athiti" w:cs="Athiti"/>
          <w:lang w:val="cs-CZ"/>
        </w:rPr>
        <w:t>, který zajišťuje:</w:t>
      </w:r>
    </w:p>
    <w:p w:rsidR="008C56BD" w:rsidRPr="004467D7" w:rsidRDefault="008C56BD" w:rsidP="008C56BD">
      <w:pPr>
        <w:pStyle w:val="normal"/>
        <w:widowControl w:val="0"/>
        <w:numPr>
          <w:ilvl w:val="0"/>
          <w:numId w:val="2"/>
        </w:numPr>
        <w:spacing w:before="240" w:after="0"/>
        <w:ind w:firstLine="0"/>
        <w:jc w:val="left"/>
        <w:rPr>
          <w:rFonts w:ascii="Athiti" w:eastAsia="Athiti" w:hAnsi="Athiti" w:cs="Athiti"/>
          <w:lang w:val="cs-CZ"/>
        </w:rPr>
      </w:pPr>
      <w:r w:rsidRPr="004467D7">
        <w:rPr>
          <w:rFonts w:ascii="Athiti" w:eastAsia="Athiti" w:hAnsi="Athiti" w:cs="Athiti"/>
          <w:lang w:val="cs-CZ"/>
        </w:rPr>
        <w:t>Vyhodnocení aktuálnosti dokumentu a jeho souladu s právními předpisy.</w:t>
      </w:r>
    </w:p>
    <w:p w:rsidR="008C56BD" w:rsidRPr="004467D7" w:rsidRDefault="008C56BD" w:rsidP="008C56BD">
      <w:pPr>
        <w:pStyle w:val="normal"/>
        <w:widowControl w:val="0"/>
        <w:numPr>
          <w:ilvl w:val="0"/>
          <w:numId w:val="2"/>
        </w:numPr>
        <w:spacing w:after="0"/>
        <w:ind w:firstLine="0"/>
        <w:jc w:val="left"/>
        <w:rPr>
          <w:rFonts w:ascii="Athiti" w:eastAsia="Athiti" w:hAnsi="Athiti" w:cs="Athiti"/>
          <w:lang w:val="cs-CZ"/>
        </w:rPr>
      </w:pPr>
      <w:r w:rsidRPr="004467D7">
        <w:rPr>
          <w:rFonts w:ascii="Athiti" w:eastAsia="Athiti" w:hAnsi="Athiti" w:cs="Athiti"/>
          <w:lang w:val="cs-CZ"/>
        </w:rPr>
        <w:t>Přípravu návrhu změn a aktualizací.</w:t>
      </w:r>
    </w:p>
    <w:p w:rsidR="008C56BD" w:rsidRPr="004467D7" w:rsidRDefault="008C56BD" w:rsidP="008C56BD">
      <w:pPr>
        <w:pStyle w:val="normal"/>
        <w:widowControl w:val="0"/>
        <w:numPr>
          <w:ilvl w:val="0"/>
          <w:numId w:val="2"/>
        </w:numPr>
        <w:spacing w:after="0"/>
        <w:ind w:firstLine="0"/>
        <w:jc w:val="left"/>
        <w:rPr>
          <w:rFonts w:ascii="Athiti" w:eastAsia="Athiti" w:hAnsi="Athiti" w:cs="Athiti"/>
          <w:lang w:val="cs-CZ"/>
        </w:rPr>
      </w:pPr>
      <w:r w:rsidRPr="004467D7">
        <w:rPr>
          <w:rFonts w:ascii="Athiti" w:eastAsia="Athiti" w:hAnsi="Athiti" w:cs="Athiti"/>
          <w:lang w:val="cs-CZ"/>
        </w:rPr>
        <w:t>Předložení návrhu k projednání a schválení vedením společnosti.</w:t>
      </w:r>
      <w:r w:rsidRPr="004467D7">
        <w:rPr>
          <w:rFonts w:ascii="Athiti" w:eastAsia="Athiti" w:hAnsi="Athiti" w:cs="Athiti"/>
          <w:lang w:val="cs-CZ"/>
        </w:rPr>
        <w:br/>
      </w:r>
    </w:p>
    <w:p w:rsidR="008C56BD" w:rsidRPr="004467D7" w:rsidRDefault="008C56BD" w:rsidP="008C56BD">
      <w:pPr>
        <w:pStyle w:val="normal"/>
        <w:widowControl w:val="0"/>
        <w:numPr>
          <w:ilvl w:val="0"/>
          <w:numId w:val="2"/>
        </w:numPr>
        <w:spacing w:after="240"/>
        <w:ind w:firstLine="0"/>
        <w:jc w:val="left"/>
        <w:rPr>
          <w:rFonts w:ascii="Athiti" w:eastAsia="Athiti" w:hAnsi="Athiti" w:cs="Athiti"/>
          <w:lang w:val="cs-CZ"/>
        </w:rPr>
      </w:pPr>
      <w:r w:rsidRPr="004467D7">
        <w:rPr>
          <w:rFonts w:ascii="Athiti" w:eastAsia="Athiti" w:hAnsi="Athiti" w:cs="Athiti"/>
          <w:lang w:val="cs-CZ"/>
        </w:rPr>
        <w:t xml:space="preserve">Informování všech dotčených osob o změnách a zajištění aktualizace ve složce </w:t>
      </w:r>
      <w:r w:rsidRPr="004467D7">
        <w:rPr>
          <w:rFonts w:ascii="Athiti" w:eastAsia="Athiti" w:hAnsi="Athiti" w:cs="Athiti"/>
          <w:b/>
          <w:lang w:val="cs-CZ"/>
        </w:rPr>
        <w:t>„Zásady a postupy společnosti“</w:t>
      </w:r>
      <w:r w:rsidRPr="004467D7">
        <w:rPr>
          <w:rFonts w:ascii="Athiti" w:eastAsia="Athiti" w:hAnsi="Athiti" w:cs="Athiti"/>
          <w:lang w:val="cs-CZ"/>
        </w:rPr>
        <w:t>.</w:t>
      </w:r>
    </w:p>
    <w:p w:rsidR="008C56BD" w:rsidRPr="004467D7" w:rsidRDefault="008C56BD" w:rsidP="008C56BD">
      <w:pPr>
        <w:pStyle w:val="Nadpis4"/>
        <w:keepNext w:val="0"/>
        <w:keepLines w:val="0"/>
        <w:widowControl w:val="0"/>
        <w:ind w:left="720"/>
        <w:rPr>
          <w:rFonts w:ascii="Athiti" w:eastAsia="Athiti" w:hAnsi="Athiti" w:cs="Athiti"/>
          <w:lang w:val="cs-CZ"/>
        </w:rPr>
      </w:pPr>
      <w:bookmarkStart w:id="10" w:name="_heading=h.asls2zbb5u7x" w:colFirst="0" w:colLast="0"/>
      <w:bookmarkEnd w:id="10"/>
      <w:r w:rsidRPr="004467D7">
        <w:rPr>
          <w:rFonts w:ascii="Athiti" w:eastAsia="Athiti" w:hAnsi="Athiti" w:cs="Athiti"/>
          <w:lang w:val="cs-CZ"/>
        </w:rPr>
        <w:t>7.4 Účinnost</w:t>
      </w:r>
    </w:p>
    <w:p w:rsidR="008C56BD" w:rsidRPr="004467D7" w:rsidRDefault="008C56BD" w:rsidP="008C56BD">
      <w:pPr>
        <w:pStyle w:val="normal"/>
        <w:widowControl w:val="0"/>
        <w:spacing w:before="240" w:after="240"/>
        <w:ind w:left="720"/>
        <w:rPr>
          <w:rFonts w:ascii="Athiti" w:eastAsia="Athiti" w:hAnsi="Athiti" w:cs="Athiti"/>
          <w:lang w:val="cs-CZ"/>
        </w:rPr>
      </w:pPr>
      <w:r w:rsidRPr="004467D7">
        <w:rPr>
          <w:rFonts w:ascii="Athiti" w:eastAsia="Athiti" w:hAnsi="Athiti" w:cs="Athiti"/>
          <w:lang w:val="cs-CZ"/>
        </w:rPr>
        <w:t xml:space="preserve">Tyto Zásady nabývají </w:t>
      </w:r>
      <w:r w:rsidRPr="004467D7">
        <w:rPr>
          <w:rFonts w:ascii="Athiti" w:eastAsia="Athiti" w:hAnsi="Athiti" w:cs="Athiti"/>
          <w:b/>
          <w:lang w:val="cs-CZ"/>
        </w:rPr>
        <w:t>platnosti a účinnosti ke dni jejich schválení vedením společnosti</w:t>
      </w:r>
      <w:r w:rsidRPr="004467D7">
        <w:rPr>
          <w:rFonts w:ascii="Athiti" w:eastAsia="Athiti" w:hAnsi="Athiti" w:cs="Athiti"/>
          <w:lang w:val="cs-CZ"/>
        </w:rPr>
        <w:t>. Datum schválení a účinnosti je uvedeno v záhlaví dokumentu.</w:t>
      </w:r>
    </w:p>
    <w:p w:rsidR="00B06DB5" w:rsidRPr="004467D7" w:rsidRDefault="00B06DB5">
      <w:pPr>
        <w:rPr>
          <w:lang w:val="cs-CZ"/>
        </w:rPr>
      </w:pPr>
    </w:p>
    <w:sectPr w:rsidR="00B06DB5" w:rsidRPr="004467D7" w:rsidSect="004355CD">
      <w:headerReference w:type="default" r:id="rId7"/>
      <w:footerReference w:type="default" r:id="rId8"/>
      <w:headerReference w:type="first" r:id="rId9"/>
      <w:pgSz w:w="11906" w:h="16838"/>
      <w:pgMar w:top="1134" w:right="1134" w:bottom="1134" w:left="1134" w:header="709" w:footer="709"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09A" w:rsidRDefault="006E709A" w:rsidP="00BF730E">
      <w:pPr>
        <w:spacing w:after="0" w:line="240" w:lineRule="auto"/>
      </w:pPr>
      <w:r>
        <w:separator/>
      </w:r>
    </w:p>
  </w:endnote>
  <w:endnote w:type="continuationSeparator" w:id="1">
    <w:p w:rsidR="006E709A" w:rsidRDefault="006E709A" w:rsidP="00BF73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thiti">
    <w:altName w:val="Times New Roman"/>
    <w:charset w:val="00"/>
    <w:family w:val="auto"/>
    <w:pitch w:val="default"/>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5CD" w:rsidRDefault="008C56BD">
    <w:pPr>
      <w:pStyle w:val="normal"/>
      <w:tabs>
        <w:tab w:val="center" w:pos="4677"/>
        <w:tab w:val="right" w:pos="9355"/>
      </w:tabs>
      <w:spacing w:after="0" w:line="240" w:lineRule="auto"/>
      <w:jc w:val="center"/>
    </w:pPr>
    <w:r>
      <w:rPr>
        <w:noProof/>
      </w:rPr>
      <w:drawing>
        <wp:inline distT="0" distB="0" distL="0" distR="0">
          <wp:extent cx="5505450" cy="83185"/>
          <wp:effectExtent l="0" t="0" r="0" b="0"/>
          <wp:docPr id="10" name="image1.png" descr="Light horizontal"/>
          <wp:cNvGraphicFramePr/>
          <a:graphic xmlns:a="http://schemas.openxmlformats.org/drawingml/2006/main">
            <a:graphicData uri="http://schemas.openxmlformats.org/drawingml/2006/picture">
              <pic:pic xmlns:pic="http://schemas.openxmlformats.org/drawingml/2006/picture">
                <pic:nvPicPr>
                  <pic:cNvPr id="0" name="image1.png" descr="Light horizontal"/>
                  <pic:cNvPicPr preferRelativeResize="0"/>
                </pic:nvPicPr>
                <pic:blipFill>
                  <a:blip r:embed="rId1"/>
                  <a:srcRect/>
                  <a:stretch>
                    <a:fillRect/>
                  </a:stretch>
                </pic:blipFill>
                <pic:spPr>
                  <a:xfrm>
                    <a:off x="0" y="0"/>
                    <a:ext cx="5505450" cy="83185"/>
                  </a:xfrm>
                  <a:prstGeom prst="rect">
                    <a:avLst/>
                  </a:prstGeom>
                  <a:ln/>
                </pic:spPr>
              </pic:pic>
            </a:graphicData>
          </a:graphic>
        </wp:inline>
      </w:drawing>
    </w:r>
  </w:p>
  <w:p w:rsidR="004355CD" w:rsidRDefault="00C315B3">
    <w:pPr>
      <w:pStyle w:val="normal"/>
      <w:tabs>
        <w:tab w:val="center" w:pos="4677"/>
        <w:tab w:val="right" w:pos="9355"/>
      </w:tabs>
      <w:spacing w:after="0" w:line="240" w:lineRule="auto"/>
      <w:jc w:val="center"/>
      <w:rPr>
        <w:rFonts w:ascii="Athiti" w:eastAsia="Athiti" w:hAnsi="Athiti" w:cs="Athiti"/>
      </w:rPr>
    </w:pPr>
    <w:r>
      <w:rPr>
        <w:rFonts w:ascii="Athiti" w:eastAsia="Athiti" w:hAnsi="Athiti" w:cs="Athiti"/>
      </w:rPr>
      <w:fldChar w:fldCharType="begin"/>
    </w:r>
    <w:r w:rsidR="008C56BD">
      <w:rPr>
        <w:rFonts w:ascii="Athiti" w:eastAsia="Athiti" w:hAnsi="Athiti" w:cs="Athiti"/>
      </w:rPr>
      <w:instrText>PAGE</w:instrText>
    </w:r>
    <w:r>
      <w:rPr>
        <w:rFonts w:ascii="Athiti" w:eastAsia="Athiti" w:hAnsi="Athiti" w:cs="Athiti"/>
      </w:rPr>
      <w:fldChar w:fldCharType="separate"/>
    </w:r>
    <w:r w:rsidR="00A73D00">
      <w:rPr>
        <w:rFonts w:ascii="Athiti" w:eastAsia="Athiti" w:hAnsi="Athiti" w:cs="Athiti"/>
        <w:noProof/>
      </w:rPr>
      <w:t>9</w:t>
    </w:r>
    <w:r>
      <w:rPr>
        <w:rFonts w:ascii="Athiti" w:eastAsia="Athiti" w:hAnsi="Athiti" w:cs="Athiti"/>
      </w:rPr>
      <w:fldChar w:fldCharType="end"/>
    </w:r>
  </w:p>
  <w:p w:rsidR="004355CD" w:rsidRDefault="006E709A">
    <w:pPr>
      <w:pStyle w:val="normal"/>
      <w:tabs>
        <w:tab w:val="center" w:pos="4677"/>
        <w:tab w:val="right" w:pos="9355"/>
      </w:tabs>
      <w:spacing w:after="0"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09A" w:rsidRDefault="006E709A" w:rsidP="00BF730E">
      <w:pPr>
        <w:spacing w:after="0" w:line="240" w:lineRule="auto"/>
      </w:pPr>
      <w:r>
        <w:separator/>
      </w:r>
    </w:p>
  </w:footnote>
  <w:footnote w:type="continuationSeparator" w:id="1">
    <w:p w:rsidR="006E709A" w:rsidRDefault="006E709A" w:rsidP="00BF73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5CD" w:rsidRDefault="008C56BD">
    <w:pPr>
      <w:pStyle w:val="normal"/>
    </w:pPr>
    <w:r>
      <w:rPr>
        <w:noProof/>
      </w:rPr>
      <w:drawing>
        <wp:anchor distT="0" distB="0" distL="114300" distR="114300" simplePos="0" relativeHeight="251659264" behindDoc="0" locked="0" layoutInCell="1" allowOverlap="1">
          <wp:simplePos x="0" y="0"/>
          <wp:positionH relativeFrom="page">
            <wp:posOffset>-14283</wp:posOffset>
          </wp:positionH>
          <wp:positionV relativeFrom="page">
            <wp:posOffset>-14283</wp:posOffset>
          </wp:positionV>
          <wp:extent cx="118575" cy="10756575"/>
          <wp:effectExtent l="0" t="0" r="0" b="0"/>
          <wp:wrapSquare wrapText="bothSides" distT="0" distB="0" distL="114300" distR="11430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18575" cy="10756575"/>
                  </a:xfrm>
                  <a:prstGeom prst="rect">
                    <a:avLst/>
                  </a:prstGeom>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5CD" w:rsidRDefault="008C56BD">
    <w:pPr>
      <w:pStyle w:val="normal"/>
    </w:pPr>
    <w:r>
      <w:rPr>
        <w:noProof/>
      </w:rPr>
      <w:drawing>
        <wp:anchor distT="0" distB="0" distL="114300" distR="114300" simplePos="0" relativeHeight="251660288" behindDoc="0" locked="0" layoutInCell="1" allowOverlap="1">
          <wp:simplePos x="0" y="0"/>
          <wp:positionH relativeFrom="page">
            <wp:posOffset>-14283</wp:posOffset>
          </wp:positionH>
          <wp:positionV relativeFrom="page">
            <wp:posOffset>-14283</wp:posOffset>
          </wp:positionV>
          <wp:extent cx="118575" cy="10756575"/>
          <wp:effectExtent l="0" t="0" r="0" b="0"/>
          <wp:wrapNone/>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8575" cy="10756575"/>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7021A"/>
    <w:multiLevelType w:val="multilevel"/>
    <w:tmpl w:val="AF2CD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4250426"/>
    <w:multiLevelType w:val="multilevel"/>
    <w:tmpl w:val="961C1B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4996C09"/>
    <w:multiLevelType w:val="multilevel"/>
    <w:tmpl w:val="D0DC1916"/>
    <w:lvl w:ilvl="0">
      <w:start w:val="1"/>
      <w:numFmt w:val="decimal"/>
      <w:lvlText w:val="%1."/>
      <w:lvlJc w:val="left"/>
      <w:pPr>
        <w:ind w:left="720" w:hanging="360"/>
      </w:pPr>
      <w:rPr>
        <w:rFonts w:ascii="Athiti" w:eastAsia="Athiti" w:hAnsi="Athiti" w:cs="Athiti"/>
        <w:b w:val="0"/>
        <w:u w:val="none"/>
      </w:rPr>
    </w:lvl>
    <w:lvl w:ilvl="1">
      <w:start w:val="1"/>
      <w:numFmt w:val="decimal"/>
      <w:lvlText w:val="%2."/>
      <w:lvlJc w:val="left"/>
      <w:pPr>
        <w:ind w:left="1080" w:hanging="360"/>
      </w:pPr>
      <w:rPr>
        <w:u w:val="none"/>
      </w:rPr>
    </w:lvl>
    <w:lvl w:ilvl="2">
      <w:start w:val="1"/>
      <w:numFmt w:val="decimal"/>
      <w:lvlText w:val="%3."/>
      <w:lvlJc w:val="left"/>
      <w:pPr>
        <w:ind w:left="1440" w:hanging="360"/>
      </w:pPr>
      <w:rPr>
        <w:u w:val="none"/>
      </w:rPr>
    </w:lvl>
    <w:lvl w:ilvl="3">
      <w:start w:val="1"/>
      <w:numFmt w:val="decimal"/>
      <w:lvlText w:val="%4."/>
      <w:lvlJc w:val="left"/>
      <w:pPr>
        <w:ind w:left="1800" w:hanging="360"/>
      </w:pPr>
      <w:rPr>
        <w:u w:val="none"/>
      </w:rPr>
    </w:lvl>
    <w:lvl w:ilvl="4">
      <w:start w:val="1"/>
      <w:numFmt w:val="decimal"/>
      <w:lvlText w:val="%5."/>
      <w:lvlJc w:val="left"/>
      <w:pPr>
        <w:ind w:left="2160" w:hanging="360"/>
      </w:pPr>
      <w:rPr>
        <w:u w:val="none"/>
      </w:rPr>
    </w:lvl>
    <w:lvl w:ilvl="5">
      <w:start w:val="1"/>
      <w:numFmt w:val="decimal"/>
      <w:lvlText w:val="%6."/>
      <w:lvlJc w:val="left"/>
      <w:pPr>
        <w:ind w:left="2520" w:hanging="360"/>
      </w:pPr>
      <w:rPr>
        <w:u w:val="none"/>
      </w:rPr>
    </w:lvl>
    <w:lvl w:ilvl="6">
      <w:start w:val="1"/>
      <w:numFmt w:val="decimal"/>
      <w:lvlText w:val="%7."/>
      <w:lvlJc w:val="left"/>
      <w:pPr>
        <w:ind w:left="2880" w:hanging="360"/>
      </w:pPr>
      <w:rPr>
        <w:u w:val="none"/>
      </w:rPr>
    </w:lvl>
    <w:lvl w:ilvl="7">
      <w:start w:val="1"/>
      <w:numFmt w:val="decimal"/>
      <w:lvlText w:val="%8."/>
      <w:lvlJc w:val="left"/>
      <w:pPr>
        <w:ind w:left="3240" w:hanging="360"/>
      </w:pPr>
      <w:rPr>
        <w:u w:val="none"/>
      </w:rPr>
    </w:lvl>
    <w:lvl w:ilvl="8">
      <w:start w:val="1"/>
      <w:numFmt w:val="decimal"/>
      <w:lvlText w:val="%9."/>
      <w:lvlJc w:val="left"/>
      <w:pPr>
        <w:ind w:left="3600" w:hanging="360"/>
      </w:pPr>
      <w:rPr>
        <w:u w:val="none"/>
      </w:rPr>
    </w:lvl>
  </w:abstractNum>
  <w:abstractNum w:abstractNumId="3">
    <w:nsid w:val="16C12417"/>
    <w:multiLevelType w:val="multilevel"/>
    <w:tmpl w:val="617AF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FB67B3C"/>
    <w:multiLevelType w:val="multilevel"/>
    <w:tmpl w:val="DED655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18600D4"/>
    <w:multiLevelType w:val="multilevel"/>
    <w:tmpl w:val="C57CD0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57675811"/>
    <w:multiLevelType w:val="multilevel"/>
    <w:tmpl w:val="927C40F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5A540346"/>
    <w:multiLevelType w:val="multilevel"/>
    <w:tmpl w:val="E02C7F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65745895"/>
    <w:multiLevelType w:val="multilevel"/>
    <w:tmpl w:val="4B906C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6CD60BD7"/>
    <w:multiLevelType w:val="multilevel"/>
    <w:tmpl w:val="DC3A4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6D5D547E"/>
    <w:multiLevelType w:val="multilevel"/>
    <w:tmpl w:val="68B69E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70763B49"/>
    <w:multiLevelType w:val="multilevel"/>
    <w:tmpl w:val="48C65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71202CB0"/>
    <w:multiLevelType w:val="multilevel"/>
    <w:tmpl w:val="0ECCF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725B68A0"/>
    <w:multiLevelType w:val="multilevel"/>
    <w:tmpl w:val="3C5031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72C11F3C"/>
    <w:multiLevelType w:val="multilevel"/>
    <w:tmpl w:val="0B4819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7A1306DA"/>
    <w:multiLevelType w:val="multilevel"/>
    <w:tmpl w:val="1250F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1"/>
  </w:num>
  <w:num w:numId="3">
    <w:abstractNumId w:val="2"/>
  </w:num>
  <w:num w:numId="4">
    <w:abstractNumId w:val="9"/>
  </w:num>
  <w:num w:numId="5">
    <w:abstractNumId w:val="5"/>
  </w:num>
  <w:num w:numId="6">
    <w:abstractNumId w:val="6"/>
  </w:num>
  <w:num w:numId="7">
    <w:abstractNumId w:val="11"/>
  </w:num>
  <w:num w:numId="8">
    <w:abstractNumId w:val="10"/>
  </w:num>
  <w:num w:numId="9">
    <w:abstractNumId w:val="12"/>
  </w:num>
  <w:num w:numId="10">
    <w:abstractNumId w:val="15"/>
  </w:num>
  <w:num w:numId="11">
    <w:abstractNumId w:val="13"/>
  </w:num>
  <w:num w:numId="12">
    <w:abstractNumId w:val="0"/>
  </w:num>
  <w:num w:numId="13">
    <w:abstractNumId w:val="8"/>
  </w:num>
  <w:num w:numId="14">
    <w:abstractNumId w:val="3"/>
  </w:num>
  <w:num w:numId="15">
    <w:abstractNumId w:val="14"/>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8C56BD"/>
    <w:rsid w:val="000A0EF9"/>
    <w:rsid w:val="001F0902"/>
    <w:rsid w:val="00267770"/>
    <w:rsid w:val="004467D7"/>
    <w:rsid w:val="005811F2"/>
    <w:rsid w:val="006E709A"/>
    <w:rsid w:val="008C56BD"/>
    <w:rsid w:val="009D0A5F"/>
    <w:rsid w:val="00A73D00"/>
    <w:rsid w:val="00B01FD2"/>
    <w:rsid w:val="00B06DB5"/>
    <w:rsid w:val="00BF730E"/>
    <w:rsid w:val="00C30C9A"/>
    <w:rsid w:val="00C315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56BD"/>
    <w:pPr>
      <w:spacing w:after="160"/>
      <w:jc w:val="both"/>
    </w:pPr>
    <w:rPr>
      <w:rFonts w:ascii="Times New Roman" w:eastAsia="Times New Roman" w:hAnsi="Times New Roman" w:cs="Times New Roman"/>
      <w:sz w:val="24"/>
      <w:szCs w:val="24"/>
    </w:rPr>
  </w:style>
  <w:style w:type="paragraph" w:styleId="Nadpis1">
    <w:name w:val="heading 1"/>
    <w:basedOn w:val="normal"/>
    <w:next w:val="normal"/>
    <w:link w:val="Nadpis1Char"/>
    <w:rsid w:val="008C56BD"/>
    <w:pPr>
      <w:keepNext/>
      <w:keepLines/>
      <w:spacing w:before="360" w:after="240"/>
      <w:outlineLvl w:val="0"/>
    </w:pPr>
    <w:rPr>
      <w:rFonts w:ascii="Calibri" w:eastAsia="Calibri" w:hAnsi="Calibri" w:cs="Calibri"/>
      <w:b/>
      <w:sz w:val="36"/>
      <w:szCs w:val="36"/>
    </w:rPr>
  </w:style>
  <w:style w:type="paragraph" w:styleId="Nadpis3">
    <w:name w:val="heading 3"/>
    <w:basedOn w:val="normal"/>
    <w:next w:val="normal"/>
    <w:link w:val="Nadpis3Char"/>
    <w:rsid w:val="008C56BD"/>
    <w:pPr>
      <w:keepNext/>
      <w:keepLines/>
      <w:spacing w:before="40" w:after="200"/>
      <w:outlineLvl w:val="2"/>
    </w:pPr>
    <w:rPr>
      <w:rFonts w:ascii="Calibri" w:eastAsia="Calibri" w:hAnsi="Calibri" w:cs="Calibri"/>
    </w:rPr>
  </w:style>
  <w:style w:type="paragraph" w:styleId="Nadpis4">
    <w:name w:val="heading 4"/>
    <w:basedOn w:val="normal"/>
    <w:next w:val="normal"/>
    <w:link w:val="Nadpis4Char"/>
    <w:rsid w:val="008C56BD"/>
    <w:pPr>
      <w:keepNext/>
      <w:keepLines/>
      <w:spacing w:before="240" w:after="40"/>
      <w:outlineLvl w:val="3"/>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C56BD"/>
    <w:rPr>
      <w:rFonts w:ascii="Calibri" w:eastAsia="Calibri" w:hAnsi="Calibri" w:cs="Calibri"/>
      <w:b/>
      <w:sz w:val="36"/>
      <w:szCs w:val="36"/>
    </w:rPr>
  </w:style>
  <w:style w:type="character" w:customStyle="1" w:styleId="Nadpis3Char">
    <w:name w:val="Nadpis 3 Char"/>
    <w:basedOn w:val="Standardnpsmoodstavce"/>
    <w:link w:val="Nadpis3"/>
    <w:rsid w:val="008C56BD"/>
    <w:rPr>
      <w:rFonts w:ascii="Calibri" w:eastAsia="Calibri" w:hAnsi="Calibri" w:cs="Calibri"/>
      <w:sz w:val="24"/>
      <w:szCs w:val="24"/>
    </w:rPr>
  </w:style>
  <w:style w:type="character" w:customStyle="1" w:styleId="Nadpis4Char">
    <w:name w:val="Nadpis 4 Char"/>
    <w:basedOn w:val="Standardnpsmoodstavce"/>
    <w:link w:val="Nadpis4"/>
    <w:rsid w:val="008C56BD"/>
    <w:rPr>
      <w:rFonts w:ascii="Times New Roman" w:eastAsia="Times New Roman" w:hAnsi="Times New Roman" w:cs="Times New Roman"/>
      <w:b/>
      <w:sz w:val="24"/>
      <w:szCs w:val="24"/>
    </w:rPr>
  </w:style>
  <w:style w:type="paragraph" w:styleId="Nzev">
    <w:name w:val="Title"/>
    <w:basedOn w:val="normal"/>
    <w:next w:val="normal"/>
    <w:link w:val="NzevChar"/>
    <w:rsid w:val="008C56BD"/>
    <w:pPr>
      <w:keepNext/>
      <w:keepLines/>
      <w:spacing w:before="480" w:after="120"/>
    </w:pPr>
    <w:rPr>
      <w:b/>
      <w:sz w:val="72"/>
      <w:szCs w:val="72"/>
    </w:rPr>
  </w:style>
  <w:style w:type="character" w:customStyle="1" w:styleId="NzevChar">
    <w:name w:val="Název Char"/>
    <w:basedOn w:val="Standardnpsmoodstavce"/>
    <w:link w:val="Nzev"/>
    <w:rsid w:val="008C56BD"/>
    <w:rPr>
      <w:rFonts w:ascii="Times New Roman" w:eastAsia="Times New Roman" w:hAnsi="Times New Roman" w:cs="Times New Roman"/>
      <w:b/>
      <w:sz w:val="72"/>
      <w:szCs w:val="72"/>
    </w:rPr>
  </w:style>
  <w:style w:type="paragraph" w:customStyle="1" w:styleId="normal">
    <w:name w:val="normal"/>
    <w:rsid w:val="008C56BD"/>
    <w:pPr>
      <w:spacing w:after="160"/>
      <w:jc w:val="both"/>
    </w:pPr>
    <w:rPr>
      <w:rFonts w:ascii="Times New Roman" w:eastAsia="Times New Roman" w:hAnsi="Times New Roman" w:cs="Times New Roman"/>
      <w:sz w:val="24"/>
      <w:szCs w:val="24"/>
    </w:rPr>
  </w:style>
  <w:style w:type="paragraph" w:styleId="Textbubliny">
    <w:name w:val="Balloon Text"/>
    <w:basedOn w:val="Normln"/>
    <w:link w:val="TextbublinyChar"/>
    <w:uiPriority w:val="99"/>
    <w:semiHidden/>
    <w:unhideWhenUsed/>
    <w:rsid w:val="008C56B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C56B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3166</Words>
  <Characters>18049</Characters>
  <Application>Microsoft Office Word</Application>
  <DocSecurity>0</DocSecurity>
  <Lines>150</Lines>
  <Paragraphs>42</Paragraphs>
  <ScaleCrop>false</ScaleCrop>
  <Company/>
  <LinksUpToDate>false</LinksUpToDate>
  <CharactersWithSpaces>21173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Zman Kesef</dc:creator>
  <cp:lastModifiedBy>Zman Kesef</cp:lastModifiedBy>
  <cp:revision>3</cp:revision>
  <dcterms:created xsi:type="dcterms:W3CDTF">2025-07-28T02:26:00Z</dcterms:created>
  <dcterms:modified xsi:type="dcterms:W3CDTF">2025-07-30T18:08:00Z</dcterms:modified>
</cp:coreProperties>
</file>