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6A" w:rsidRDefault="00362B6A" w:rsidP="00362B6A">
      <w:pPr>
        <w:pStyle w:val="normal"/>
        <w:widowControl w:val="0"/>
        <w:spacing w:before="92" w:after="0" w:line="240" w:lineRule="auto"/>
        <w:ind w:left="112" w:right="130"/>
        <w:jc w:val="right"/>
        <w:rPr>
          <w:rFonts w:ascii="Athiti" w:eastAsia="Athiti" w:hAnsi="Athiti" w:cs="Athiti"/>
        </w:rPr>
      </w:pPr>
    </w:p>
    <w:p w:rsidR="00362B6A" w:rsidRDefault="00362B6A" w:rsidP="00362B6A">
      <w:pPr>
        <w:pStyle w:val="normal"/>
        <w:widowControl w:val="0"/>
        <w:spacing w:before="92" w:after="0" w:line="240" w:lineRule="auto"/>
        <w:ind w:left="112" w:right="130"/>
        <w:jc w:val="center"/>
        <w:rPr>
          <w:rFonts w:ascii="Athiti" w:eastAsia="Athiti" w:hAnsi="Athiti" w:cs="Athiti"/>
        </w:rPr>
      </w:pPr>
    </w:p>
    <w:p w:rsidR="00362B6A" w:rsidRDefault="00362B6A" w:rsidP="00362B6A">
      <w:pPr>
        <w:pStyle w:val="normal"/>
        <w:widowControl w:val="0"/>
        <w:spacing w:before="92" w:after="0" w:line="240" w:lineRule="auto"/>
        <w:ind w:left="112" w:right="130"/>
        <w:jc w:val="center"/>
        <w:rPr>
          <w:rFonts w:ascii="Athiti" w:eastAsia="Athiti" w:hAnsi="Athiti" w:cs="Athiti"/>
        </w:rPr>
      </w:pPr>
    </w:p>
    <w:p w:rsidR="00362B6A" w:rsidRPr="00621AA4" w:rsidRDefault="00362B6A" w:rsidP="00362B6A">
      <w:pPr>
        <w:pStyle w:val="Nzev"/>
        <w:keepNext w:val="0"/>
        <w:keepLines w:val="0"/>
        <w:widowControl w:val="0"/>
        <w:spacing w:before="0" w:after="0" w:line="240" w:lineRule="auto"/>
        <w:ind w:left="125" w:right="130"/>
        <w:jc w:val="center"/>
        <w:rPr>
          <w:rFonts w:ascii="Athiti" w:eastAsia="Athiti" w:hAnsi="Athiti" w:cs="Athiti"/>
          <w:sz w:val="44"/>
          <w:szCs w:val="44"/>
          <w:lang w:val="cs-CZ"/>
        </w:rPr>
      </w:pPr>
      <w:bookmarkStart w:id="0" w:name="_heading=h.koqqr6c9h0oa" w:colFirst="0" w:colLast="0"/>
      <w:bookmarkEnd w:id="0"/>
      <w:r w:rsidRPr="00621AA4">
        <w:rPr>
          <w:rFonts w:ascii="Athiti" w:eastAsia="Athiti" w:hAnsi="Athiti" w:cs="Athiti"/>
          <w:sz w:val="44"/>
          <w:szCs w:val="44"/>
          <w:lang w:val="cs-CZ"/>
        </w:rPr>
        <w:t xml:space="preserve">Pravidla a postupy pro </w:t>
      </w:r>
    </w:p>
    <w:p w:rsidR="00362B6A" w:rsidRPr="00621AA4" w:rsidRDefault="00362B6A" w:rsidP="00362B6A">
      <w:pPr>
        <w:pStyle w:val="Nzev"/>
        <w:keepNext w:val="0"/>
        <w:keepLines w:val="0"/>
        <w:widowControl w:val="0"/>
        <w:spacing w:before="0" w:after="0" w:line="240" w:lineRule="auto"/>
        <w:ind w:left="125" w:right="130"/>
        <w:jc w:val="center"/>
        <w:rPr>
          <w:rFonts w:ascii="Athiti" w:eastAsia="Athiti" w:hAnsi="Athiti" w:cs="Athiti"/>
          <w:sz w:val="44"/>
          <w:szCs w:val="44"/>
          <w:lang w:val="cs-CZ"/>
        </w:rPr>
      </w:pPr>
      <w:bookmarkStart w:id="1" w:name="_heading=h.jxp8efnplsd5" w:colFirst="0" w:colLast="0"/>
      <w:bookmarkEnd w:id="1"/>
      <w:r w:rsidRPr="00621AA4">
        <w:rPr>
          <w:rFonts w:ascii="Athiti" w:eastAsia="Athiti" w:hAnsi="Athiti" w:cs="Athiti"/>
          <w:sz w:val="44"/>
          <w:szCs w:val="44"/>
          <w:lang w:val="cs-CZ"/>
        </w:rPr>
        <w:t>vyřizování stížností a reklamací</w:t>
      </w:r>
    </w:p>
    <w:p w:rsidR="00362B6A" w:rsidRDefault="00362B6A" w:rsidP="00362B6A">
      <w:pPr>
        <w:pStyle w:val="normal"/>
      </w:pPr>
    </w:p>
    <w:p w:rsidR="00362B6A" w:rsidRDefault="00362B6A" w:rsidP="00362B6A">
      <w:pPr>
        <w:pStyle w:val="normal"/>
      </w:pPr>
    </w:p>
    <w:p w:rsidR="00362B6A" w:rsidRDefault="00362B6A" w:rsidP="00362B6A">
      <w:pPr>
        <w:pStyle w:val="normal"/>
      </w:pPr>
    </w:p>
    <w:p w:rsidR="00362B6A" w:rsidRDefault="00362B6A" w:rsidP="00362B6A">
      <w:pPr>
        <w:pStyle w:val="normal"/>
      </w:pPr>
    </w:p>
    <w:p w:rsidR="00362B6A" w:rsidRDefault="00362B6A" w:rsidP="00362B6A">
      <w:pPr>
        <w:pStyle w:val="normal"/>
      </w:pPr>
    </w:p>
    <w:p w:rsidR="00362B6A" w:rsidRDefault="00362B6A" w:rsidP="00362B6A">
      <w:pPr>
        <w:pStyle w:val="normal"/>
      </w:pPr>
    </w:p>
    <w:p w:rsidR="00362B6A" w:rsidRDefault="00362B6A" w:rsidP="00362B6A">
      <w:pPr>
        <w:pStyle w:val="normal"/>
      </w:pPr>
    </w:p>
    <w:p w:rsidR="00362B6A" w:rsidRDefault="00362B6A" w:rsidP="00362B6A">
      <w:pPr>
        <w:pStyle w:val="normal"/>
      </w:pPr>
    </w:p>
    <w:p w:rsidR="00362B6A" w:rsidRDefault="00362B6A" w:rsidP="00362B6A">
      <w:pPr>
        <w:pStyle w:val="normal"/>
      </w:pPr>
    </w:p>
    <w:p w:rsidR="00362B6A" w:rsidRDefault="00362B6A" w:rsidP="00362B6A">
      <w:pPr>
        <w:pStyle w:val="normal"/>
      </w:pPr>
    </w:p>
    <w:p w:rsidR="00362B6A" w:rsidRDefault="00362B6A" w:rsidP="00362B6A">
      <w:pPr>
        <w:pStyle w:val="normal"/>
      </w:pPr>
    </w:p>
    <w:p w:rsidR="00362B6A" w:rsidRDefault="00362B6A" w:rsidP="00362B6A">
      <w:pPr>
        <w:pStyle w:val="normal"/>
      </w:pPr>
    </w:p>
    <w:p w:rsidR="00362B6A" w:rsidRDefault="00362B6A" w:rsidP="00362B6A">
      <w:pPr>
        <w:pStyle w:val="normal"/>
      </w:pPr>
    </w:p>
    <w:p w:rsidR="00362B6A" w:rsidRDefault="00362B6A" w:rsidP="00362B6A">
      <w:pPr>
        <w:pStyle w:val="normal"/>
        <w:widowControl w:val="0"/>
        <w:tabs>
          <w:tab w:val="left" w:pos="9356"/>
        </w:tabs>
        <w:spacing w:before="6" w:after="0" w:line="240" w:lineRule="auto"/>
        <w:rPr>
          <w:rFonts w:ascii="Athiti" w:eastAsia="Athiti" w:hAnsi="Athiti" w:cs="Athiti"/>
          <w:sz w:val="18"/>
          <w:szCs w:val="18"/>
        </w:rPr>
      </w:pPr>
    </w:p>
    <w:tbl>
      <w:tblPr>
        <w:tblW w:w="5895" w:type="dxa"/>
        <w:tblInd w:w="3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9"/>
        <w:gridCol w:w="2746"/>
      </w:tblGrid>
      <w:tr w:rsidR="00362B6A" w:rsidRPr="00693CAC" w:rsidTr="00C00580">
        <w:trPr>
          <w:cantSplit/>
          <w:trHeight w:val="354"/>
          <w:tblHeader/>
        </w:trPr>
        <w:tc>
          <w:tcPr>
            <w:tcW w:w="3149" w:type="dxa"/>
            <w:shd w:val="clear" w:color="auto" w:fill="EFEFEF"/>
          </w:tcPr>
          <w:p w:rsidR="00362B6A" w:rsidRPr="00693CAC" w:rsidRDefault="00362B6A" w:rsidP="00C00580">
            <w:pPr>
              <w:pStyle w:val="normal"/>
              <w:widowControl w:val="0"/>
              <w:tabs>
                <w:tab w:val="left" w:pos="9356"/>
              </w:tabs>
              <w:spacing w:before="64" w:after="0" w:line="240" w:lineRule="auto"/>
              <w:ind w:left="105"/>
              <w:rPr>
                <w:rFonts w:ascii="Athiti" w:eastAsia="Athiti" w:hAnsi="Athiti" w:cs="Athiti"/>
                <w:b/>
                <w:sz w:val="20"/>
                <w:szCs w:val="20"/>
                <w:lang w:val="cs-CZ"/>
              </w:rPr>
            </w:pPr>
            <w:r w:rsidRPr="00693CAC">
              <w:rPr>
                <w:rFonts w:ascii="Athiti" w:eastAsia="Athiti" w:hAnsi="Athiti" w:cs="Athiti"/>
                <w:b/>
                <w:sz w:val="20"/>
                <w:szCs w:val="20"/>
                <w:lang w:val="cs-CZ"/>
              </w:rPr>
              <w:t>Verze:</w:t>
            </w:r>
          </w:p>
        </w:tc>
        <w:tc>
          <w:tcPr>
            <w:tcW w:w="2746" w:type="dxa"/>
          </w:tcPr>
          <w:p w:rsidR="00362B6A" w:rsidRPr="00693CAC" w:rsidRDefault="00362B6A" w:rsidP="00C00580">
            <w:pPr>
              <w:pStyle w:val="normal"/>
              <w:widowControl w:val="0"/>
              <w:tabs>
                <w:tab w:val="left" w:pos="9356"/>
              </w:tabs>
              <w:spacing w:before="71" w:after="0" w:line="240" w:lineRule="auto"/>
              <w:ind w:right="94"/>
              <w:rPr>
                <w:rFonts w:ascii="Athiti" w:eastAsia="Athiti" w:hAnsi="Athiti" w:cs="Athiti"/>
                <w:sz w:val="20"/>
                <w:szCs w:val="20"/>
                <w:lang w:val="cs-CZ"/>
              </w:rPr>
            </w:pPr>
            <w:r w:rsidRPr="00693CAC">
              <w:rPr>
                <w:rFonts w:ascii="Athiti" w:eastAsia="Athiti" w:hAnsi="Athiti" w:cs="Athiti"/>
                <w:sz w:val="20"/>
                <w:szCs w:val="20"/>
                <w:lang w:val="cs-CZ"/>
              </w:rPr>
              <w:t>1.0</w:t>
            </w:r>
          </w:p>
        </w:tc>
      </w:tr>
      <w:tr w:rsidR="00362B6A" w:rsidRPr="00693CAC" w:rsidTr="00C00580">
        <w:trPr>
          <w:cantSplit/>
          <w:trHeight w:val="354"/>
          <w:tblHeader/>
        </w:trPr>
        <w:tc>
          <w:tcPr>
            <w:tcW w:w="3149" w:type="dxa"/>
            <w:shd w:val="clear" w:color="auto" w:fill="EFEFEF"/>
          </w:tcPr>
          <w:p w:rsidR="00362B6A" w:rsidRPr="00693CAC" w:rsidRDefault="00362B6A" w:rsidP="00C00580">
            <w:pPr>
              <w:pStyle w:val="normal"/>
              <w:widowControl w:val="0"/>
              <w:tabs>
                <w:tab w:val="left" w:pos="9356"/>
              </w:tabs>
              <w:spacing w:before="64" w:after="0" w:line="240" w:lineRule="auto"/>
              <w:ind w:left="105"/>
              <w:rPr>
                <w:rFonts w:ascii="Athiti" w:eastAsia="Athiti" w:hAnsi="Athiti" w:cs="Athiti"/>
                <w:b/>
                <w:sz w:val="20"/>
                <w:szCs w:val="20"/>
                <w:lang w:val="cs-CZ"/>
              </w:rPr>
            </w:pPr>
            <w:r w:rsidRPr="00693CAC">
              <w:rPr>
                <w:rFonts w:ascii="Athiti" w:eastAsia="Athiti" w:hAnsi="Athiti" w:cs="Athiti"/>
                <w:b/>
                <w:sz w:val="20"/>
                <w:szCs w:val="20"/>
                <w:lang w:val="cs-CZ"/>
              </w:rPr>
              <w:t>Schváleno dne:</w:t>
            </w:r>
          </w:p>
        </w:tc>
        <w:tc>
          <w:tcPr>
            <w:tcW w:w="2746" w:type="dxa"/>
          </w:tcPr>
          <w:p w:rsidR="00362B6A" w:rsidRPr="00693CAC" w:rsidRDefault="00693CAC" w:rsidP="00C00580">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r w:rsidR="00362B6A" w:rsidRPr="00693CAC" w:rsidTr="00C00580">
        <w:trPr>
          <w:cantSplit/>
          <w:trHeight w:val="354"/>
          <w:tblHeader/>
        </w:trPr>
        <w:tc>
          <w:tcPr>
            <w:tcW w:w="3149" w:type="dxa"/>
            <w:shd w:val="clear" w:color="auto" w:fill="EFEFEF"/>
          </w:tcPr>
          <w:p w:rsidR="00362B6A" w:rsidRPr="00693CAC" w:rsidRDefault="00362B6A" w:rsidP="00C00580">
            <w:pPr>
              <w:pStyle w:val="normal"/>
              <w:widowControl w:val="0"/>
              <w:tabs>
                <w:tab w:val="left" w:pos="9356"/>
              </w:tabs>
              <w:spacing w:before="64" w:after="0" w:line="240" w:lineRule="auto"/>
              <w:ind w:left="105"/>
              <w:rPr>
                <w:rFonts w:ascii="Athiti" w:eastAsia="Athiti" w:hAnsi="Athiti" w:cs="Athiti"/>
                <w:b/>
                <w:sz w:val="20"/>
                <w:szCs w:val="20"/>
                <w:lang w:val="cs-CZ"/>
              </w:rPr>
            </w:pPr>
            <w:r w:rsidRPr="00693CAC">
              <w:rPr>
                <w:rFonts w:ascii="Athiti" w:eastAsia="Athiti" w:hAnsi="Athiti" w:cs="Athiti"/>
                <w:b/>
                <w:sz w:val="20"/>
                <w:szCs w:val="20"/>
                <w:lang w:val="cs-CZ"/>
              </w:rPr>
              <w:t>Schváleno oddělením:</w:t>
            </w:r>
          </w:p>
        </w:tc>
        <w:tc>
          <w:tcPr>
            <w:tcW w:w="2746" w:type="dxa"/>
          </w:tcPr>
          <w:p w:rsidR="00362B6A" w:rsidRPr="00693CAC" w:rsidRDefault="00362B6A" w:rsidP="00C00580">
            <w:pPr>
              <w:pStyle w:val="normal"/>
              <w:widowControl w:val="0"/>
              <w:tabs>
                <w:tab w:val="left" w:pos="9356"/>
              </w:tabs>
              <w:spacing w:before="71" w:after="0" w:line="240" w:lineRule="auto"/>
              <w:ind w:right="94"/>
              <w:rPr>
                <w:rFonts w:ascii="Athiti" w:eastAsia="Athiti" w:hAnsi="Athiti" w:cs="Athiti"/>
                <w:sz w:val="20"/>
                <w:szCs w:val="20"/>
                <w:lang w:val="cs-CZ"/>
              </w:rPr>
            </w:pPr>
            <w:r w:rsidRPr="00693CAC">
              <w:rPr>
                <w:rFonts w:ascii="Athiti" w:eastAsia="Athiti" w:hAnsi="Athiti" w:cs="Athiti"/>
                <w:sz w:val="20"/>
                <w:szCs w:val="20"/>
                <w:lang w:val="cs-CZ"/>
              </w:rPr>
              <w:t>Compliance</w:t>
            </w:r>
          </w:p>
        </w:tc>
      </w:tr>
      <w:tr w:rsidR="00362B6A" w:rsidRPr="00693CAC" w:rsidTr="00C00580">
        <w:trPr>
          <w:cantSplit/>
          <w:trHeight w:val="354"/>
          <w:tblHeader/>
        </w:trPr>
        <w:tc>
          <w:tcPr>
            <w:tcW w:w="3149" w:type="dxa"/>
            <w:shd w:val="clear" w:color="auto" w:fill="EFEFEF"/>
          </w:tcPr>
          <w:p w:rsidR="00362B6A" w:rsidRPr="00693CAC" w:rsidRDefault="00362B6A" w:rsidP="00C00580">
            <w:pPr>
              <w:pStyle w:val="normal"/>
              <w:widowControl w:val="0"/>
              <w:tabs>
                <w:tab w:val="left" w:pos="9356"/>
              </w:tabs>
              <w:spacing w:before="64" w:after="0" w:line="240" w:lineRule="auto"/>
              <w:ind w:left="105"/>
              <w:rPr>
                <w:rFonts w:ascii="Athiti" w:eastAsia="Athiti" w:hAnsi="Athiti" w:cs="Athiti"/>
                <w:b/>
                <w:sz w:val="20"/>
                <w:szCs w:val="20"/>
                <w:lang w:val="cs-CZ"/>
              </w:rPr>
            </w:pPr>
            <w:r w:rsidRPr="00693CAC">
              <w:rPr>
                <w:rFonts w:ascii="Athiti" w:eastAsia="Athiti" w:hAnsi="Athiti" w:cs="Athiti"/>
                <w:b/>
                <w:sz w:val="20"/>
                <w:szCs w:val="20"/>
                <w:lang w:val="cs-CZ"/>
              </w:rPr>
              <w:t>Naposledy aktualizováno:</w:t>
            </w:r>
          </w:p>
        </w:tc>
        <w:tc>
          <w:tcPr>
            <w:tcW w:w="2746" w:type="dxa"/>
          </w:tcPr>
          <w:p w:rsidR="00362B6A" w:rsidRPr="00693CAC" w:rsidRDefault="00693CAC" w:rsidP="00C00580">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bl>
    <w:p w:rsidR="00362B6A" w:rsidRDefault="00362B6A" w:rsidP="00362B6A">
      <w:pPr>
        <w:pStyle w:val="normal"/>
        <w:widowControl w:val="0"/>
        <w:tabs>
          <w:tab w:val="left" w:pos="9356"/>
        </w:tabs>
        <w:spacing w:after="0" w:line="240" w:lineRule="auto"/>
        <w:rPr>
          <w:rFonts w:ascii="Athiti" w:eastAsia="Athiti" w:hAnsi="Athiti" w:cs="Athiti"/>
          <w:sz w:val="20"/>
          <w:szCs w:val="20"/>
        </w:rPr>
        <w:sectPr w:rsidR="00362B6A">
          <w:headerReference w:type="default" r:id="rId7"/>
          <w:footerReference w:type="default" r:id="rId8"/>
          <w:headerReference w:type="first" r:id="rId9"/>
          <w:footerReference w:type="first" r:id="rId10"/>
          <w:pgSz w:w="11906" w:h="16838"/>
          <w:pgMar w:top="1134" w:right="1134" w:bottom="1134" w:left="1134" w:header="709" w:footer="709" w:gutter="0"/>
          <w:pgNumType w:start="0"/>
          <w:cols w:space="720"/>
          <w:titlePg/>
        </w:sectPr>
      </w:pPr>
    </w:p>
    <w:p w:rsidR="00362B6A" w:rsidRPr="00621AA4" w:rsidRDefault="00362B6A" w:rsidP="00362B6A">
      <w:pPr>
        <w:pStyle w:val="Nadpis1"/>
        <w:keepNext w:val="0"/>
        <w:keepLines w:val="0"/>
        <w:widowControl w:val="0"/>
        <w:spacing w:before="0" w:after="0" w:line="240" w:lineRule="auto"/>
        <w:ind w:left="392" w:hanging="293"/>
        <w:rPr>
          <w:rFonts w:ascii="Caladea" w:eastAsia="Caladea" w:hAnsi="Caladea" w:cs="Caladea"/>
          <w:sz w:val="28"/>
          <w:szCs w:val="28"/>
          <w:lang w:val="cs-CZ"/>
        </w:rPr>
      </w:pPr>
      <w:bookmarkStart w:id="2" w:name="_heading=h.9rjii7rpa9xa" w:colFirst="0" w:colLast="0"/>
      <w:bookmarkEnd w:id="2"/>
      <w:r w:rsidRPr="00621AA4">
        <w:rPr>
          <w:rFonts w:ascii="Athiti" w:eastAsia="Athiti" w:hAnsi="Athiti" w:cs="Athiti"/>
          <w:sz w:val="28"/>
          <w:szCs w:val="28"/>
          <w:lang w:val="cs-CZ"/>
        </w:rPr>
        <w:lastRenderedPageBreak/>
        <w:t>Pojmy a definice</w:t>
      </w:r>
    </w:p>
    <w:p w:rsidR="00362B6A" w:rsidRPr="00621AA4" w:rsidRDefault="00362B6A" w:rsidP="00362B6A">
      <w:pPr>
        <w:pStyle w:val="normal"/>
        <w:widowControl w:val="0"/>
        <w:spacing w:after="0" w:line="240" w:lineRule="auto"/>
        <w:rPr>
          <w:rFonts w:ascii="Athiti" w:eastAsia="Athiti" w:hAnsi="Athiti" w:cs="Athiti"/>
          <w:sz w:val="20"/>
          <w:szCs w:val="20"/>
          <w:lang w:val="cs-CZ"/>
        </w:rPr>
      </w:pPr>
    </w:p>
    <w:tbl>
      <w:tblPr>
        <w:tblW w:w="9570" w:type="dxa"/>
        <w:tblInd w:w="10" w:type="dxa"/>
        <w:tblLayout w:type="fixed"/>
        <w:tblLook w:val="0000"/>
      </w:tblPr>
      <w:tblGrid>
        <w:gridCol w:w="2429"/>
        <w:gridCol w:w="7141"/>
      </w:tblGrid>
      <w:tr w:rsidR="00362B6A" w:rsidRPr="00621AA4" w:rsidTr="00C00580">
        <w:trPr>
          <w:cantSplit/>
          <w:tblHeader/>
        </w:trPr>
        <w:tc>
          <w:tcPr>
            <w:tcW w:w="24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right"/>
              <w:rPr>
                <w:rFonts w:ascii="Athiti" w:eastAsia="Athiti" w:hAnsi="Athiti" w:cs="Athiti"/>
                <w:b/>
                <w:lang w:val="cs-CZ"/>
              </w:rPr>
            </w:pPr>
            <w:r w:rsidRPr="00621AA4">
              <w:rPr>
                <w:rFonts w:ascii="Athiti" w:eastAsia="Athiti" w:hAnsi="Athiti" w:cs="Athiti"/>
                <w:b/>
                <w:lang w:val="cs-CZ"/>
              </w:rPr>
              <w:t>ČNB</w:t>
            </w:r>
          </w:p>
        </w:tc>
        <w:tc>
          <w:tcPr>
            <w:tcW w:w="7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left"/>
              <w:rPr>
                <w:rFonts w:ascii="Athiti" w:eastAsia="Athiti" w:hAnsi="Athiti" w:cs="Athiti"/>
                <w:lang w:val="cs-CZ"/>
              </w:rPr>
            </w:pPr>
            <w:r w:rsidRPr="00621AA4">
              <w:rPr>
                <w:rFonts w:ascii="Athiti" w:eastAsia="Athiti" w:hAnsi="Athiti" w:cs="Athiti"/>
                <w:lang w:val="cs-CZ"/>
              </w:rPr>
              <w:t>Česká národní banka</w:t>
            </w:r>
          </w:p>
        </w:tc>
      </w:tr>
      <w:tr w:rsidR="00362B6A" w:rsidRPr="00621AA4" w:rsidTr="00C00580">
        <w:trPr>
          <w:cantSplit/>
          <w:tblHeader/>
        </w:trPr>
        <w:tc>
          <w:tcPr>
            <w:tcW w:w="24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right"/>
              <w:rPr>
                <w:rFonts w:ascii="Athiti" w:eastAsia="Athiti" w:hAnsi="Athiti" w:cs="Athiti"/>
                <w:b/>
                <w:lang w:val="cs-CZ"/>
              </w:rPr>
            </w:pPr>
            <w:r w:rsidRPr="00621AA4">
              <w:rPr>
                <w:rFonts w:ascii="Athiti" w:eastAsia="Athiti" w:hAnsi="Athiti" w:cs="Athiti"/>
                <w:b/>
                <w:lang w:val="cs-CZ"/>
              </w:rPr>
              <w:t>EBA</w:t>
            </w:r>
          </w:p>
        </w:tc>
        <w:tc>
          <w:tcPr>
            <w:tcW w:w="7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left"/>
              <w:rPr>
                <w:rFonts w:ascii="Athiti" w:eastAsia="Athiti" w:hAnsi="Athiti" w:cs="Athiti"/>
                <w:lang w:val="cs-CZ"/>
              </w:rPr>
            </w:pPr>
            <w:r w:rsidRPr="00621AA4">
              <w:rPr>
                <w:rFonts w:ascii="Athiti" w:eastAsia="Athiti" w:hAnsi="Athiti" w:cs="Athiti"/>
                <w:lang w:val="cs-CZ"/>
              </w:rPr>
              <w:t>Evropský orgán pro bankovnictví</w:t>
            </w:r>
          </w:p>
        </w:tc>
      </w:tr>
      <w:tr w:rsidR="00362B6A" w:rsidRPr="00621AA4" w:rsidTr="00C00580">
        <w:trPr>
          <w:cantSplit/>
          <w:tblHeader/>
        </w:trPr>
        <w:tc>
          <w:tcPr>
            <w:tcW w:w="24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right"/>
              <w:rPr>
                <w:rFonts w:ascii="Athiti" w:eastAsia="Athiti" w:hAnsi="Athiti" w:cs="Athiti"/>
                <w:b/>
                <w:lang w:val="cs-CZ"/>
              </w:rPr>
            </w:pPr>
            <w:r w:rsidRPr="00621AA4">
              <w:rPr>
                <w:rFonts w:ascii="Athiti" w:eastAsia="Athiti" w:hAnsi="Athiti" w:cs="Athiti"/>
                <w:b/>
                <w:lang w:val="cs-CZ"/>
              </w:rPr>
              <w:t>ESMA</w:t>
            </w:r>
          </w:p>
        </w:tc>
        <w:tc>
          <w:tcPr>
            <w:tcW w:w="7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left"/>
              <w:rPr>
                <w:rFonts w:ascii="Athiti" w:eastAsia="Athiti" w:hAnsi="Athiti" w:cs="Athiti"/>
                <w:lang w:val="cs-CZ"/>
              </w:rPr>
            </w:pPr>
            <w:r w:rsidRPr="00621AA4">
              <w:rPr>
                <w:rFonts w:ascii="Athiti" w:eastAsia="Athiti" w:hAnsi="Athiti" w:cs="Athiti"/>
                <w:lang w:val="cs-CZ"/>
              </w:rPr>
              <w:t>Evropský orgán pro cenné papíry a trhy</w:t>
            </w:r>
          </w:p>
        </w:tc>
      </w:tr>
      <w:tr w:rsidR="00362B6A" w:rsidRPr="00621AA4" w:rsidTr="00C00580">
        <w:trPr>
          <w:cantSplit/>
          <w:tblHeader/>
        </w:trPr>
        <w:tc>
          <w:tcPr>
            <w:tcW w:w="24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right"/>
              <w:rPr>
                <w:rFonts w:ascii="Athiti" w:eastAsia="Athiti" w:hAnsi="Athiti" w:cs="Athiti"/>
                <w:b/>
                <w:lang w:val="cs-CZ"/>
              </w:rPr>
            </w:pPr>
            <w:r w:rsidRPr="00621AA4">
              <w:rPr>
                <w:rFonts w:ascii="Athiti" w:eastAsia="Athiti" w:hAnsi="Athiti" w:cs="Athiti"/>
                <w:b/>
                <w:lang w:val="cs-CZ"/>
              </w:rPr>
              <w:t>Pověřená osoba</w:t>
            </w:r>
          </w:p>
        </w:tc>
        <w:tc>
          <w:tcPr>
            <w:tcW w:w="7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left"/>
              <w:rPr>
                <w:rFonts w:ascii="Athiti" w:eastAsia="Athiti" w:hAnsi="Athiti" w:cs="Athiti"/>
                <w:lang w:val="cs-CZ"/>
              </w:rPr>
            </w:pPr>
            <w:r w:rsidRPr="00621AA4">
              <w:rPr>
                <w:rFonts w:ascii="Athiti" w:eastAsia="Athiti" w:hAnsi="Athiti" w:cs="Athiti"/>
                <w:lang w:val="cs-CZ"/>
              </w:rPr>
              <w:t>pracovník oddělení Compliance, který odpovídá za přijímání, evidenci, posuzování a vyřizování stížností a reklamací podaných klienty nebo jinými dotčenými subjekty, a to v souladu s vnitřními předpisy společnosti a platnými právními předpisy</w:t>
            </w:r>
          </w:p>
        </w:tc>
      </w:tr>
      <w:tr w:rsidR="00362B6A" w:rsidRPr="00621AA4" w:rsidTr="00C00580">
        <w:trPr>
          <w:cantSplit/>
          <w:tblHeader/>
        </w:trPr>
        <w:tc>
          <w:tcPr>
            <w:tcW w:w="24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right"/>
              <w:rPr>
                <w:rFonts w:ascii="Georgia" w:eastAsia="Georgia" w:hAnsi="Georgia" w:cs="Georgia"/>
                <w:sz w:val="22"/>
                <w:szCs w:val="22"/>
                <w:lang w:val="cs-CZ"/>
              </w:rPr>
            </w:pPr>
            <w:r w:rsidRPr="00621AA4">
              <w:rPr>
                <w:rFonts w:ascii="Athiti" w:eastAsia="Athiti" w:hAnsi="Athiti" w:cs="Athiti"/>
                <w:b/>
                <w:lang w:val="cs-CZ"/>
              </w:rPr>
              <w:t>Stížnost</w:t>
            </w:r>
          </w:p>
        </w:tc>
        <w:tc>
          <w:tcPr>
            <w:tcW w:w="7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left"/>
              <w:rPr>
                <w:rFonts w:ascii="Georgia" w:eastAsia="Georgia" w:hAnsi="Georgia" w:cs="Georgia"/>
                <w:sz w:val="22"/>
                <w:szCs w:val="22"/>
                <w:lang w:val="cs-CZ"/>
              </w:rPr>
            </w:pPr>
            <w:r w:rsidRPr="00621AA4">
              <w:rPr>
                <w:rFonts w:ascii="Athiti" w:eastAsia="Athiti" w:hAnsi="Athiti" w:cs="Athiti"/>
                <w:lang w:val="cs-CZ"/>
              </w:rPr>
              <w:t xml:space="preserve">stížnost podaná jakýmkoli přípustným způsobem a adresovaná Společnosti jedním z jejích klientů, kterým vyjadřuje svou nespokojenost s poskytnutím či poskytováním jedné nebo více služeb souvisejících s kryptoaktivy a která obsahuje dostatečně jasnou identifikaci klienta a dostatečně konkrétní popis vytýkaného jednání </w:t>
            </w:r>
          </w:p>
        </w:tc>
      </w:tr>
      <w:tr w:rsidR="00362B6A" w:rsidRPr="00621AA4" w:rsidTr="00C00580">
        <w:trPr>
          <w:cantSplit/>
          <w:tblHeader/>
        </w:trPr>
        <w:tc>
          <w:tcPr>
            <w:tcW w:w="24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right"/>
              <w:rPr>
                <w:rFonts w:ascii="Georgia" w:eastAsia="Georgia" w:hAnsi="Georgia" w:cs="Georgia"/>
                <w:sz w:val="22"/>
                <w:szCs w:val="22"/>
                <w:lang w:val="cs-CZ"/>
              </w:rPr>
            </w:pPr>
            <w:r w:rsidRPr="00621AA4">
              <w:rPr>
                <w:rFonts w:ascii="Athiti" w:eastAsia="Athiti" w:hAnsi="Athiti" w:cs="Athiti"/>
                <w:b/>
                <w:lang w:val="cs-CZ"/>
              </w:rPr>
              <w:t>Reklamace</w:t>
            </w:r>
          </w:p>
        </w:tc>
        <w:tc>
          <w:tcPr>
            <w:tcW w:w="7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left"/>
              <w:rPr>
                <w:rFonts w:ascii="Georgia" w:eastAsia="Georgia" w:hAnsi="Georgia" w:cs="Georgia"/>
                <w:sz w:val="22"/>
                <w:szCs w:val="22"/>
                <w:lang w:val="cs-CZ"/>
              </w:rPr>
            </w:pPr>
            <w:r w:rsidRPr="00621AA4">
              <w:rPr>
                <w:rFonts w:ascii="Athiti" w:eastAsia="Athiti" w:hAnsi="Athiti" w:cs="Athiti"/>
                <w:lang w:val="cs-CZ"/>
              </w:rPr>
              <w:t>formální podání klienta, kterým uplatňuje své právo na nápravu vadného plnění v případě, že služba související s kryptoaktivy neodpovídá smluvním podmínkám, právním požadavkům nebo deklarovaným vlastnostem, přičemž musí obsahovat dostatečně jasnou identifikaci klienta, dostatečně konkrétní popis vytýkaného jednání a požadovaný způsob nápravy</w:t>
            </w:r>
          </w:p>
        </w:tc>
      </w:tr>
      <w:tr w:rsidR="00362B6A" w:rsidRPr="00621AA4" w:rsidTr="00C00580">
        <w:trPr>
          <w:cantSplit/>
          <w:tblHeader/>
        </w:trPr>
        <w:tc>
          <w:tcPr>
            <w:tcW w:w="24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right"/>
              <w:rPr>
                <w:rFonts w:ascii="Athiti" w:eastAsia="Athiti" w:hAnsi="Athiti" w:cs="Athiti"/>
                <w:lang w:val="cs-CZ"/>
              </w:rPr>
            </w:pPr>
            <w:r w:rsidRPr="00621AA4">
              <w:rPr>
                <w:rFonts w:ascii="Athiti" w:eastAsia="Athiti" w:hAnsi="Athiti" w:cs="Athiti"/>
                <w:b/>
                <w:lang w:val="cs-CZ"/>
              </w:rPr>
              <w:t>Reklamační řád</w:t>
            </w:r>
          </w:p>
        </w:tc>
        <w:tc>
          <w:tcPr>
            <w:tcW w:w="7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left"/>
              <w:rPr>
                <w:rFonts w:ascii="Athiti" w:eastAsia="Athiti" w:hAnsi="Athiti" w:cs="Athiti"/>
                <w:lang w:val="cs-CZ"/>
              </w:rPr>
            </w:pPr>
            <w:r w:rsidRPr="00621AA4">
              <w:rPr>
                <w:rFonts w:ascii="Athiti" w:eastAsia="Athiti" w:hAnsi="Athiti" w:cs="Athiti"/>
                <w:lang w:val="cs-CZ"/>
              </w:rPr>
              <w:t xml:space="preserve">dokument </w:t>
            </w:r>
            <w:r w:rsidRPr="00621AA4">
              <w:rPr>
                <w:rFonts w:ascii="Athiti" w:eastAsia="Athiti" w:hAnsi="Athiti" w:cs="Athiti"/>
                <w:i/>
                <w:lang w:val="cs-CZ"/>
              </w:rPr>
              <w:t>Reklamační řád</w:t>
            </w:r>
            <w:r w:rsidRPr="00621AA4">
              <w:rPr>
                <w:rFonts w:ascii="Athiti" w:eastAsia="Athiti" w:hAnsi="Athiti" w:cs="Athiti"/>
                <w:lang w:val="cs-CZ"/>
              </w:rPr>
              <w:t>, kterým se stanoví postupy pro podání stížností a reklamací ze strany klientů Společnosti a který je pro klienty trvale zveřejněn  na webu Společnosti</w:t>
            </w:r>
          </w:p>
        </w:tc>
      </w:tr>
      <w:tr w:rsidR="00362B6A" w:rsidRPr="00621AA4" w:rsidTr="00C00580">
        <w:trPr>
          <w:cantSplit/>
          <w:tblHeader/>
        </w:trPr>
        <w:tc>
          <w:tcPr>
            <w:tcW w:w="24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right"/>
              <w:rPr>
                <w:rFonts w:ascii="Athiti" w:eastAsia="Athiti" w:hAnsi="Athiti" w:cs="Athiti"/>
                <w:b/>
                <w:lang w:val="cs-CZ"/>
              </w:rPr>
            </w:pPr>
            <w:r w:rsidRPr="00621AA4">
              <w:rPr>
                <w:rFonts w:ascii="Athiti" w:eastAsia="Athiti" w:hAnsi="Athiti" w:cs="Athiti"/>
                <w:b/>
                <w:lang w:val="cs-CZ"/>
              </w:rPr>
              <w:t>RTS</w:t>
            </w:r>
          </w:p>
        </w:tc>
        <w:tc>
          <w:tcPr>
            <w:tcW w:w="71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left"/>
              <w:rPr>
                <w:rFonts w:ascii="Athiti" w:eastAsia="Athiti" w:hAnsi="Athiti" w:cs="Athiti"/>
                <w:lang w:val="cs-CZ"/>
              </w:rPr>
            </w:pPr>
            <w:r w:rsidRPr="00621AA4">
              <w:rPr>
                <w:rFonts w:ascii="Athiti" w:eastAsia="Athiti" w:hAnsi="Athiti" w:cs="Athiti"/>
                <w:lang w:val="cs-CZ"/>
              </w:rPr>
              <w:t xml:space="preserve">regulační technické normy </w:t>
            </w:r>
          </w:p>
        </w:tc>
      </w:tr>
      <w:tr w:rsidR="00362B6A" w:rsidRPr="00621AA4" w:rsidTr="00C00580">
        <w:trPr>
          <w:cantSplit/>
          <w:tblHeader/>
        </w:trPr>
        <w:tc>
          <w:tcPr>
            <w:tcW w:w="242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right"/>
              <w:rPr>
                <w:rFonts w:ascii="Athiti" w:eastAsia="Athiti" w:hAnsi="Athiti" w:cs="Athiti"/>
                <w:b/>
                <w:lang w:val="cs-CZ"/>
              </w:rPr>
            </w:pPr>
            <w:r w:rsidRPr="00621AA4">
              <w:rPr>
                <w:rFonts w:ascii="Athiti" w:eastAsia="Athiti" w:hAnsi="Athiti" w:cs="Athiti"/>
                <w:b/>
                <w:lang w:val="cs-CZ"/>
              </w:rPr>
              <w:t>Zásady</w:t>
            </w:r>
          </w:p>
        </w:tc>
        <w:tc>
          <w:tcPr>
            <w:tcW w:w="7141"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62B6A" w:rsidRPr="00621AA4" w:rsidRDefault="00362B6A" w:rsidP="00C00580">
            <w:pPr>
              <w:pStyle w:val="normal"/>
              <w:widowControl w:val="0"/>
              <w:spacing w:after="0" w:line="240" w:lineRule="auto"/>
              <w:jc w:val="left"/>
              <w:rPr>
                <w:rFonts w:ascii="Athiti" w:eastAsia="Athiti" w:hAnsi="Athiti" w:cs="Athiti"/>
                <w:i/>
                <w:lang w:val="cs-CZ"/>
              </w:rPr>
            </w:pPr>
            <w:r w:rsidRPr="00621AA4">
              <w:rPr>
                <w:rFonts w:ascii="Athiti" w:eastAsia="Athiti" w:hAnsi="Athiti" w:cs="Athiti"/>
                <w:lang w:val="cs-CZ"/>
              </w:rPr>
              <w:t xml:space="preserve">Zásady vyřizování stížností a reklamací, tedy tento vnitřní předpis </w:t>
            </w:r>
            <w:r w:rsidRPr="00621AA4">
              <w:rPr>
                <w:rFonts w:ascii="Athiti" w:eastAsia="Athiti" w:hAnsi="Athiti" w:cs="Athiti"/>
                <w:i/>
                <w:lang w:val="cs-CZ"/>
              </w:rPr>
              <w:t>Pravidla a postupy pro vyřizování stížností a reklamací</w:t>
            </w:r>
          </w:p>
        </w:tc>
      </w:tr>
    </w:tbl>
    <w:p w:rsidR="00362B6A" w:rsidRPr="00621AA4" w:rsidRDefault="00362B6A" w:rsidP="00362B6A">
      <w:pPr>
        <w:pStyle w:val="normal"/>
        <w:widowControl w:val="0"/>
        <w:spacing w:after="0" w:line="240" w:lineRule="auto"/>
        <w:rPr>
          <w:rFonts w:ascii="Athiti" w:eastAsia="Athiti" w:hAnsi="Athiti" w:cs="Athiti"/>
          <w:sz w:val="20"/>
          <w:szCs w:val="20"/>
          <w:lang w:val="cs-CZ"/>
        </w:rPr>
      </w:pPr>
    </w:p>
    <w:p w:rsidR="00362B6A" w:rsidRPr="00621AA4" w:rsidRDefault="00362B6A" w:rsidP="00362B6A">
      <w:pPr>
        <w:pStyle w:val="normal"/>
        <w:widowControl w:val="0"/>
        <w:spacing w:after="0" w:line="240" w:lineRule="auto"/>
        <w:rPr>
          <w:rFonts w:ascii="Athiti" w:eastAsia="Athiti" w:hAnsi="Athiti" w:cs="Athiti"/>
          <w:sz w:val="20"/>
          <w:szCs w:val="20"/>
          <w:lang w:val="cs-CZ"/>
        </w:rPr>
      </w:pPr>
    </w:p>
    <w:p w:rsidR="00362B6A" w:rsidRPr="00621AA4" w:rsidRDefault="00362B6A" w:rsidP="00362B6A">
      <w:pPr>
        <w:pStyle w:val="Nadpis1"/>
        <w:keepNext w:val="0"/>
        <w:keepLines w:val="0"/>
        <w:widowControl w:val="0"/>
        <w:numPr>
          <w:ilvl w:val="0"/>
          <w:numId w:val="15"/>
        </w:numPr>
        <w:spacing w:before="0" w:after="0" w:line="240" w:lineRule="auto"/>
        <w:rPr>
          <w:rFonts w:ascii="Caladea" w:eastAsia="Caladea" w:hAnsi="Caladea" w:cs="Caladea"/>
          <w:sz w:val="28"/>
          <w:szCs w:val="28"/>
          <w:lang w:val="cs-CZ"/>
        </w:rPr>
      </w:pPr>
      <w:bookmarkStart w:id="3" w:name="_heading=h.uiqdgf75rf5m" w:colFirst="0" w:colLast="0"/>
      <w:bookmarkEnd w:id="3"/>
      <w:r w:rsidRPr="00621AA4">
        <w:rPr>
          <w:rFonts w:ascii="Athiti" w:eastAsia="Athiti" w:hAnsi="Athiti" w:cs="Athiti"/>
          <w:sz w:val="28"/>
          <w:szCs w:val="28"/>
          <w:lang w:val="cs-CZ"/>
        </w:rPr>
        <w:t>PŘEDMĚT ÚPRAVY</w:t>
      </w:r>
    </w:p>
    <w:p w:rsidR="00362B6A" w:rsidRPr="00621AA4" w:rsidRDefault="00362B6A" w:rsidP="00362B6A">
      <w:pPr>
        <w:pStyle w:val="normal"/>
        <w:widowControl w:val="0"/>
        <w:numPr>
          <w:ilvl w:val="0"/>
          <w:numId w:val="12"/>
        </w:numPr>
        <w:spacing w:after="0" w:line="240" w:lineRule="auto"/>
        <w:rPr>
          <w:rFonts w:ascii="Georgia" w:eastAsia="Georgia" w:hAnsi="Georgia" w:cs="Georgia"/>
          <w:sz w:val="22"/>
          <w:szCs w:val="22"/>
          <w:lang w:val="cs-CZ"/>
        </w:rPr>
      </w:pPr>
      <w:r w:rsidRPr="00621AA4">
        <w:rPr>
          <w:rFonts w:ascii="Athiti" w:eastAsia="Athiti" w:hAnsi="Athiti" w:cs="Athiti"/>
          <w:i/>
          <w:lang w:val="cs-CZ"/>
        </w:rPr>
        <w:t>Pravidla a postupy pro vyřizování stížností a reklamací</w:t>
      </w:r>
      <w:r w:rsidRPr="00621AA4">
        <w:rPr>
          <w:rFonts w:ascii="Athiti" w:eastAsia="Athiti" w:hAnsi="Athiti" w:cs="Athiti"/>
          <w:lang w:val="cs-CZ"/>
        </w:rPr>
        <w:t xml:space="preserve"> (dále jen „Zásady“</w:t>
      </w:r>
      <w:r w:rsidRPr="00621AA4">
        <w:rPr>
          <w:rFonts w:ascii="Arial" w:eastAsia="Arial" w:hAnsi="Arial" w:cs="Arial"/>
          <w:sz w:val="22"/>
          <w:szCs w:val="22"/>
          <w:lang w:val="cs-CZ"/>
        </w:rPr>
        <w:t xml:space="preserve">) </w:t>
      </w:r>
      <w:r w:rsidRPr="00621AA4">
        <w:rPr>
          <w:rFonts w:ascii="Athiti" w:eastAsia="Athiti" w:hAnsi="Athiti" w:cs="Athiti"/>
          <w:lang w:val="cs-CZ"/>
        </w:rPr>
        <w:t>zavádí účinné a transparentní vnitřní pravidla a postupy pro bezodkladné, korektní a jednotné vyřizování stížností a reklamací, které Společnost obdrží od klientů (spotřebitelů i jiných klientů), jakož i interní kontrolní mechanismy a další postupy s cílem zajistit vhodná a účinná preventivní nápravná opatření s cílem minimalizace stížností a reklamací klientů.</w:t>
      </w:r>
    </w:p>
    <w:p w:rsidR="00362B6A" w:rsidRPr="00621AA4" w:rsidRDefault="00362B6A" w:rsidP="00362B6A">
      <w:pPr>
        <w:pStyle w:val="normal"/>
        <w:widowControl w:val="0"/>
        <w:numPr>
          <w:ilvl w:val="0"/>
          <w:numId w:val="3"/>
        </w:numPr>
        <w:spacing w:after="0" w:line="240" w:lineRule="auto"/>
        <w:rPr>
          <w:rFonts w:ascii="Georgia" w:eastAsia="Georgia" w:hAnsi="Georgia" w:cs="Georgia"/>
          <w:sz w:val="22"/>
          <w:szCs w:val="22"/>
          <w:lang w:val="cs-CZ"/>
        </w:rPr>
      </w:pPr>
      <w:r w:rsidRPr="00621AA4">
        <w:rPr>
          <w:rFonts w:ascii="Athiti" w:eastAsia="Athiti" w:hAnsi="Athiti" w:cs="Athiti"/>
          <w:lang w:val="cs-CZ"/>
        </w:rPr>
        <w:t>Zásady definují povinnosti jednotlivých útvarů, lhůty pro vyřízení stížností a reklamací, jakož i odpovědnost za dohled nad dodržováním těchto Zásad a přijetí příslušných nápravných opatření pro zajištění náležitého řídicího a kontrolního systému Společnosti.</w:t>
      </w:r>
    </w:p>
    <w:p w:rsidR="00362B6A" w:rsidRPr="00621AA4" w:rsidRDefault="00362B6A" w:rsidP="00362B6A">
      <w:pPr>
        <w:pStyle w:val="normal"/>
        <w:widowControl w:val="0"/>
        <w:numPr>
          <w:ilvl w:val="0"/>
          <w:numId w:val="3"/>
        </w:numPr>
        <w:spacing w:after="0" w:line="240" w:lineRule="auto"/>
        <w:rPr>
          <w:rFonts w:ascii="Athiti" w:eastAsia="Athiti" w:hAnsi="Athiti" w:cs="Athiti"/>
          <w:lang w:val="cs-CZ"/>
        </w:rPr>
      </w:pPr>
      <w:r w:rsidRPr="00621AA4">
        <w:rPr>
          <w:rFonts w:ascii="Athiti" w:eastAsia="Athiti" w:hAnsi="Athiti" w:cs="Athiti"/>
          <w:lang w:val="cs-CZ"/>
        </w:rPr>
        <w:t>Zásady zohledňují mimo jiné následující právní předpisy a závazná výkladová právní stanoviska:</w:t>
      </w:r>
    </w:p>
    <w:p w:rsidR="00362B6A" w:rsidRPr="00621AA4" w:rsidRDefault="00362B6A" w:rsidP="00362B6A">
      <w:pPr>
        <w:pStyle w:val="normal"/>
        <w:widowControl w:val="0"/>
        <w:numPr>
          <w:ilvl w:val="1"/>
          <w:numId w:val="9"/>
        </w:numPr>
        <w:spacing w:after="0" w:line="240" w:lineRule="auto"/>
        <w:rPr>
          <w:rFonts w:ascii="Athiti" w:eastAsia="Athiti" w:hAnsi="Athiti" w:cs="Athiti"/>
          <w:lang w:val="cs-CZ"/>
        </w:rPr>
      </w:pPr>
      <w:r w:rsidRPr="00621AA4">
        <w:rPr>
          <w:rFonts w:ascii="Athiti" w:eastAsia="Athiti" w:hAnsi="Athiti" w:cs="Athiti"/>
          <w:lang w:val="cs-CZ"/>
        </w:rPr>
        <w:t>zákon č. 89/2012 Sb., občanský zákoník;</w:t>
      </w:r>
    </w:p>
    <w:p w:rsidR="00362B6A" w:rsidRPr="00621AA4" w:rsidRDefault="00362B6A" w:rsidP="00362B6A">
      <w:pPr>
        <w:pStyle w:val="normal"/>
        <w:widowControl w:val="0"/>
        <w:numPr>
          <w:ilvl w:val="1"/>
          <w:numId w:val="9"/>
        </w:numPr>
        <w:spacing w:after="0" w:line="240" w:lineRule="auto"/>
        <w:rPr>
          <w:rFonts w:ascii="Athiti" w:eastAsia="Athiti" w:hAnsi="Athiti" w:cs="Athiti"/>
          <w:lang w:val="cs-CZ"/>
        </w:rPr>
      </w:pPr>
      <w:r w:rsidRPr="00621AA4">
        <w:rPr>
          <w:rFonts w:ascii="Athiti" w:eastAsia="Athiti" w:hAnsi="Athiti" w:cs="Athiti"/>
          <w:lang w:val="cs-CZ"/>
        </w:rPr>
        <w:lastRenderedPageBreak/>
        <w:t>zákon č. 634/1992 Sb., o ochraně spotřebitele;</w:t>
      </w:r>
    </w:p>
    <w:p w:rsidR="00362B6A" w:rsidRPr="00621AA4" w:rsidRDefault="00362B6A" w:rsidP="00362B6A">
      <w:pPr>
        <w:pStyle w:val="normal"/>
        <w:widowControl w:val="0"/>
        <w:numPr>
          <w:ilvl w:val="1"/>
          <w:numId w:val="9"/>
        </w:numPr>
        <w:spacing w:after="0" w:line="240" w:lineRule="auto"/>
        <w:rPr>
          <w:rFonts w:ascii="Athiti" w:eastAsia="Athiti" w:hAnsi="Athiti" w:cs="Athiti"/>
          <w:lang w:val="cs-CZ"/>
        </w:rPr>
      </w:pPr>
      <w:r w:rsidRPr="00621AA4">
        <w:rPr>
          <w:rFonts w:ascii="Athiti" w:eastAsia="Athiti" w:hAnsi="Athiti" w:cs="Athiti"/>
          <w:lang w:val="cs-CZ"/>
        </w:rPr>
        <w:t>nařízení Evropského parlamentu a Rady (EU) 2023/1114 ze dne 31. května 2023 o trzích s kryptoaktivy;</w:t>
      </w:r>
    </w:p>
    <w:p w:rsidR="00362B6A" w:rsidRPr="00621AA4" w:rsidRDefault="00362B6A" w:rsidP="00362B6A">
      <w:pPr>
        <w:pStyle w:val="normal"/>
        <w:widowControl w:val="0"/>
        <w:numPr>
          <w:ilvl w:val="1"/>
          <w:numId w:val="9"/>
        </w:numPr>
        <w:spacing w:after="0" w:line="240" w:lineRule="auto"/>
        <w:rPr>
          <w:rFonts w:ascii="Athiti" w:eastAsia="Athiti" w:hAnsi="Athiti" w:cs="Athiti"/>
          <w:lang w:val="cs-CZ"/>
        </w:rPr>
      </w:pPr>
      <w:bookmarkStart w:id="4" w:name="_heading=h.xq3eikmo0fza" w:colFirst="0" w:colLast="0"/>
      <w:bookmarkEnd w:id="4"/>
      <w:r w:rsidRPr="00621AA4">
        <w:rPr>
          <w:rFonts w:ascii="Athiti" w:eastAsia="Athiti" w:hAnsi="Athiti" w:cs="Athiti"/>
          <w:lang w:val="cs-CZ"/>
        </w:rPr>
        <w:t>regulační technické normy („RTS“) vydané na základě čl. 71 odst. 5 MiCA, které upřesňují požadavky, vzory a postupy pro vyřizování stížností.</w:t>
      </w:r>
    </w:p>
    <w:p w:rsidR="00362B6A" w:rsidRPr="00621AA4" w:rsidRDefault="00362B6A" w:rsidP="00362B6A">
      <w:pPr>
        <w:pStyle w:val="Nzev"/>
        <w:keepNext w:val="0"/>
        <w:keepLines w:val="0"/>
        <w:widowControl w:val="0"/>
        <w:spacing w:before="0" w:after="0" w:line="240" w:lineRule="auto"/>
        <w:ind w:right="130"/>
        <w:rPr>
          <w:rFonts w:ascii="Athiti" w:eastAsia="Athiti" w:hAnsi="Athiti" w:cs="Athiti"/>
          <w:b w:val="0"/>
          <w:sz w:val="24"/>
          <w:szCs w:val="24"/>
          <w:lang w:val="cs-CZ"/>
        </w:rPr>
      </w:pPr>
      <w:bookmarkStart w:id="5" w:name="_heading=h.ub4r3coh3md8" w:colFirst="0" w:colLast="0"/>
      <w:bookmarkEnd w:id="5"/>
    </w:p>
    <w:p w:rsidR="00362B6A" w:rsidRPr="00621AA4" w:rsidRDefault="00362B6A" w:rsidP="00362B6A">
      <w:pPr>
        <w:pStyle w:val="Nadpis1"/>
        <w:keepNext w:val="0"/>
        <w:keepLines w:val="0"/>
        <w:widowControl w:val="0"/>
        <w:numPr>
          <w:ilvl w:val="0"/>
          <w:numId w:val="9"/>
        </w:numPr>
        <w:spacing w:before="0" w:after="0" w:line="240" w:lineRule="auto"/>
        <w:rPr>
          <w:rFonts w:ascii="Caladea" w:eastAsia="Caladea" w:hAnsi="Caladea" w:cs="Caladea"/>
          <w:sz w:val="28"/>
          <w:szCs w:val="28"/>
          <w:lang w:val="cs-CZ"/>
        </w:rPr>
      </w:pPr>
      <w:bookmarkStart w:id="6" w:name="_heading=h.rco93sk2nvrs" w:colFirst="0" w:colLast="0"/>
      <w:bookmarkEnd w:id="6"/>
      <w:r w:rsidRPr="00621AA4">
        <w:rPr>
          <w:rFonts w:ascii="Athiti" w:eastAsia="Athiti" w:hAnsi="Athiti" w:cs="Athiti"/>
          <w:sz w:val="28"/>
          <w:szCs w:val="28"/>
          <w:lang w:val="cs-CZ"/>
        </w:rPr>
        <w:t>PŮSOBNOST A ROZLIŠENÍ STÍŽNOSTI A REKLAMACE</w:t>
      </w:r>
    </w:p>
    <w:p w:rsidR="00362B6A" w:rsidRPr="00621AA4" w:rsidRDefault="00362B6A" w:rsidP="00362B6A">
      <w:pPr>
        <w:pStyle w:val="normal"/>
        <w:widowControl w:val="0"/>
        <w:numPr>
          <w:ilvl w:val="0"/>
          <w:numId w:val="10"/>
        </w:numPr>
        <w:spacing w:after="0" w:line="240" w:lineRule="auto"/>
        <w:rPr>
          <w:rFonts w:ascii="Athiti" w:eastAsia="Athiti" w:hAnsi="Athiti" w:cs="Athiti"/>
          <w:lang w:val="cs-CZ"/>
        </w:rPr>
      </w:pPr>
      <w:bookmarkStart w:id="7" w:name="_heading=h.nx3v3ki7udox" w:colFirst="0" w:colLast="0"/>
      <w:bookmarkEnd w:id="7"/>
      <w:r w:rsidRPr="00621AA4">
        <w:rPr>
          <w:rFonts w:ascii="Athiti" w:eastAsia="Athiti" w:hAnsi="Athiti" w:cs="Athiti"/>
          <w:lang w:val="cs-CZ"/>
        </w:rPr>
        <w:t>Zásady se vztahují na všechny klienty společnosti bez ohledu na jejich právní formu nebo postavení. Jsou uplatňovány nediskriminačním způsobem a zajišťují rovné zacházení a spravedlnost pro všechny klienty.</w:t>
      </w:r>
    </w:p>
    <w:p w:rsidR="00362B6A" w:rsidRPr="00621AA4" w:rsidRDefault="00362B6A" w:rsidP="00362B6A">
      <w:pPr>
        <w:pStyle w:val="normal"/>
        <w:widowControl w:val="0"/>
        <w:numPr>
          <w:ilvl w:val="0"/>
          <w:numId w:val="10"/>
        </w:numPr>
        <w:spacing w:before="240" w:after="240" w:line="240" w:lineRule="auto"/>
        <w:rPr>
          <w:rFonts w:ascii="Athiti" w:eastAsia="Athiti" w:hAnsi="Athiti" w:cs="Athiti"/>
          <w:lang w:val="cs-CZ"/>
        </w:rPr>
      </w:pPr>
      <w:r w:rsidRPr="00621AA4">
        <w:rPr>
          <w:rFonts w:ascii="Noto Sans Symbols" w:eastAsia="Noto Sans Symbols" w:hAnsi="Noto Sans Symbols" w:cs="Noto Sans Symbols"/>
          <w:sz w:val="20"/>
          <w:szCs w:val="20"/>
          <w:lang w:val="cs-CZ"/>
        </w:rPr>
        <w:t xml:space="preserve">Zásady se vztahují na reklamace i stížnosti. </w:t>
      </w:r>
    </w:p>
    <w:p w:rsidR="00362B6A" w:rsidRPr="00621AA4" w:rsidRDefault="00362B6A" w:rsidP="00362B6A">
      <w:pPr>
        <w:pStyle w:val="normal"/>
        <w:widowControl w:val="0"/>
        <w:numPr>
          <w:ilvl w:val="0"/>
          <w:numId w:val="10"/>
        </w:numPr>
        <w:spacing w:before="240" w:after="240" w:line="240" w:lineRule="auto"/>
        <w:rPr>
          <w:rFonts w:ascii="Athiti" w:eastAsia="Athiti" w:hAnsi="Athiti" w:cs="Athiti"/>
          <w:lang w:val="cs-CZ"/>
        </w:rPr>
      </w:pPr>
      <w:bookmarkStart w:id="8" w:name="_heading=h.ldnvtwnzw3h6" w:colFirst="0" w:colLast="0"/>
      <w:bookmarkEnd w:id="8"/>
      <w:r w:rsidRPr="00621AA4">
        <w:rPr>
          <w:rFonts w:ascii="Athiti" w:eastAsia="Athiti" w:hAnsi="Athiti" w:cs="Athiti"/>
          <w:lang w:val="cs-CZ"/>
        </w:rPr>
        <w:t>Reklamace se týká</w:t>
      </w:r>
      <w:r w:rsidRPr="00621AA4">
        <w:rPr>
          <w:rFonts w:ascii="Athiti" w:eastAsia="Athiti" w:hAnsi="Athiti" w:cs="Athiti"/>
          <w:b/>
          <w:lang w:val="cs-CZ"/>
        </w:rPr>
        <w:t xml:space="preserve"> </w:t>
      </w:r>
      <w:r w:rsidRPr="00621AA4">
        <w:rPr>
          <w:rFonts w:ascii="Athiti" w:eastAsia="Athiti" w:hAnsi="Athiti" w:cs="Athiti"/>
          <w:lang w:val="cs-CZ"/>
        </w:rPr>
        <w:t>situací, kdy zákazník uplatňuje právo na nápravu. V kontextu směny kryptoaktiv to může zahrnovat například situace, kdy došlo k chybě při provádění transakce nebo nesplnění smluvních podmínek.</w:t>
      </w:r>
    </w:p>
    <w:p w:rsidR="00362B6A" w:rsidRPr="00621AA4" w:rsidRDefault="00362B6A" w:rsidP="00362B6A">
      <w:pPr>
        <w:pStyle w:val="normal"/>
        <w:widowControl w:val="0"/>
        <w:numPr>
          <w:ilvl w:val="0"/>
          <w:numId w:val="10"/>
        </w:numPr>
        <w:spacing w:before="240" w:after="240" w:line="240" w:lineRule="auto"/>
        <w:rPr>
          <w:rFonts w:ascii="Athiti" w:eastAsia="Athiti" w:hAnsi="Athiti" w:cs="Athiti"/>
          <w:lang w:val="cs-CZ"/>
        </w:rPr>
      </w:pPr>
      <w:bookmarkStart w:id="9" w:name="_heading=h.9lzieb482hyo" w:colFirst="0" w:colLast="0"/>
      <w:bookmarkEnd w:id="9"/>
      <w:r w:rsidRPr="00621AA4">
        <w:rPr>
          <w:rFonts w:ascii="Athiti" w:eastAsia="Athiti" w:hAnsi="Athiti" w:cs="Athiti"/>
          <w:lang w:val="cs-CZ"/>
        </w:rPr>
        <w:t>Stížnost je širší pojem, který zahrnuje jakékoli vyjádření nespokojenosti zákazníka s poskytovanými službami, procesy nebo jednáním zaměstnanců či pracovníků Společnosti. Stížnosti mohou zahrnovat aspekty jako kvalitu zákaznického servisu nebo nedostatečné informace o službách na internetové stránce Společnosti.</w:t>
      </w:r>
    </w:p>
    <w:p w:rsidR="00362B6A" w:rsidRPr="00621AA4" w:rsidRDefault="00362B6A" w:rsidP="00362B6A">
      <w:pPr>
        <w:pStyle w:val="normal"/>
        <w:widowControl w:val="0"/>
        <w:numPr>
          <w:ilvl w:val="0"/>
          <w:numId w:val="10"/>
        </w:numPr>
        <w:spacing w:before="240" w:after="240" w:line="240" w:lineRule="auto"/>
        <w:rPr>
          <w:rFonts w:ascii="Athiti" w:eastAsia="Athiti" w:hAnsi="Athiti" w:cs="Athiti"/>
          <w:lang w:val="cs-CZ"/>
        </w:rPr>
      </w:pPr>
      <w:bookmarkStart w:id="10" w:name="_heading=h.eq39iyo405sd" w:colFirst="0" w:colLast="0"/>
      <w:bookmarkEnd w:id="10"/>
      <w:r w:rsidRPr="00621AA4">
        <w:rPr>
          <w:rFonts w:ascii="Athiti" w:eastAsia="Athiti" w:hAnsi="Athiti" w:cs="Athiti"/>
          <w:lang w:val="cs-CZ"/>
        </w:rPr>
        <w:t>Níže je uveden základní přehled, který lze použít jako pomůcku pro rozlišení mezi reklamací a stížností:</w:t>
      </w:r>
    </w:p>
    <w:p w:rsidR="00362B6A" w:rsidRPr="00621AA4" w:rsidRDefault="00362B6A" w:rsidP="00362B6A">
      <w:pPr>
        <w:pStyle w:val="normal"/>
        <w:widowControl w:val="0"/>
        <w:spacing w:after="0" w:line="240" w:lineRule="auto"/>
        <w:ind w:left="720"/>
        <w:rPr>
          <w:rFonts w:ascii="Athiti" w:eastAsia="Athiti" w:hAnsi="Athiti" w:cs="Athiti"/>
          <w:lang w:val="cs-CZ"/>
        </w:rPr>
      </w:pPr>
      <w:bookmarkStart w:id="11" w:name="_heading=h.abi98wmbz2og" w:colFirst="0" w:colLast="0"/>
      <w:bookmarkEnd w:id="11"/>
      <w:r w:rsidRPr="00621AA4">
        <w:rPr>
          <w:rFonts w:ascii="Athiti" w:eastAsia="Athiti" w:hAnsi="Athiti" w:cs="Athiti"/>
          <w:noProof/>
        </w:rPr>
        <w:drawing>
          <wp:inline distT="114300" distB="114300" distL="114300" distR="114300">
            <wp:extent cx="6083300" cy="369570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083300" cy="3695700"/>
                    </a:xfrm>
                    <a:prstGeom prst="rect">
                      <a:avLst/>
                    </a:prstGeom>
                    <a:ln/>
                  </pic:spPr>
                </pic:pic>
              </a:graphicData>
            </a:graphic>
          </wp:inline>
        </w:drawing>
      </w:r>
    </w:p>
    <w:p w:rsidR="00362B6A" w:rsidRPr="00621AA4" w:rsidRDefault="00362B6A" w:rsidP="00362B6A">
      <w:pPr>
        <w:pStyle w:val="normal"/>
        <w:widowControl w:val="0"/>
        <w:spacing w:after="0" w:line="240" w:lineRule="auto"/>
        <w:ind w:left="720"/>
        <w:rPr>
          <w:rFonts w:ascii="Athiti" w:eastAsia="Athiti" w:hAnsi="Athiti" w:cs="Athiti"/>
          <w:lang w:val="cs-CZ"/>
        </w:rPr>
      </w:pPr>
    </w:p>
    <w:p w:rsidR="00362B6A" w:rsidRPr="00621AA4" w:rsidRDefault="00362B6A" w:rsidP="00362B6A">
      <w:pPr>
        <w:pStyle w:val="Nadpis1"/>
        <w:keepNext w:val="0"/>
        <w:keepLines w:val="0"/>
        <w:widowControl w:val="0"/>
        <w:numPr>
          <w:ilvl w:val="0"/>
          <w:numId w:val="9"/>
        </w:numPr>
        <w:spacing w:before="0" w:after="0" w:line="240" w:lineRule="auto"/>
        <w:rPr>
          <w:rFonts w:ascii="Athiti" w:eastAsia="Athiti" w:hAnsi="Athiti" w:cs="Athiti"/>
          <w:sz w:val="28"/>
          <w:szCs w:val="28"/>
          <w:lang w:val="cs-CZ"/>
        </w:rPr>
      </w:pPr>
      <w:bookmarkStart w:id="12" w:name="_heading=h.gw9ml28cnd3u" w:colFirst="0" w:colLast="0"/>
      <w:bookmarkEnd w:id="12"/>
      <w:r w:rsidRPr="00621AA4">
        <w:rPr>
          <w:rFonts w:ascii="Athiti" w:eastAsia="Athiti" w:hAnsi="Athiti" w:cs="Athiti"/>
          <w:sz w:val="28"/>
          <w:szCs w:val="28"/>
          <w:lang w:val="cs-CZ"/>
        </w:rPr>
        <w:t>PRAVIDLA PRO VYŘIZOVÁNÍ STÍŽNOSTÍ A REKLAMACÍ</w:t>
      </w:r>
    </w:p>
    <w:p w:rsidR="00362B6A" w:rsidRPr="00621AA4" w:rsidRDefault="00362B6A" w:rsidP="00362B6A">
      <w:pPr>
        <w:pStyle w:val="normal"/>
        <w:widowControl w:val="0"/>
        <w:numPr>
          <w:ilvl w:val="0"/>
          <w:numId w:val="18"/>
        </w:numPr>
        <w:spacing w:after="0" w:line="240" w:lineRule="auto"/>
        <w:rPr>
          <w:rFonts w:ascii="Athiti" w:eastAsia="Athiti" w:hAnsi="Athiti" w:cs="Athiti"/>
          <w:lang w:val="cs-CZ"/>
        </w:rPr>
      </w:pPr>
      <w:bookmarkStart w:id="13" w:name="_heading=h.ovjupqohe3a8" w:colFirst="0" w:colLast="0"/>
      <w:bookmarkEnd w:id="13"/>
      <w:r w:rsidRPr="00621AA4">
        <w:rPr>
          <w:rFonts w:ascii="Athiti" w:eastAsia="Athiti" w:hAnsi="Athiti" w:cs="Athiti"/>
          <w:lang w:val="cs-CZ"/>
        </w:rPr>
        <w:lastRenderedPageBreak/>
        <w:t xml:space="preserve">Všechny stížnosti a reklamace Společnost řeší s náležitou odbornou péčí, tedy zejména včas, bezodkladně (bez zbytečných průtahů), bezplatně, spravedlivě a nediskriminačně (jednotným způsobem), při dodržení </w:t>
      </w:r>
      <w:r w:rsidRPr="00621AA4">
        <w:rPr>
          <w:rFonts w:ascii="Athiti" w:eastAsia="Athiti" w:hAnsi="Athiti" w:cs="Athiti"/>
          <w:i/>
          <w:lang w:val="cs-CZ"/>
        </w:rPr>
        <w:t>Pravidel rovného zacházení</w:t>
      </w:r>
      <w:r w:rsidRPr="00621AA4">
        <w:rPr>
          <w:rFonts w:ascii="Athiti" w:eastAsia="Athiti" w:hAnsi="Athiti" w:cs="Athiti"/>
          <w:lang w:val="cs-CZ"/>
        </w:rPr>
        <w:t xml:space="preserve"> a všech následujících zásad.  </w:t>
      </w:r>
    </w:p>
    <w:p w:rsidR="00362B6A" w:rsidRPr="00621AA4" w:rsidRDefault="00362B6A" w:rsidP="00362B6A">
      <w:pPr>
        <w:pStyle w:val="normal"/>
        <w:widowControl w:val="0"/>
        <w:numPr>
          <w:ilvl w:val="0"/>
          <w:numId w:val="18"/>
        </w:numPr>
        <w:spacing w:after="0" w:line="240" w:lineRule="auto"/>
        <w:rPr>
          <w:rFonts w:ascii="Georgia" w:eastAsia="Georgia" w:hAnsi="Georgia" w:cs="Georgia"/>
          <w:sz w:val="22"/>
          <w:szCs w:val="22"/>
          <w:lang w:val="cs-CZ"/>
        </w:rPr>
      </w:pPr>
      <w:r w:rsidRPr="00621AA4">
        <w:rPr>
          <w:rFonts w:ascii="Athiti" w:eastAsia="Athiti" w:hAnsi="Athiti" w:cs="Athiti"/>
          <w:lang w:val="cs-CZ"/>
        </w:rPr>
        <w:t>Při šetření a vyřizování stížností a reklamací jsou dodržovány následující pravidla:</w:t>
      </w:r>
    </w:p>
    <w:p w:rsidR="00362B6A" w:rsidRPr="00621AA4" w:rsidRDefault="00362B6A" w:rsidP="00362B6A">
      <w:pPr>
        <w:pStyle w:val="normal"/>
        <w:widowControl w:val="0"/>
        <w:numPr>
          <w:ilvl w:val="1"/>
          <w:numId w:val="4"/>
        </w:numPr>
        <w:spacing w:after="0" w:line="240" w:lineRule="auto"/>
        <w:rPr>
          <w:rFonts w:ascii="Athiti" w:eastAsia="Athiti" w:hAnsi="Athiti" w:cs="Athiti"/>
          <w:lang w:val="cs-CZ"/>
        </w:rPr>
      </w:pPr>
      <w:r w:rsidRPr="00621AA4">
        <w:rPr>
          <w:rFonts w:ascii="Athiti" w:eastAsia="Athiti" w:hAnsi="Athiti" w:cs="Athiti"/>
          <w:lang w:val="cs-CZ"/>
        </w:rPr>
        <w:t xml:space="preserve">všechny stížnosti a reklamace jsou vyřizovány </w:t>
      </w:r>
      <w:r w:rsidRPr="00621AA4">
        <w:rPr>
          <w:rFonts w:ascii="Athiti" w:eastAsia="Athiti" w:hAnsi="Athiti" w:cs="Athiti"/>
          <w:b/>
          <w:lang w:val="cs-CZ"/>
        </w:rPr>
        <w:t>bezplatně</w:t>
      </w:r>
      <w:r w:rsidRPr="00621AA4">
        <w:rPr>
          <w:rFonts w:ascii="Athiti" w:eastAsia="Athiti" w:hAnsi="Athiti" w:cs="Athiti"/>
          <w:lang w:val="cs-CZ"/>
        </w:rPr>
        <w:t>, klientům nejsou účtovány žádné poplatky za podání ani vyřízení stížnosti či reklamace;</w:t>
      </w:r>
    </w:p>
    <w:p w:rsidR="00362B6A" w:rsidRPr="00621AA4" w:rsidRDefault="00362B6A" w:rsidP="00362B6A">
      <w:pPr>
        <w:pStyle w:val="normal"/>
        <w:widowControl w:val="0"/>
        <w:numPr>
          <w:ilvl w:val="1"/>
          <w:numId w:val="4"/>
        </w:numPr>
        <w:spacing w:after="0" w:line="240" w:lineRule="auto"/>
        <w:rPr>
          <w:rFonts w:ascii="Athiti" w:eastAsia="Athiti" w:hAnsi="Athiti" w:cs="Athiti"/>
          <w:lang w:val="cs-CZ"/>
        </w:rPr>
      </w:pPr>
      <w:r w:rsidRPr="00621AA4">
        <w:rPr>
          <w:rFonts w:ascii="Athiti" w:eastAsia="Athiti" w:hAnsi="Athiti" w:cs="Athiti"/>
          <w:lang w:val="cs-CZ"/>
        </w:rPr>
        <w:t xml:space="preserve">všichni klienti jsou navenek náležitě informováni o možnostech způsobu podání stížnosti a reklamace, a to minimálně na webu Společnosti prostřednictvím </w:t>
      </w:r>
      <w:r w:rsidRPr="00621AA4">
        <w:rPr>
          <w:rFonts w:ascii="Athiti" w:eastAsia="Athiti" w:hAnsi="Athiti" w:cs="Athiti"/>
          <w:i/>
          <w:lang w:val="cs-CZ"/>
        </w:rPr>
        <w:t xml:space="preserve">Reklamačního řádu a Postupu pro podání stížnosti </w:t>
      </w:r>
      <w:r w:rsidRPr="00621AA4">
        <w:rPr>
          <w:rFonts w:ascii="Athiti" w:eastAsia="Athiti" w:hAnsi="Athiti" w:cs="Athiti"/>
          <w:lang w:val="cs-CZ"/>
        </w:rPr>
        <w:t>(„</w:t>
      </w:r>
      <w:r w:rsidRPr="00621AA4">
        <w:rPr>
          <w:rFonts w:ascii="Athiti" w:eastAsia="Athiti" w:hAnsi="Athiti" w:cs="Athiti"/>
          <w:i/>
          <w:lang w:val="cs-CZ"/>
        </w:rPr>
        <w:t>Reklamační řád</w:t>
      </w:r>
      <w:r w:rsidRPr="00621AA4">
        <w:rPr>
          <w:rFonts w:ascii="Athiti" w:eastAsia="Athiti" w:hAnsi="Athiti" w:cs="Athiti"/>
          <w:lang w:val="cs-CZ"/>
        </w:rPr>
        <w:t>“);</w:t>
      </w:r>
    </w:p>
    <w:p w:rsidR="00362B6A" w:rsidRPr="00621AA4" w:rsidRDefault="00362B6A" w:rsidP="00362B6A">
      <w:pPr>
        <w:pStyle w:val="normal"/>
        <w:widowControl w:val="0"/>
        <w:numPr>
          <w:ilvl w:val="1"/>
          <w:numId w:val="4"/>
        </w:numPr>
        <w:spacing w:after="0" w:line="240" w:lineRule="auto"/>
        <w:rPr>
          <w:rFonts w:ascii="Athiti" w:eastAsia="Athiti" w:hAnsi="Athiti" w:cs="Athiti"/>
          <w:lang w:val="cs-CZ"/>
        </w:rPr>
      </w:pPr>
      <w:r w:rsidRPr="00621AA4">
        <w:rPr>
          <w:rFonts w:ascii="Athiti" w:eastAsia="Athiti" w:hAnsi="Athiti" w:cs="Athiti"/>
          <w:lang w:val="cs-CZ"/>
        </w:rPr>
        <w:t xml:space="preserve">v souladu s Reklamačním řádem a RTS ESMA je prostřednictvím webu Společnosti všem klientům Společnosti také zpřístupněn </w:t>
      </w:r>
      <w:r w:rsidRPr="00621AA4">
        <w:rPr>
          <w:rFonts w:ascii="Athiti" w:eastAsia="Athiti" w:hAnsi="Athiti" w:cs="Athiti"/>
          <w:b/>
          <w:lang w:val="cs-CZ"/>
        </w:rPr>
        <w:t>standardizovaný vzor pro podání stížnosti či reklamace</w:t>
      </w:r>
      <w:r w:rsidRPr="00621AA4">
        <w:rPr>
          <w:rFonts w:ascii="Athiti" w:eastAsia="Athiti" w:hAnsi="Athiti" w:cs="Athiti"/>
          <w:lang w:val="cs-CZ"/>
        </w:rPr>
        <w:t>;</w:t>
      </w:r>
    </w:p>
    <w:p w:rsidR="00362B6A" w:rsidRPr="00621AA4" w:rsidRDefault="00362B6A" w:rsidP="00362B6A">
      <w:pPr>
        <w:pStyle w:val="normal"/>
        <w:widowControl w:val="0"/>
        <w:numPr>
          <w:ilvl w:val="1"/>
          <w:numId w:val="4"/>
        </w:numPr>
        <w:spacing w:after="0" w:line="240" w:lineRule="auto"/>
        <w:rPr>
          <w:rFonts w:ascii="Athiti" w:eastAsia="Athiti" w:hAnsi="Athiti" w:cs="Athiti"/>
          <w:lang w:val="cs-CZ"/>
        </w:rPr>
      </w:pPr>
      <w:r w:rsidRPr="00621AA4">
        <w:rPr>
          <w:rFonts w:ascii="Athiti" w:eastAsia="Athiti" w:hAnsi="Athiti" w:cs="Athiti"/>
          <w:lang w:val="cs-CZ"/>
        </w:rPr>
        <w:t>všichni klienti jsou v Reklamačním řádu informováni též o možnosti obrátit se na orgán veřejnoprávního dohledu (ČNB) a v případě sporu také na místně příslušný soud či na Finančního arbitra, který je příslušný k rozhodování sporů ohledně kryptoaktiv, která mají finanční využití, tedy mají využití k investici nebo jako prostředek směny (</w:t>
      </w:r>
      <w:hyperlink r:id="rId12">
        <w:r w:rsidRPr="00621AA4">
          <w:rPr>
            <w:rFonts w:ascii="Athiti" w:eastAsia="Athiti" w:hAnsi="Athiti" w:cs="Athiti"/>
            <w:color w:val="0563C1"/>
            <w:u w:val="single"/>
            <w:lang w:val="cs-CZ"/>
          </w:rPr>
          <w:t>https://finarbitr.cz/cs/informace-pro-verejnost/aktuality/rozsireni-pusobnosti-o-reseni-sporu-v-oblasti-investovani-sporu-z-kryptoaktiv-420.html</w:t>
        </w:r>
      </w:hyperlink>
      <w:r w:rsidRPr="00621AA4">
        <w:rPr>
          <w:rFonts w:ascii="Athiti" w:eastAsia="Athiti" w:hAnsi="Athiti" w:cs="Athiti"/>
          <w:lang w:val="cs-CZ"/>
        </w:rPr>
        <w:t>);</w:t>
      </w:r>
    </w:p>
    <w:p w:rsidR="00362B6A" w:rsidRPr="00621AA4" w:rsidRDefault="00362B6A" w:rsidP="00362B6A">
      <w:pPr>
        <w:pStyle w:val="normal"/>
        <w:widowControl w:val="0"/>
        <w:numPr>
          <w:ilvl w:val="1"/>
          <w:numId w:val="4"/>
        </w:numPr>
        <w:spacing w:after="0" w:line="240" w:lineRule="auto"/>
        <w:rPr>
          <w:rFonts w:ascii="Athiti" w:eastAsia="Athiti" w:hAnsi="Athiti" w:cs="Athiti"/>
          <w:lang w:val="cs-CZ"/>
        </w:rPr>
      </w:pPr>
      <w:r w:rsidRPr="00621AA4">
        <w:rPr>
          <w:rFonts w:ascii="Athiti" w:eastAsia="Athiti" w:hAnsi="Athiti" w:cs="Athiti"/>
          <w:lang w:val="cs-CZ"/>
        </w:rPr>
        <w:t>všichni klienti jsou bezodkladně informováni o přijetí jejich stížnosti či reklamace, jakož i o způsobu jejího vyřízení, a to tím způsobem, který si zvolí (emailem, písemně, příp. jinak);</w:t>
      </w:r>
    </w:p>
    <w:p w:rsidR="00362B6A" w:rsidRPr="00621AA4" w:rsidRDefault="00362B6A" w:rsidP="00362B6A">
      <w:pPr>
        <w:pStyle w:val="normal"/>
        <w:widowControl w:val="0"/>
        <w:numPr>
          <w:ilvl w:val="1"/>
          <w:numId w:val="4"/>
        </w:numPr>
        <w:spacing w:after="0" w:line="240" w:lineRule="auto"/>
        <w:rPr>
          <w:rFonts w:ascii="Athiti" w:eastAsia="Athiti" w:hAnsi="Athiti" w:cs="Athiti"/>
          <w:lang w:val="cs-CZ"/>
        </w:rPr>
      </w:pPr>
      <w:r w:rsidRPr="00621AA4">
        <w:rPr>
          <w:rFonts w:ascii="Athiti" w:eastAsia="Athiti" w:hAnsi="Athiti" w:cs="Athiti"/>
          <w:lang w:val="cs-CZ"/>
        </w:rPr>
        <w:t xml:space="preserve">Společnost zejména prostřednictvím Pověřené osoby zajišťuje, aby do evidence stížností a reklamací byla zaznamenána příčina vzniku stížnosti či reklamace klienta, pokud je možno ji zjistit a dále aby v takovém případě byly zaznamenána doporučená nápravná opatření, o jejichž přijetí rozhoduje vedení Společnosti; </w:t>
      </w:r>
    </w:p>
    <w:p w:rsidR="00362B6A" w:rsidRPr="00621AA4" w:rsidRDefault="00362B6A" w:rsidP="00362B6A">
      <w:pPr>
        <w:pStyle w:val="normal"/>
        <w:widowControl w:val="0"/>
        <w:numPr>
          <w:ilvl w:val="1"/>
          <w:numId w:val="4"/>
        </w:numPr>
        <w:spacing w:after="0" w:line="240" w:lineRule="auto"/>
        <w:rPr>
          <w:rFonts w:ascii="Athiti" w:eastAsia="Athiti" w:hAnsi="Athiti" w:cs="Athiti"/>
          <w:lang w:val="cs-CZ"/>
        </w:rPr>
      </w:pPr>
      <w:r w:rsidRPr="00621AA4">
        <w:rPr>
          <w:rFonts w:ascii="Athiti" w:eastAsia="Athiti" w:hAnsi="Athiti" w:cs="Athiti"/>
          <w:lang w:val="cs-CZ"/>
        </w:rPr>
        <w:t>jakákoli komunikace s klientem musí být vedena za použití jednoduchého a snadno srozumitelného jazyka;</w:t>
      </w:r>
    </w:p>
    <w:p w:rsidR="00362B6A" w:rsidRPr="00621AA4" w:rsidRDefault="00362B6A" w:rsidP="00362B6A">
      <w:pPr>
        <w:pStyle w:val="normal"/>
        <w:widowControl w:val="0"/>
        <w:numPr>
          <w:ilvl w:val="1"/>
          <w:numId w:val="4"/>
        </w:numPr>
        <w:spacing w:after="0" w:line="240" w:lineRule="auto"/>
        <w:rPr>
          <w:rFonts w:ascii="Athiti" w:eastAsia="Athiti" w:hAnsi="Athiti" w:cs="Athiti"/>
          <w:lang w:val="cs-CZ"/>
        </w:rPr>
      </w:pPr>
      <w:r w:rsidRPr="00621AA4">
        <w:rPr>
          <w:rFonts w:ascii="Athiti" w:eastAsia="Athiti" w:hAnsi="Athiti" w:cs="Athiti"/>
          <w:lang w:val="cs-CZ"/>
        </w:rPr>
        <w:t>všechny stížnosti a reklamace jsou řešeny v souladu s platnými právními předpisy a smluvními podmínkami, s přihlédnutím ke všem podstatným skutečnostem a okolnostem, k jejichž zjištění Pověřená osoba vynaložila patřičné úsilí, v případě potřeby i v součinnosti s klientem (stěžovatelem).</w:t>
      </w:r>
    </w:p>
    <w:p w:rsidR="00362B6A" w:rsidRPr="00621AA4" w:rsidRDefault="00362B6A" w:rsidP="00362B6A">
      <w:pPr>
        <w:pStyle w:val="normal"/>
        <w:widowControl w:val="0"/>
        <w:spacing w:after="0" w:line="240" w:lineRule="auto"/>
        <w:ind w:left="1440"/>
        <w:rPr>
          <w:rFonts w:ascii="Athiti" w:eastAsia="Athiti" w:hAnsi="Athiti" w:cs="Athiti"/>
          <w:lang w:val="cs-CZ"/>
        </w:rPr>
      </w:pPr>
    </w:p>
    <w:p w:rsidR="00362B6A" w:rsidRPr="00621AA4" w:rsidRDefault="00362B6A" w:rsidP="00362B6A">
      <w:pPr>
        <w:pStyle w:val="Nadpis1"/>
        <w:keepNext w:val="0"/>
        <w:keepLines w:val="0"/>
        <w:widowControl w:val="0"/>
        <w:numPr>
          <w:ilvl w:val="0"/>
          <w:numId w:val="9"/>
        </w:numPr>
        <w:spacing w:before="0" w:after="0" w:line="240" w:lineRule="auto"/>
        <w:rPr>
          <w:rFonts w:ascii="Caladea" w:eastAsia="Caladea" w:hAnsi="Caladea" w:cs="Caladea"/>
          <w:sz w:val="28"/>
          <w:szCs w:val="28"/>
          <w:lang w:val="cs-CZ"/>
        </w:rPr>
      </w:pPr>
      <w:r w:rsidRPr="00621AA4">
        <w:rPr>
          <w:rFonts w:ascii="Athiti" w:eastAsia="Athiti" w:hAnsi="Athiti" w:cs="Athiti"/>
          <w:sz w:val="28"/>
          <w:szCs w:val="28"/>
          <w:lang w:val="cs-CZ"/>
        </w:rPr>
        <w:t>PŘIJÍMÁNÍ STÍŽNOSTÍ A REKLAMACÍ</w:t>
      </w:r>
    </w:p>
    <w:p w:rsidR="00362B6A" w:rsidRPr="00621AA4" w:rsidRDefault="00362B6A" w:rsidP="00362B6A">
      <w:pPr>
        <w:pStyle w:val="normal"/>
        <w:widowControl w:val="0"/>
        <w:numPr>
          <w:ilvl w:val="0"/>
          <w:numId w:val="8"/>
        </w:numPr>
        <w:spacing w:after="0" w:line="240" w:lineRule="auto"/>
        <w:rPr>
          <w:rFonts w:ascii="Georgia" w:eastAsia="Georgia" w:hAnsi="Georgia" w:cs="Georgia"/>
          <w:sz w:val="22"/>
          <w:szCs w:val="22"/>
          <w:lang w:val="cs-CZ"/>
        </w:rPr>
      </w:pPr>
      <w:r w:rsidRPr="00621AA4">
        <w:rPr>
          <w:rFonts w:ascii="Athiti" w:eastAsia="Athiti" w:hAnsi="Athiti" w:cs="Athiti"/>
          <w:lang w:val="cs-CZ"/>
        </w:rPr>
        <w:t xml:space="preserve">Společnost na svých webových stránkách </w:t>
      </w:r>
      <w:hyperlink r:id="rId13">
        <w:r w:rsidRPr="00621AA4">
          <w:rPr>
            <w:rFonts w:ascii="Athiti" w:eastAsia="Athiti" w:hAnsi="Athiti" w:cs="Athiti"/>
            <w:color w:val="1155CC"/>
            <w:u w:val="single"/>
            <w:lang w:val="cs-CZ"/>
          </w:rPr>
          <w:t>b2go.io</w:t>
        </w:r>
      </w:hyperlink>
      <w:r w:rsidRPr="00621AA4">
        <w:rPr>
          <w:rFonts w:ascii="Athiti" w:eastAsia="Athiti" w:hAnsi="Athiti" w:cs="Athiti"/>
          <w:lang w:val="cs-CZ"/>
        </w:rPr>
        <w:t xml:space="preserve"> zveřejnila Reklamační řád, ve kterém klienty informuje o možnostech a způsobu podání stížnosti či reklamace. Společnost zveřejňuje také standardizovaný vzor pro podání stížnosti v souladu s přílohou regulačních technických norem ESMA, který byl pouze v nezbytně nutné míře upraven tak, aby byl v souladu také s českou právní úpravou a současně nebyl v rozporu s citovanou přílohou. Použití tohoto vzoru však není pro klienty povinné a stížnosti i reklamaci mohou podat také emailem či písemně, ovšem každé podání klienta musí obsahovat povinné informace uvedené v Reklamačním řádu (zejména musí být z podání klienta zřejmé plné identifikační údaje klienta, konkrétní popis předmětu stížnosti či reklamace a v případě reklamace také případný požadovaný způsob nápravy). </w:t>
      </w:r>
    </w:p>
    <w:p w:rsidR="00362B6A" w:rsidRPr="00621AA4" w:rsidRDefault="00362B6A" w:rsidP="00362B6A">
      <w:pPr>
        <w:pStyle w:val="normal"/>
        <w:widowControl w:val="0"/>
        <w:numPr>
          <w:ilvl w:val="0"/>
          <w:numId w:val="8"/>
        </w:numPr>
        <w:spacing w:after="0" w:line="240" w:lineRule="auto"/>
        <w:rPr>
          <w:rFonts w:ascii="Georgia" w:eastAsia="Georgia" w:hAnsi="Georgia" w:cs="Georgia"/>
          <w:sz w:val="22"/>
          <w:szCs w:val="22"/>
          <w:lang w:val="cs-CZ"/>
        </w:rPr>
      </w:pPr>
      <w:r w:rsidRPr="00621AA4">
        <w:rPr>
          <w:rFonts w:ascii="Athiti" w:eastAsia="Athiti" w:hAnsi="Athiti" w:cs="Athiti"/>
          <w:lang w:val="cs-CZ"/>
        </w:rPr>
        <w:t>Stížnosti a reklamace je možné podávat v elektronické formě prostřednictvím emailu zaslaného na adresu Společnosti</w:t>
      </w:r>
      <w:r w:rsidRPr="00621AA4">
        <w:rPr>
          <w:rFonts w:ascii="Georgia" w:eastAsia="Georgia" w:hAnsi="Georgia" w:cs="Georgia"/>
          <w:sz w:val="22"/>
          <w:szCs w:val="22"/>
          <w:lang w:val="cs-CZ"/>
        </w:rPr>
        <w:t xml:space="preserve">, </w:t>
      </w:r>
      <w:r w:rsidRPr="00621AA4">
        <w:rPr>
          <w:rFonts w:ascii="Athiti" w:eastAsia="Athiti" w:hAnsi="Athiti" w:cs="Athiti"/>
          <w:lang w:val="cs-CZ"/>
        </w:rPr>
        <w:t xml:space="preserve">prostřednictvím elektronického formuláře dostupného </w:t>
      </w:r>
      <w:r w:rsidRPr="00621AA4">
        <w:rPr>
          <w:rFonts w:ascii="Athiti" w:eastAsia="Athiti" w:hAnsi="Athiti" w:cs="Athiti"/>
          <w:lang w:val="cs-CZ"/>
        </w:rPr>
        <w:lastRenderedPageBreak/>
        <w:t>na webových stránkách Společnosti nebo písemně na adresu sídla Společnosti.</w:t>
      </w:r>
    </w:p>
    <w:p w:rsidR="00362B6A" w:rsidRPr="00621AA4" w:rsidRDefault="00362B6A" w:rsidP="00362B6A">
      <w:pPr>
        <w:pStyle w:val="normal"/>
        <w:widowControl w:val="0"/>
        <w:numPr>
          <w:ilvl w:val="0"/>
          <w:numId w:val="8"/>
        </w:numPr>
        <w:spacing w:after="0" w:line="240" w:lineRule="auto"/>
        <w:rPr>
          <w:rFonts w:ascii="Georgia" w:eastAsia="Georgia" w:hAnsi="Georgia" w:cs="Georgia"/>
          <w:sz w:val="22"/>
          <w:szCs w:val="22"/>
          <w:lang w:val="cs-CZ"/>
        </w:rPr>
      </w:pPr>
      <w:r w:rsidRPr="00621AA4">
        <w:rPr>
          <w:rFonts w:ascii="Athiti" w:eastAsia="Athiti" w:hAnsi="Athiti" w:cs="Athiti"/>
          <w:lang w:val="cs-CZ"/>
        </w:rPr>
        <w:t>Veškeré stížnosti či reklamace S2polečnost přijímá a vyřizuje v češtině, slovenštině nebo angličtině dle volby klienta. V případě, že Společnost bude pro marketing svých služeb nebo pro komunikaci s klienty užívat i jiný jazyk, zajistí možnost přijetí a vyřízení stížnosti či reklamace také v tomto jiném jazyce. Komunikace s klientem musí být v jazyce, ve kterém klient (stěžovatel) podal svou stížnost/reklamaci, pokud je tento jazyk jedním z jazyků, ve kterých Společnost komunikuje s klienty.</w:t>
      </w:r>
    </w:p>
    <w:p w:rsidR="00362B6A" w:rsidRPr="00621AA4" w:rsidRDefault="00362B6A" w:rsidP="00362B6A">
      <w:pPr>
        <w:pStyle w:val="normal"/>
        <w:widowControl w:val="0"/>
        <w:spacing w:after="0" w:line="240" w:lineRule="auto"/>
        <w:ind w:left="720"/>
        <w:rPr>
          <w:rFonts w:ascii="Athiti" w:eastAsia="Athiti" w:hAnsi="Athiti" w:cs="Athiti"/>
          <w:b/>
          <w:lang w:val="cs-CZ"/>
        </w:rPr>
      </w:pPr>
    </w:p>
    <w:p w:rsidR="00362B6A" w:rsidRPr="00621AA4" w:rsidRDefault="00362B6A" w:rsidP="00362B6A">
      <w:pPr>
        <w:pStyle w:val="Nadpis1"/>
        <w:keepNext w:val="0"/>
        <w:keepLines w:val="0"/>
        <w:widowControl w:val="0"/>
        <w:numPr>
          <w:ilvl w:val="0"/>
          <w:numId w:val="9"/>
        </w:numPr>
        <w:spacing w:before="0" w:after="0" w:line="240" w:lineRule="auto"/>
        <w:rPr>
          <w:rFonts w:ascii="Caladea" w:eastAsia="Caladea" w:hAnsi="Caladea" w:cs="Caladea"/>
          <w:sz w:val="28"/>
          <w:szCs w:val="28"/>
          <w:lang w:val="cs-CZ"/>
        </w:rPr>
      </w:pPr>
      <w:bookmarkStart w:id="14" w:name="_heading=h.8wblbmovqb3k" w:colFirst="0" w:colLast="0"/>
      <w:bookmarkEnd w:id="14"/>
      <w:r w:rsidRPr="00621AA4">
        <w:rPr>
          <w:rFonts w:ascii="Athiti" w:eastAsia="Athiti" w:hAnsi="Athiti" w:cs="Athiti"/>
          <w:sz w:val="28"/>
          <w:szCs w:val="28"/>
          <w:lang w:val="cs-CZ"/>
        </w:rPr>
        <w:t>POVĚŘENÁ OSOBA PRO VYŘIZOVÁNÍ STÍŽNOSTÍ A REKLAMACÍ A VNITŘNÍ KONTROLNÍ SYSTÉM</w:t>
      </w:r>
    </w:p>
    <w:p w:rsidR="00362B6A" w:rsidRPr="00621AA4" w:rsidRDefault="00362B6A" w:rsidP="00362B6A">
      <w:pPr>
        <w:pStyle w:val="normal"/>
        <w:widowControl w:val="0"/>
        <w:numPr>
          <w:ilvl w:val="0"/>
          <w:numId w:val="6"/>
        </w:numPr>
        <w:spacing w:after="0" w:line="240" w:lineRule="auto"/>
        <w:rPr>
          <w:rFonts w:ascii="Georgia" w:eastAsia="Georgia" w:hAnsi="Georgia" w:cs="Georgia"/>
          <w:sz w:val="22"/>
          <w:szCs w:val="22"/>
          <w:lang w:val="cs-CZ"/>
        </w:rPr>
      </w:pPr>
      <w:r w:rsidRPr="00621AA4">
        <w:rPr>
          <w:rFonts w:ascii="Athiti" w:eastAsia="Athiti" w:hAnsi="Athiti" w:cs="Athiti"/>
          <w:lang w:val="cs-CZ"/>
        </w:rPr>
        <w:t xml:space="preserve">Osobou odpovědnou za vyřizování stížností a reklamací je Compliance&amp;AML Officer („Pověřená osoba“), nebude-li v určitém konkrétním případě vedením Společnosti určeno jinak (zejména v případě nepřítomnosti Pověřené osoby či v případě střetu zájmů, který lze očekávat zejména v případě, kdy by se podání klienta týkalo činnosti, kterou vykonává sama Pověřená osoba - může </w:t>
      </w:r>
      <w:r w:rsidR="00C558E0">
        <w:rPr>
          <w:rFonts w:ascii="Athiti" w:eastAsia="Athiti" w:hAnsi="Athiti" w:cs="Athiti"/>
          <w:lang w:val="cs-CZ"/>
        </w:rPr>
        <w:t>připadat v úvahu oblast AML/CFT</w:t>
      </w:r>
      <w:r w:rsidRPr="00621AA4">
        <w:rPr>
          <w:rFonts w:ascii="Athiti" w:eastAsia="Athiti" w:hAnsi="Athiti" w:cs="Athiti"/>
          <w:lang w:val="cs-CZ"/>
        </w:rPr>
        <w:t xml:space="preserve">. Pověřená osoba je též odpovědná za vedení evidence všech přijatých stížností a reklamací, za případný návrh interního nápravného opatření vedení Společnosti a za informování vedení Společnosti o stížnostech a reklamacích hodných zvláštního zřetele. </w:t>
      </w:r>
    </w:p>
    <w:p w:rsidR="00362B6A" w:rsidRPr="00621AA4" w:rsidRDefault="00362B6A" w:rsidP="00362B6A">
      <w:pPr>
        <w:pStyle w:val="normal"/>
        <w:widowControl w:val="0"/>
        <w:numPr>
          <w:ilvl w:val="0"/>
          <w:numId w:val="6"/>
        </w:numPr>
        <w:spacing w:after="0" w:line="240" w:lineRule="auto"/>
        <w:rPr>
          <w:rFonts w:ascii="Georgia" w:eastAsia="Georgia" w:hAnsi="Georgia" w:cs="Georgia"/>
          <w:sz w:val="22"/>
          <w:szCs w:val="22"/>
          <w:lang w:val="cs-CZ"/>
        </w:rPr>
      </w:pPr>
      <w:r w:rsidRPr="00621AA4">
        <w:rPr>
          <w:rFonts w:ascii="Athiti" w:eastAsia="Athiti" w:hAnsi="Athiti" w:cs="Athiti"/>
          <w:lang w:val="cs-CZ"/>
        </w:rPr>
        <w:t>Pověřená osoba je odpovědná za to, aby jakákoli stížnost nebo reklamace obdržená Společností byla vyřízena v souladu s těmito Zásadami, Reklamačním řádem a platnými právními předpisy.</w:t>
      </w:r>
    </w:p>
    <w:p w:rsidR="00362B6A" w:rsidRPr="00621AA4" w:rsidRDefault="00362B6A" w:rsidP="00362B6A">
      <w:pPr>
        <w:pStyle w:val="normal"/>
        <w:widowControl w:val="0"/>
        <w:numPr>
          <w:ilvl w:val="0"/>
          <w:numId w:val="6"/>
        </w:numPr>
        <w:spacing w:after="0" w:line="240" w:lineRule="auto"/>
        <w:rPr>
          <w:rFonts w:ascii="Athiti" w:eastAsia="Athiti" w:hAnsi="Athiti" w:cs="Athiti"/>
          <w:lang w:val="cs-CZ"/>
        </w:rPr>
      </w:pPr>
      <w:r w:rsidRPr="00621AA4">
        <w:rPr>
          <w:rFonts w:ascii="Athiti" w:eastAsia="Athiti" w:hAnsi="Athiti" w:cs="Athiti"/>
          <w:lang w:val="cs-CZ"/>
        </w:rPr>
        <w:t xml:space="preserve">Pověřená osoba má zajištěn přístup k e-mailové schránce, která slouží pro přijímání stížností a reklamací, které byly odeslány online formulářem anebo napřímo emailem. Pověřená osoba je povinna tuto emailovou adresu denně kontrolovat (s výjimkou dnů pracovního klidu). </w:t>
      </w:r>
    </w:p>
    <w:p w:rsidR="00362B6A" w:rsidRPr="00621AA4" w:rsidRDefault="00362B6A" w:rsidP="00362B6A">
      <w:pPr>
        <w:pStyle w:val="normal"/>
        <w:widowControl w:val="0"/>
        <w:numPr>
          <w:ilvl w:val="0"/>
          <w:numId w:val="6"/>
        </w:numPr>
        <w:spacing w:after="0" w:line="240" w:lineRule="auto"/>
        <w:rPr>
          <w:rFonts w:ascii="Athiti" w:eastAsia="Athiti" w:hAnsi="Athiti" w:cs="Athiti"/>
          <w:lang w:val="cs-CZ"/>
        </w:rPr>
      </w:pPr>
      <w:r w:rsidRPr="00621AA4">
        <w:rPr>
          <w:rFonts w:ascii="Athiti" w:eastAsia="Athiti" w:hAnsi="Athiti" w:cs="Athiti"/>
          <w:lang w:val="cs-CZ"/>
        </w:rPr>
        <w:t>V případě reklamace nebo stížnosti zaslané poštou na adresu sídla společnosti útvar pověřený vyřizováním poštovní komunikace neprodleně informuje osobu pověřenou vyřizováním stížností a reklamací. Pověřená osoba stížnost či reklamaci přijatou v písemné podobě okopíruje tak, aby byla uložena v příslušné elektronické složce vyhrazené pro řešení daného případu.</w:t>
      </w:r>
    </w:p>
    <w:p w:rsidR="00362B6A" w:rsidRPr="00621AA4" w:rsidRDefault="00362B6A" w:rsidP="00362B6A">
      <w:pPr>
        <w:pStyle w:val="normal"/>
        <w:widowControl w:val="0"/>
        <w:numPr>
          <w:ilvl w:val="0"/>
          <w:numId w:val="6"/>
        </w:numPr>
        <w:spacing w:after="0" w:line="240" w:lineRule="auto"/>
        <w:rPr>
          <w:rFonts w:ascii="Athiti" w:eastAsia="Athiti" w:hAnsi="Athiti" w:cs="Athiti"/>
          <w:lang w:val="cs-CZ"/>
        </w:rPr>
      </w:pPr>
      <w:r w:rsidRPr="00621AA4">
        <w:rPr>
          <w:rFonts w:ascii="Athiti" w:eastAsia="Athiti" w:hAnsi="Athiti" w:cs="Athiti"/>
          <w:lang w:val="cs-CZ"/>
        </w:rPr>
        <w:t xml:space="preserve">V případě, že byla stížnost či reklamace adresována jinému útvaru či pracovníkovi Společnosti než Pověřené osobě, bude neprodleně postoupena Pověřené osobě. </w:t>
      </w:r>
    </w:p>
    <w:p w:rsidR="00362B6A" w:rsidRPr="00621AA4" w:rsidRDefault="00362B6A" w:rsidP="00362B6A">
      <w:pPr>
        <w:pStyle w:val="normal"/>
        <w:widowControl w:val="0"/>
        <w:numPr>
          <w:ilvl w:val="0"/>
          <w:numId w:val="6"/>
        </w:numPr>
        <w:spacing w:after="0" w:line="240" w:lineRule="auto"/>
        <w:rPr>
          <w:rFonts w:ascii="Athiti" w:eastAsia="Athiti" w:hAnsi="Athiti" w:cs="Athiti"/>
          <w:lang w:val="cs-CZ"/>
        </w:rPr>
      </w:pPr>
      <w:r w:rsidRPr="00621AA4">
        <w:rPr>
          <w:rFonts w:ascii="Athiti" w:eastAsia="Athiti" w:hAnsi="Athiti" w:cs="Athiti"/>
          <w:lang w:val="cs-CZ"/>
        </w:rPr>
        <w:t>Pověřená osoba při vyřizování stížností a reklamací postupuje plně nestranně a v případě, že by zjistila jakýkoli potenciální střet zájmů, který by tuto nestrannost mohl ovlivnit, informuje o tom vedení Společnosti, které vyřízením věci pověří jinou osobu.</w:t>
      </w:r>
    </w:p>
    <w:p w:rsidR="00362B6A" w:rsidRPr="00621AA4" w:rsidRDefault="00362B6A" w:rsidP="00362B6A">
      <w:pPr>
        <w:pStyle w:val="normal"/>
        <w:widowControl w:val="0"/>
        <w:numPr>
          <w:ilvl w:val="0"/>
          <w:numId w:val="6"/>
        </w:numPr>
        <w:spacing w:after="0" w:line="240" w:lineRule="auto"/>
        <w:rPr>
          <w:rFonts w:ascii="Athiti" w:eastAsia="Athiti" w:hAnsi="Athiti" w:cs="Athiti"/>
          <w:lang w:val="cs-CZ"/>
        </w:rPr>
      </w:pPr>
      <w:r w:rsidRPr="00621AA4">
        <w:rPr>
          <w:rFonts w:ascii="Athiti" w:eastAsia="Athiti" w:hAnsi="Athiti" w:cs="Athiti"/>
          <w:lang w:val="cs-CZ"/>
        </w:rPr>
        <w:t xml:space="preserve">Vedení Společnosti je odpovědné za to, že pro systém vyřizování stížností a reklamací vyčlení dostatečné personální a finanční zdroje, zejména zajistí zastupitelnost Pověřené osoby v případě její nepřítomnosti, materiální a technické vybavení a finanční prostředky potřebné pro řádné plnění povinností souvisejících s vyřizováním stížností a reklamací. Vedení Společnosti musí také zajistit, že Pověřená osoba má přístup ke všem interním relevantním informacím a podkladům potřebným pro řádné posouzení stížnosti a reklamace. Za tímto účelem Pověřené osobě poskytují všichni zaměstnanci a pracovníci Společnosti nezbytnou součinnost. </w:t>
      </w:r>
    </w:p>
    <w:p w:rsidR="00362B6A" w:rsidRPr="00621AA4" w:rsidRDefault="00362B6A" w:rsidP="00362B6A">
      <w:pPr>
        <w:pStyle w:val="normal"/>
        <w:widowControl w:val="0"/>
        <w:numPr>
          <w:ilvl w:val="0"/>
          <w:numId w:val="6"/>
        </w:numPr>
        <w:spacing w:after="0" w:line="240" w:lineRule="auto"/>
        <w:rPr>
          <w:rFonts w:ascii="Athiti" w:eastAsia="Athiti" w:hAnsi="Athiti" w:cs="Athiti"/>
          <w:lang w:val="cs-CZ"/>
        </w:rPr>
      </w:pPr>
      <w:r w:rsidRPr="00621AA4">
        <w:rPr>
          <w:rFonts w:ascii="Athiti" w:eastAsia="Athiti" w:hAnsi="Athiti" w:cs="Athiti"/>
          <w:lang w:val="cs-CZ"/>
        </w:rPr>
        <w:t xml:space="preserve">Vedení Společnosti je odpovědné za dohled nad dodržováním pravidel a postupů pro vyřizování stížností a reklamací a za přezkoumávání jejich účinnosti. Za tímto účelem vedení Společnosti předkládá Pověřená osoba pravidelné zprávy o realizaci a účinnosti těchto pravidel a postupů, zejména pak evidenci stížností a reklamací, analýzu této evidence ve smyslu čl. 7 odst. 4 vč. informace o počtu nejčastěji opakujících se případů </w:t>
      </w:r>
      <w:r w:rsidRPr="00621AA4">
        <w:rPr>
          <w:rFonts w:ascii="Athiti" w:eastAsia="Athiti" w:hAnsi="Athiti" w:cs="Athiti"/>
          <w:lang w:val="cs-CZ"/>
        </w:rPr>
        <w:lastRenderedPageBreak/>
        <w:t>a návrhy případných nápravných opatření.</w:t>
      </w:r>
    </w:p>
    <w:p w:rsidR="00362B6A" w:rsidRPr="00621AA4" w:rsidRDefault="00362B6A" w:rsidP="00362B6A">
      <w:pPr>
        <w:pStyle w:val="normal"/>
        <w:widowControl w:val="0"/>
        <w:spacing w:after="0" w:line="240" w:lineRule="auto"/>
        <w:ind w:left="720"/>
        <w:rPr>
          <w:rFonts w:ascii="Athiti" w:eastAsia="Athiti" w:hAnsi="Athiti" w:cs="Athiti"/>
          <w:lang w:val="cs-CZ"/>
        </w:rPr>
      </w:pPr>
      <w:r w:rsidRPr="00621AA4">
        <w:rPr>
          <w:rFonts w:ascii="Athiti" w:eastAsia="Athiti" w:hAnsi="Athiti" w:cs="Athiti"/>
          <w:lang w:val="cs-CZ"/>
        </w:rPr>
        <w:t xml:space="preserve"> </w:t>
      </w:r>
    </w:p>
    <w:p w:rsidR="00362B6A" w:rsidRPr="00621AA4" w:rsidRDefault="00362B6A" w:rsidP="00362B6A">
      <w:pPr>
        <w:pStyle w:val="normal"/>
        <w:widowControl w:val="0"/>
        <w:spacing w:after="0" w:line="240" w:lineRule="auto"/>
        <w:jc w:val="left"/>
        <w:rPr>
          <w:rFonts w:ascii="Georgia" w:eastAsia="Georgia" w:hAnsi="Georgia" w:cs="Georgia"/>
          <w:sz w:val="22"/>
          <w:szCs w:val="22"/>
          <w:lang w:val="cs-CZ"/>
        </w:rPr>
      </w:pPr>
      <w:bookmarkStart w:id="15" w:name="_heading=h.uduou3xjxaqb" w:colFirst="0" w:colLast="0"/>
      <w:bookmarkEnd w:id="15"/>
    </w:p>
    <w:p w:rsidR="00362B6A" w:rsidRPr="00621AA4" w:rsidRDefault="00362B6A" w:rsidP="00362B6A">
      <w:pPr>
        <w:pStyle w:val="Nadpis1"/>
        <w:keepNext w:val="0"/>
        <w:keepLines w:val="0"/>
        <w:widowControl w:val="0"/>
        <w:numPr>
          <w:ilvl w:val="0"/>
          <w:numId w:val="9"/>
        </w:numPr>
        <w:spacing w:before="0" w:after="0" w:line="240" w:lineRule="auto"/>
        <w:rPr>
          <w:rFonts w:ascii="Athiti" w:eastAsia="Athiti" w:hAnsi="Athiti" w:cs="Athiti"/>
          <w:sz w:val="28"/>
          <w:szCs w:val="28"/>
          <w:lang w:val="cs-CZ"/>
        </w:rPr>
      </w:pPr>
      <w:bookmarkStart w:id="16" w:name="_heading=h.zbs2mbs10be0" w:colFirst="0" w:colLast="0"/>
      <w:bookmarkEnd w:id="16"/>
      <w:r w:rsidRPr="00621AA4">
        <w:rPr>
          <w:rFonts w:ascii="Athiti" w:eastAsia="Athiti" w:hAnsi="Athiti" w:cs="Athiti"/>
          <w:sz w:val="28"/>
          <w:szCs w:val="28"/>
          <w:lang w:val="cs-CZ"/>
        </w:rPr>
        <w:t>POSTUPY PRO VYŘIZOVÁNÍ STÍŽNOSTÍ A REKLAMACÍ</w:t>
      </w:r>
    </w:p>
    <w:p w:rsidR="00362B6A" w:rsidRPr="00621AA4" w:rsidRDefault="00362B6A" w:rsidP="00362B6A">
      <w:pPr>
        <w:pStyle w:val="normal"/>
        <w:widowControl w:val="0"/>
        <w:numPr>
          <w:ilvl w:val="0"/>
          <w:numId w:val="2"/>
        </w:numPr>
        <w:spacing w:after="0" w:line="240" w:lineRule="auto"/>
        <w:rPr>
          <w:rFonts w:ascii="Athiti" w:eastAsia="Athiti" w:hAnsi="Athiti" w:cs="Athiti"/>
          <w:lang w:val="cs-CZ"/>
        </w:rPr>
      </w:pPr>
      <w:bookmarkStart w:id="17" w:name="_heading=h.mdpmks9uyf21" w:colFirst="0" w:colLast="0"/>
      <w:bookmarkEnd w:id="17"/>
      <w:r w:rsidRPr="00621AA4">
        <w:rPr>
          <w:rFonts w:ascii="Athiti" w:eastAsia="Athiti" w:hAnsi="Athiti" w:cs="Athiti"/>
          <w:lang w:val="cs-CZ"/>
        </w:rPr>
        <w:t xml:space="preserve">Po obdržení stížnosti či reklamace Pověřená osoba zajistí, aby bylo její přijetí písemně potvrzeno klientovi bezodkladně, nejpozději však </w:t>
      </w:r>
      <w:r w:rsidRPr="00621AA4">
        <w:rPr>
          <w:rFonts w:ascii="Athiti" w:eastAsia="Athiti" w:hAnsi="Athiti" w:cs="Athiti"/>
          <w:b/>
          <w:lang w:val="cs-CZ"/>
        </w:rPr>
        <w:t>do 5 pracovních dnů</w:t>
      </w:r>
      <w:r w:rsidRPr="00621AA4">
        <w:rPr>
          <w:rFonts w:ascii="Athiti" w:eastAsia="Athiti" w:hAnsi="Athiti" w:cs="Athiti"/>
          <w:lang w:val="cs-CZ"/>
        </w:rPr>
        <w:t xml:space="preserve"> od jejího doručení.</w:t>
      </w:r>
    </w:p>
    <w:p w:rsidR="00362B6A" w:rsidRPr="00621AA4" w:rsidRDefault="00362B6A" w:rsidP="00362B6A">
      <w:pPr>
        <w:pStyle w:val="normal"/>
        <w:widowControl w:val="0"/>
        <w:numPr>
          <w:ilvl w:val="0"/>
          <w:numId w:val="2"/>
        </w:numPr>
        <w:spacing w:after="0" w:line="240" w:lineRule="auto"/>
        <w:rPr>
          <w:rFonts w:ascii="Athiti" w:eastAsia="Athiti" w:hAnsi="Athiti" w:cs="Athiti"/>
          <w:lang w:val="cs-CZ"/>
        </w:rPr>
      </w:pPr>
      <w:r w:rsidRPr="00621AA4">
        <w:rPr>
          <w:rFonts w:ascii="Athiti" w:eastAsia="Athiti" w:hAnsi="Athiti" w:cs="Athiti"/>
          <w:lang w:val="cs-CZ"/>
        </w:rPr>
        <w:t>Potvrzení o přijetí stížnosti či reklamace musí obsahovat:</w:t>
      </w:r>
    </w:p>
    <w:p w:rsidR="00362B6A" w:rsidRPr="00621AA4" w:rsidRDefault="00362B6A" w:rsidP="00362B6A">
      <w:pPr>
        <w:pStyle w:val="normal"/>
        <w:widowControl w:val="0"/>
        <w:numPr>
          <w:ilvl w:val="1"/>
          <w:numId w:val="14"/>
        </w:numPr>
        <w:spacing w:after="0" w:line="240" w:lineRule="auto"/>
        <w:rPr>
          <w:rFonts w:ascii="Athiti" w:eastAsia="Athiti" w:hAnsi="Athiti" w:cs="Athiti"/>
          <w:lang w:val="cs-CZ"/>
        </w:rPr>
      </w:pPr>
      <w:r w:rsidRPr="00621AA4">
        <w:rPr>
          <w:rFonts w:ascii="Athiti" w:eastAsia="Athiti" w:hAnsi="Athiti" w:cs="Athiti"/>
          <w:lang w:val="cs-CZ"/>
        </w:rPr>
        <w:t>identifikační a kontaktní údaje (včetně e-mailové adresy a telefonního čísla) Pověřené osoby nebo případně jiné osoby, na kterou se klient (stěžovatel) může obrátit s jakýmkoli dotazem souvisejícím s jeho stížností či reklamací;</w:t>
      </w:r>
    </w:p>
    <w:p w:rsidR="00362B6A" w:rsidRPr="00621AA4" w:rsidRDefault="00362B6A" w:rsidP="00362B6A">
      <w:pPr>
        <w:pStyle w:val="normal"/>
        <w:widowControl w:val="0"/>
        <w:numPr>
          <w:ilvl w:val="1"/>
          <w:numId w:val="14"/>
        </w:numPr>
        <w:spacing w:after="0" w:line="240" w:lineRule="auto"/>
        <w:rPr>
          <w:rFonts w:ascii="Athiti" w:eastAsia="Athiti" w:hAnsi="Athiti" w:cs="Athiti"/>
          <w:lang w:val="cs-CZ"/>
        </w:rPr>
      </w:pPr>
      <w:r w:rsidRPr="00621AA4">
        <w:rPr>
          <w:rFonts w:ascii="Athiti" w:eastAsia="Athiti" w:hAnsi="Athiti" w:cs="Athiti"/>
          <w:lang w:val="cs-CZ"/>
        </w:rPr>
        <w:t>datum přijetí;</w:t>
      </w:r>
    </w:p>
    <w:p w:rsidR="00362B6A" w:rsidRPr="00621AA4" w:rsidRDefault="00362B6A" w:rsidP="00362B6A">
      <w:pPr>
        <w:pStyle w:val="normal"/>
        <w:widowControl w:val="0"/>
        <w:numPr>
          <w:ilvl w:val="1"/>
          <w:numId w:val="14"/>
        </w:numPr>
        <w:spacing w:after="0" w:line="240" w:lineRule="auto"/>
        <w:rPr>
          <w:rFonts w:ascii="Athiti" w:eastAsia="Athiti" w:hAnsi="Athiti" w:cs="Athiti"/>
          <w:lang w:val="cs-CZ"/>
        </w:rPr>
      </w:pPr>
      <w:r w:rsidRPr="00621AA4">
        <w:rPr>
          <w:rFonts w:ascii="Athiti" w:eastAsia="Athiti" w:hAnsi="Athiti" w:cs="Athiti"/>
          <w:lang w:val="cs-CZ"/>
        </w:rPr>
        <w:t>odkaz na časový rámec vyřizování stížností a reklamací uvedený v Reklamačním řádu;</w:t>
      </w:r>
    </w:p>
    <w:p w:rsidR="00362B6A" w:rsidRPr="00621AA4" w:rsidRDefault="00362B6A" w:rsidP="00362B6A">
      <w:pPr>
        <w:pStyle w:val="normal"/>
        <w:widowControl w:val="0"/>
        <w:numPr>
          <w:ilvl w:val="1"/>
          <w:numId w:val="14"/>
        </w:numPr>
        <w:spacing w:after="0" w:line="240" w:lineRule="auto"/>
        <w:rPr>
          <w:rFonts w:ascii="Athiti" w:eastAsia="Athiti" w:hAnsi="Athiti" w:cs="Athiti"/>
          <w:lang w:val="cs-CZ"/>
        </w:rPr>
      </w:pPr>
      <w:r w:rsidRPr="00621AA4">
        <w:rPr>
          <w:rFonts w:ascii="Athiti" w:eastAsia="Athiti" w:hAnsi="Athiti" w:cs="Athiti"/>
          <w:lang w:val="cs-CZ"/>
        </w:rPr>
        <w:t>v případě elektronického podání stížnosti či reklamace její kopii.</w:t>
      </w:r>
    </w:p>
    <w:p w:rsidR="00362B6A" w:rsidRPr="00621AA4" w:rsidRDefault="00362B6A" w:rsidP="00362B6A">
      <w:pPr>
        <w:pStyle w:val="normal"/>
        <w:widowControl w:val="0"/>
        <w:numPr>
          <w:ilvl w:val="0"/>
          <w:numId w:val="2"/>
        </w:numPr>
        <w:spacing w:after="0" w:line="240" w:lineRule="auto"/>
        <w:rPr>
          <w:rFonts w:ascii="Athiti" w:eastAsia="Athiti" w:hAnsi="Athiti" w:cs="Athiti"/>
          <w:lang w:val="cs-CZ"/>
        </w:rPr>
      </w:pPr>
      <w:r w:rsidRPr="00621AA4">
        <w:rPr>
          <w:rFonts w:ascii="Athiti" w:eastAsia="Athiti" w:hAnsi="Athiti" w:cs="Athiti"/>
          <w:lang w:val="cs-CZ"/>
        </w:rPr>
        <w:t xml:space="preserve">Pověřená osoba si může od klienta vyžádat dodatečné informace a podklady nezbytné pro prošetření stížnosti či reklamace. Současně s touto žádostí Pověřená osoba upozorní klienta, že lhůta pro vyřízení stížnosti či reklamace se prodlužuje o dobu, po kterou Společnost neměla tyto nezbytné informace či podklady k dispozici. Pověřená osoba si od klienta vždy vyžádá dodatečné informace či podklady, pokud: </w:t>
      </w:r>
    </w:p>
    <w:p w:rsidR="00362B6A" w:rsidRPr="00621AA4" w:rsidRDefault="00362B6A" w:rsidP="00362B6A">
      <w:pPr>
        <w:pStyle w:val="normal"/>
        <w:widowControl w:val="0"/>
        <w:numPr>
          <w:ilvl w:val="1"/>
          <w:numId w:val="11"/>
        </w:numPr>
        <w:spacing w:after="0" w:line="240" w:lineRule="auto"/>
        <w:rPr>
          <w:rFonts w:ascii="Athiti" w:eastAsia="Athiti" w:hAnsi="Athiti" w:cs="Athiti"/>
          <w:lang w:val="cs-CZ"/>
        </w:rPr>
      </w:pPr>
      <w:r w:rsidRPr="00621AA4">
        <w:rPr>
          <w:rFonts w:ascii="Athiti" w:eastAsia="Athiti" w:hAnsi="Athiti" w:cs="Athiti"/>
          <w:lang w:val="cs-CZ"/>
        </w:rPr>
        <w:t>nejsou úplné identifikační údaje klienta nebo jeho právního zástupce (zejména plná moc opravňující jednat za klienta);</w:t>
      </w:r>
    </w:p>
    <w:p w:rsidR="00362B6A" w:rsidRPr="00621AA4" w:rsidRDefault="00362B6A" w:rsidP="00362B6A">
      <w:pPr>
        <w:pStyle w:val="normal"/>
        <w:widowControl w:val="0"/>
        <w:numPr>
          <w:ilvl w:val="1"/>
          <w:numId w:val="11"/>
        </w:numPr>
        <w:spacing w:after="0" w:line="240" w:lineRule="auto"/>
        <w:rPr>
          <w:rFonts w:ascii="Athiti" w:eastAsia="Athiti" w:hAnsi="Athiti" w:cs="Athiti"/>
          <w:lang w:val="cs-CZ"/>
        </w:rPr>
      </w:pPr>
      <w:r w:rsidRPr="00621AA4">
        <w:rPr>
          <w:rFonts w:ascii="Athiti" w:eastAsia="Athiti" w:hAnsi="Athiti" w:cs="Athiti"/>
          <w:lang w:val="cs-CZ"/>
        </w:rPr>
        <w:t>nejsou zřejmé některé podstatné skutečnosti a okolnosti týkající se předmětu stížnosti či reklamace (např. nejsou doloženy klíčové dokumenty týkající se např. předchozí komunikace se Společností).</w:t>
      </w:r>
    </w:p>
    <w:p w:rsidR="00362B6A" w:rsidRPr="00621AA4" w:rsidRDefault="00362B6A" w:rsidP="00362B6A">
      <w:pPr>
        <w:pStyle w:val="normal"/>
        <w:widowControl w:val="0"/>
        <w:numPr>
          <w:ilvl w:val="0"/>
          <w:numId w:val="2"/>
        </w:numPr>
        <w:spacing w:after="0" w:line="240" w:lineRule="auto"/>
        <w:rPr>
          <w:rFonts w:ascii="Athiti" w:eastAsia="Athiti" w:hAnsi="Athiti" w:cs="Athiti"/>
          <w:lang w:val="cs-CZ"/>
        </w:rPr>
      </w:pPr>
      <w:r w:rsidRPr="00621AA4">
        <w:rPr>
          <w:rFonts w:ascii="Athiti" w:eastAsia="Athiti" w:hAnsi="Athiti" w:cs="Athiti"/>
          <w:lang w:val="cs-CZ"/>
        </w:rPr>
        <w:t xml:space="preserve">Při prošetřování stížnosti či reklamace Pověřená osoba shromažďuje a zkoumá všechny relevantní informace a podklady. Pověřená osoba, resp. Společnost ale za účelem tohoto šetření nesmí od klienta (stěžovatele) požadovat informace, které již má k dispozici nebo by je měla mít k dispozici. </w:t>
      </w:r>
    </w:p>
    <w:p w:rsidR="00362B6A" w:rsidRPr="00621AA4" w:rsidRDefault="00362B6A" w:rsidP="00362B6A">
      <w:pPr>
        <w:pStyle w:val="normal"/>
        <w:widowControl w:val="0"/>
        <w:numPr>
          <w:ilvl w:val="0"/>
          <w:numId w:val="2"/>
        </w:numPr>
        <w:spacing w:after="0" w:line="240" w:lineRule="auto"/>
        <w:rPr>
          <w:rFonts w:ascii="Georgia" w:eastAsia="Georgia" w:hAnsi="Georgia" w:cs="Georgia"/>
          <w:sz w:val="22"/>
          <w:szCs w:val="22"/>
          <w:lang w:val="cs-CZ"/>
        </w:rPr>
      </w:pPr>
      <w:r w:rsidRPr="00621AA4">
        <w:rPr>
          <w:rFonts w:ascii="Athiti" w:eastAsia="Athiti" w:hAnsi="Athiti" w:cs="Athiti"/>
          <w:lang w:val="cs-CZ"/>
        </w:rPr>
        <w:t xml:space="preserve">Pověřená osoba zašle konečnou písemnou odpověď klientovi dle jeho volby e-mailem, dopisem či případně jiným vhodným způsobem (např. do datové schránky). Tato odpověď je poskytnuta bez zbytečného odkladu, zpravidla </w:t>
      </w:r>
      <w:r w:rsidRPr="00621AA4">
        <w:rPr>
          <w:rFonts w:ascii="Athiti" w:eastAsia="Athiti" w:hAnsi="Athiti" w:cs="Athiti"/>
          <w:b/>
          <w:lang w:val="cs-CZ"/>
        </w:rPr>
        <w:t>do 30 kalendářních dnů</w:t>
      </w:r>
      <w:r w:rsidRPr="00621AA4">
        <w:rPr>
          <w:rFonts w:ascii="Athiti" w:eastAsia="Athiti" w:hAnsi="Athiti" w:cs="Athiti"/>
          <w:lang w:val="cs-CZ"/>
        </w:rPr>
        <w:t xml:space="preserve"> od obdržení stížnosti či reklamace. Do lhůty se nezapočítává doba, po kterou Společnost vyčkávala na dodání nezbytných informací či podkladů ve smyslu odst. 2 tohoto ustanovení. </w:t>
      </w:r>
    </w:p>
    <w:p w:rsidR="00362B6A" w:rsidRPr="00621AA4" w:rsidRDefault="00362B6A" w:rsidP="00362B6A">
      <w:pPr>
        <w:pStyle w:val="normal"/>
        <w:widowControl w:val="0"/>
        <w:numPr>
          <w:ilvl w:val="0"/>
          <w:numId w:val="2"/>
        </w:numPr>
        <w:spacing w:after="0" w:line="240" w:lineRule="auto"/>
        <w:rPr>
          <w:rFonts w:ascii="Georgia" w:eastAsia="Georgia" w:hAnsi="Georgia" w:cs="Georgia"/>
          <w:sz w:val="22"/>
          <w:szCs w:val="22"/>
          <w:lang w:val="cs-CZ"/>
        </w:rPr>
      </w:pPr>
      <w:r w:rsidRPr="00621AA4">
        <w:rPr>
          <w:rFonts w:ascii="Athiti" w:eastAsia="Athiti" w:hAnsi="Athiti" w:cs="Athiti"/>
          <w:lang w:val="cs-CZ"/>
        </w:rPr>
        <w:t>Pokud nebude možné poskytnout konečnou písemnou odpověď ve výše uvedené lhůtě, Společnost o tom klienta informuje. Toto oznámení bude obsahovat důvod zpoždění a předpokládané datum vyřešení stížnosti či reklamace. Stejně tak Společnost klienta informuje o případných dalších krocích a odpovídá na přiměřené žádosti klienta o informace ze strany klienta (stěžovatele). Případná interní nápravná opatření nemusí být klientovi sdělována, pokud se jedná o interní postupy Společnosti, které by mohly ohrozit její obchodní know-how.</w:t>
      </w:r>
    </w:p>
    <w:p w:rsidR="00362B6A" w:rsidRPr="00621AA4" w:rsidRDefault="00362B6A" w:rsidP="00362B6A">
      <w:pPr>
        <w:pStyle w:val="normal"/>
        <w:widowControl w:val="0"/>
        <w:numPr>
          <w:ilvl w:val="0"/>
          <w:numId w:val="2"/>
        </w:numPr>
        <w:spacing w:after="0" w:line="240" w:lineRule="auto"/>
        <w:rPr>
          <w:rFonts w:ascii="Athiti" w:eastAsia="Athiti" w:hAnsi="Athiti" w:cs="Athiti"/>
          <w:lang w:val="cs-CZ"/>
        </w:rPr>
      </w:pPr>
      <w:r w:rsidRPr="00621AA4">
        <w:rPr>
          <w:rFonts w:ascii="Athiti" w:eastAsia="Athiti" w:hAnsi="Athiti" w:cs="Athiti"/>
          <w:lang w:val="cs-CZ"/>
        </w:rPr>
        <w:t xml:space="preserve">Odpověď musí obsahovat </w:t>
      </w:r>
    </w:p>
    <w:p w:rsidR="00362B6A" w:rsidRPr="00621AA4" w:rsidRDefault="00362B6A" w:rsidP="00362B6A">
      <w:pPr>
        <w:pStyle w:val="normal"/>
        <w:widowControl w:val="0"/>
        <w:numPr>
          <w:ilvl w:val="1"/>
          <w:numId w:val="13"/>
        </w:numPr>
        <w:spacing w:after="0" w:line="240" w:lineRule="auto"/>
        <w:rPr>
          <w:rFonts w:ascii="Athiti" w:eastAsia="Athiti" w:hAnsi="Athiti" w:cs="Athiti"/>
          <w:lang w:val="cs-CZ"/>
        </w:rPr>
      </w:pPr>
      <w:r w:rsidRPr="00621AA4">
        <w:rPr>
          <w:rFonts w:ascii="Athiti" w:eastAsia="Athiti" w:hAnsi="Athiti" w:cs="Athiti"/>
          <w:lang w:val="cs-CZ"/>
        </w:rPr>
        <w:t xml:space="preserve">datum přijetí stížnosti či reklamace; </w:t>
      </w:r>
    </w:p>
    <w:p w:rsidR="00362B6A" w:rsidRPr="00621AA4" w:rsidRDefault="00362B6A" w:rsidP="00362B6A">
      <w:pPr>
        <w:pStyle w:val="normal"/>
        <w:widowControl w:val="0"/>
        <w:numPr>
          <w:ilvl w:val="1"/>
          <w:numId w:val="13"/>
        </w:numPr>
        <w:spacing w:after="0" w:line="240" w:lineRule="auto"/>
        <w:rPr>
          <w:rFonts w:ascii="Athiti" w:eastAsia="Athiti" w:hAnsi="Athiti" w:cs="Athiti"/>
          <w:lang w:val="cs-CZ"/>
        </w:rPr>
      </w:pPr>
      <w:r w:rsidRPr="00621AA4">
        <w:rPr>
          <w:rFonts w:ascii="Athiti" w:eastAsia="Athiti" w:hAnsi="Athiti" w:cs="Athiti"/>
          <w:lang w:val="cs-CZ"/>
        </w:rPr>
        <w:t>výsledky provedeného šetření, - jednoznačné rozhodnutí, které musí řešit všechny body vznesené ve stížnosti/reklamaci a uvádět důvody pro výsledek rozhodnutí;</w:t>
      </w:r>
    </w:p>
    <w:p w:rsidR="00362B6A" w:rsidRPr="00621AA4" w:rsidRDefault="00362B6A" w:rsidP="00362B6A">
      <w:pPr>
        <w:pStyle w:val="normal"/>
        <w:widowControl w:val="0"/>
        <w:numPr>
          <w:ilvl w:val="1"/>
          <w:numId w:val="13"/>
        </w:numPr>
        <w:spacing w:after="0" w:line="240" w:lineRule="auto"/>
        <w:rPr>
          <w:rFonts w:ascii="Athiti" w:eastAsia="Athiti" w:hAnsi="Athiti" w:cs="Athiti"/>
          <w:lang w:val="cs-CZ"/>
        </w:rPr>
      </w:pPr>
      <w:r w:rsidRPr="00621AA4">
        <w:rPr>
          <w:rFonts w:ascii="Athiti" w:eastAsia="Athiti" w:hAnsi="Athiti" w:cs="Athiti"/>
          <w:lang w:val="cs-CZ"/>
        </w:rPr>
        <w:t xml:space="preserve">jasné vysvětlení, zda Společnost stížnost či reklamaci potvrzuje nebo zamítá, </w:t>
      </w:r>
    </w:p>
    <w:p w:rsidR="00362B6A" w:rsidRPr="00621AA4" w:rsidRDefault="00362B6A" w:rsidP="00362B6A">
      <w:pPr>
        <w:pStyle w:val="normal"/>
        <w:widowControl w:val="0"/>
        <w:numPr>
          <w:ilvl w:val="1"/>
          <w:numId w:val="13"/>
        </w:numPr>
        <w:spacing w:after="0" w:line="240" w:lineRule="auto"/>
        <w:rPr>
          <w:rFonts w:ascii="Athiti" w:eastAsia="Athiti" w:hAnsi="Athiti" w:cs="Athiti"/>
          <w:lang w:val="cs-CZ"/>
        </w:rPr>
      </w:pPr>
      <w:r w:rsidRPr="00621AA4">
        <w:rPr>
          <w:rFonts w:ascii="Athiti" w:eastAsia="Athiti" w:hAnsi="Athiti" w:cs="Athiti"/>
          <w:lang w:val="cs-CZ"/>
        </w:rPr>
        <w:lastRenderedPageBreak/>
        <w:t xml:space="preserve">v případě reklamace též informaci o nápravném opatření vůči klientovi (např. uznání odstoupení od smlouvy, sleva, apod.). </w:t>
      </w:r>
    </w:p>
    <w:p w:rsidR="00362B6A" w:rsidRPr="00621AA4" w:rsidRDefault="00362B6A" w:rsidP="00362B6A">
      <w:pPr>
        <w:pStyle w:val="normal"/>
        <w:widowControl w:val="0"/>
        <w:numPr>
          <w:ilvl w:val="0"/>
          <w:numId w:val="2"/>
        </w:numPr>
        <w:spacing w:after="0" w:line="240" w:lineRule="auto"/>
        <w:rPr>
          <w:rFonts w:ascii="Georgia" w:eastAsia="Georgia" w:hAnsi="Georgia" w:cs="Georgia"/>
          <w:sz w:val="22"/>
          <w:szCs w:val="22"/>
          <w:lang w:val="cs-CZ"/>
        </w:rPr>
      </w:pPr>
      <w:r w:rsidRPr="00621AA4">
        <w:rPr>
          <w:rFonts w:ascii="Athiti" w:eastAsia="Athiti" w:hAnsi="Athiti" w:cs="Athiti"/>
          <w:lang w:val="cs-CZ"/>
        </w:rPr>
        <w:t xml:space="preserve">V případě, že se jedná o reklamaci, která byla zamítnuta zcela či částečně, odpověď obsahuje také informaci o možnosti obrátit se na soud či na Finančního arbitra, je-li ve věci založena jeho působnost. </w:t>
      </w:r>
    </w:p>
    <w:p w:rsidR="00362B6A" w:rsidRPr="00621AA4" w:rsidRDefault="00362B6A" w:rsidP="00362B6A">
      <w:pPr>
        <w:pStyle w:val="normal"/>
        <w:widowControl w:val="0"/>
        <w:numPr>
          <w:ilvl w:val="0"/>
          <w:numId w:val="2"/>
        </w:numPr>
        <w:spacing w:after="0" w:line="240" w:lineRule="auto"/>
        <w:rPr>
          <w:rFonts w:ascii="Georgia" w:eastAsia="Georgia" w:hAnsi="Georgia" w:cs="Georgia"/>
          <w:sz w:val="22"/>
          <w:szCs w:val="22"/>
          <w:lang w:val="cs-CZ"/>
        </w:rPr>
      </w:pPr>
      <w:r w:rsidRPr="00621AA4">
        <w:rPr>
          <w:rFonts w:ascii="Athiti" w:eastAsia="Athiti" w:hAnsi="Athiti" w:cs="Athiti"/>
          <w:lang w:val="cs-CZ"/>
        </w:rPr>
        <w:t>Rozhodnutí o stížnosti/reklamaci musí být vždy v souladu s předchozími rozhodnutími přijatými Společností ohledně podobných stížností/reklamací, pokud Společnost nemůže odůvodnit, proč dospěla k jinému závěru.</w:t>
      </w:r>
    </w:p>
    <w:p w:rsidR="00362B6A" w:rsidRPr="00621AA4" w:rsidRDefault="00362B6A" w:rsidP="00362B6A">
      <w:pPr>
        <w:pStyle w:val="Nadpis1"/>
        <w:keepNext w:val="0"/>
        <w:keepLines w:val="0"/>
        <w:widowControl w:val="0"/>
        <w:spacing w:before="0" w:after="0" w:line="240" w:lineRule="auto"/>
        <w:rPr>
          <w:rFonts w:ascii="Athiti" w:eastAsia="Athiti" w:hAnsi="Athiti" w:cs="Athiti"/>
          <w:b w:val="0"/>
          <w:sz w:val="24"/>
          <w:szCs w:val="24"/>
          <w:lang w:val="cs-CZ"/>
        </w:rPr>
      </w:pPr>
      <w:bookmarkStart w:id="18" w:name="_heading=h.8rkfr8llypzk" w:colFirst="0" w:colLast="0"/>
      <w:bookmarkEnd w:id="18"/>
    </w:p>
    <w:p w:rsidR="00362B6A" w:rsidRPr="00621AA4" w:rsidRDefault="00362B6A" w:rsidP="00362B6A">
      <w:pPr>
        <w:pStyle w:val="Nadpis1"/>
        <w:keepNext w:val="0"/>
        <w:keepLines w:val="0"/>
        <w:widowControl w:val="0"/>
        <w:numPr>
          <w:ilvl w:val="0"/>
          <w:numId w:val="9"/>
        </w:numPr>
        <w:spacing w:before="0" w:after="0" w:line="240" w:lineRule="auto"/>
        <w:rPr>
          <w:rFonts w:ascii="Athiti" w:eastAsia="Athiti" w:hAnsi="Athiti" w:cs="Athiti"/>
          <w:sz w:val="28"/>
          <w:szCs w:val="28"/>
          <w:lang w:val="cs-CZ"/>
        </w:rPr>
      </w:pPr>
      <w:bookmarkStart w:id="19" w:name="_heading=h.dd91sqq90iut" w:colFirst="0" w:colLast="0"/>
      <w:bookmarkEnd w:id="19"/>
      <w:r w:rsidRPr="00621AA4">
        <w:rPr>
          <w:rFonts w:ascii="Athiti" w:eastAsia="Athiti" w:hAnsi="Athiti" w:cs="Athiti"/>
          <w:sz w:val="28"/>
          <w:szCs w:val="28"/>
          <w:lang w:val="cs-CZ"/>
        </w:rPr>
        <w:t>EVIDENCE STÍŽNOSTÍ A REKLAMACÍ A JEJICH ANALÝZA</w:t>
      </w:r>
    </w:p>
    <w:p w:rsidR="00362B6A" w:rsidRPr="00621AA4" w:rsidRDefault="00362B6A" w:rsidP="00362B6A">
      <w:pPr>
        <w:pStyle w:val="normal"/>
        <w:widowControl w:val="0"/>
        <w:numPr>
          <w:ilvl w:val="0"/>
          <w:numId w:val="16"/>
        </w:numPr>
        <w:spacing w:after="0" w:line="240" w:lineRule="auto"/>
        <w:rPr>
          <w:rFonts w:ascii="Georgia" w:eastAsia="Georgia" w:hAnsi="Georgia" w:cs="Georgia"/>
          <w:sz w:val="22"/>
          <w:szCs w:val="22"/>
          <w:lang w:val="cs-CZ"/>
        </w:rPr>
      </w:pPr>
      <w:bookmarkStart w:id="20" w:name="_heading=h.b2u1k8g2wlo5" w:colFirst="0" w:colLast="0"/>
      <w:bookmarkEnd w:id="20"/>
      <w:r w:rsidRPr="00621AA4">
        <w:rPr>
          <w:rFonts w:ascii="Athiti" w:eastAsia="Athiti" w:hAnsi="Athiti" w:cs="Athiti"/>
          <w:lang w:val="cs-CZ"/>
        </w:rPr>
        <w:t>Pověřená osoba zajišťuje vedení evidence stížností a reklamací tak, že stížnosti a reklamace jsou vedeny odděleně (u stížnosti je vyjádřena nespokojenost klienta, kdy klient nepožaduje nápravu, zatímco u reklamace klient požaduje určitou nápravu).</w:t>
      </w:r>
    </w:p>
    <w:p w:rsidR="00362B6A" w:rsidRPr="00621AA4" w:rsidRDefault="00362B6A" w:rsidP="00362B6A">
      <w:pPr>
        <w:pStyle w:val="normal"/>
        <w:widowControl w:val="0"/>
        <w:numPr>
          <w:ilvl w:val="0"/>
          <w:numId w:val="16"/>
        </w:numPr>
        <w:spacing w:after="0" w:line="240" w:lineRule="auto"/>
        <w:rPr>
          <w:rFonts w:ascii="Athiti" w:eastAsia="Athiti" w:hAnsi="Athiti" w:cs="Athiti"/>
          <w:lang w:val="cs-CZ"/>
        </w:rPr>
      </w:pPr>
      <w:r w:rsidRPr="00621AA4">
        <w:rPr>
          <w:rFonts w:ascii="Athiti" w:eastAsia="Athiti" w:hAnsi="Athiti" w:cs="Athiti"/>
          <w:lang w:val="cs-CZ"/>
        </w:rPr>
        <w:t xml:space="preserve">Evidence je vedena v zabezpečeném elektronickém systému tak, že k ní má přístup pouze Pověřená osoba a vedení Společnosti. </w:t>
      </w:r>
    </w:p>
    <w:p w:rsidR="00362B6A" w:rsidRPr="00621AA4" w:rsidRDefault="00362B6A" w:rsidP="00362B6A">
      <w:pPr>
        <w:pStyle w:val="normal"/>
        <w:widowControl w:val="0"/>
        <w:numPr>
          <w:ilvl w:val="0"/>
          <w:numId w:val="16"/>
        </w:numPr>
        <w:spacing w:after="0" w:line="240" w:lineRule="auto"/>
        <w:rPr>
          <w:rFonts w:ascii="Georgia" w:eastAsia="Georgia" w:hAnsi="Georgia" w:cs="Georgia"/>
          <w:sz w:val="22"/>
          <w:szCs w:val="22"/>
          <w:lang w:val="cs-CZ"/>
        </w:rPr>
      </w:pPr>
      <w:r w:rsidRPr="00621AA4">
        <w:rPr>
          <w:rFonts w:ascii="Athiti" w:eastAsia="Athiti" w:hAnsi="Athiti" w:cs="Athiti"/>
          <w:lang w:val="cs-CZ"/>
        </w:rPr>
        <w:t>U každé stížnosti a reklamace Pověřená osoba vede následující údaje:</w:t>
      </w:r>
    </w:p>
    <w:p w:rsidR="00362B6A" w:rsidRPr="00621AA4" w:rsidRDefault="00362B6A" w:rsidP="00362B6A">
      <w:pPr>
        <w:pStyle w:val="normal"/>
        <w:widowControl w:val="0"/>
        <w:numPr>
          <w:ilvl w:val="1"/>
          <w:numId w:val="5"/>
        </w:numPr>
        <w:spacing w:after="0" w:line="240" w:lineRule="auto"/>
        <w:rPr>
          <w:rFonts w:ascii="Athiti" w:eastAsia="Athiti" w:hAnsi="Athiti" w:cs="Athiti"/>
          <w:lang w:val="cs-CZ"/>
        </w:rPr>
      </w:pPr>
      <w:bookmarkStart w:id="21" w:name="_heading=h.lhctg45hqfmk" w:colFirst="0" w:colLast="0"/>
      <w:bookmarkEnd w:id="21"/>
      <w:r w:rsidRPr="00621AA4">
        <w:rPr>
          <w:rFonts w:ascii="Athiti" w:eastAsia="Athiti" w:hAnsi="Athiti" w:cs="Athiti"/>
          <w:lang w:val="cs-CZ"/>
        </w:rPr>
        <w:t>datum přijetí;</w:t>
      </w:r>
    </w:p>
    <w:p w:rsidR="00362B6A" w:rsidRPr="00621AA4" w:rsidRDefault="00362B6A" w:rsidP="00362B6A">
      <w:pPr>
        <w:pStyle w:val="normal"/>
        <w:widowControl w:val="0"/>
        <w:numPr>
          <w:ilvl w:val="1"/>
          <w:numId w:val="5"/>
        </w:numPr>
        <w:spacing w:after="0" w:line="240" w:lineRule="auto"/>
        <w:rPr>
          <w:rFonts w:ascii="Athiti" w:eastAsia="Athiti" w:hAnsi="Athiti" w:cs="Athiti"/>
          <w:lang w:val="cs-CZ"/>
        </w:rPr>
      </w:pPr>
      <w:r w:rsidRPr="00621AA4">
        <w:rPr>
          <w:rFonts w:ascii="Athiti" w:eastAsia="Athiti" w:hAnsi="Athiti" w:cs="Athiti"/>
          <w:lang w:val="cs-CZ"/>
        </w:rPr>
        <w:t>jméno a příjmení klienta (stěžovatele) či popřípadě obchodní firma klienta (stěžovatele) a je-li to relevantní, jméno a příjmení či obchodní firma právního zástupce klienta;</w:t>
      </w:r>
    </w:p>
    <w:p w:rsidR="00362B6A" w:rsidRPr="00621AA4" w:rsidRDefault="00362B6A" w:rsidP="00362B6A">
      <w:pPr>
        <w:pStyle w:val="normal"/>
        <w:widowControl w:val="0"/>
        <w:numPr>
          <w:ilvl w:val="1"/>
          <w:numId w:val="5"/>
        </w:numPr>
        <w:spacing w:after="0" w:line="240" w:lineRule="auto"/>
        <w:rPr>
          <w:rFonts w:ascii="Athiti" w:eastAsia="Athiti" w:hAnsi="Athiti" w:cs="Athiti"/>
          <w:lang w:val="cs-CZ"/>
        </w:rPr>
      </w:pPr>
      <w:r w:rsidRPr="00621AA4">
        <w:rPr>
          <w:rFonts w:ascii="Athiti" w:eastAsia="Athiti" w:hAnsi="Athiti" w:cs="Athiti"/>
          <w:lang w:val="cs-CZ"/>
        </w:rPr>
        <w:t>kontaktní údaje klienta a je-li to relevantní, kontaktní údaje právního zástupce klienta minimálně v rozsahu e-mail či adresa nebo telefon podle zvolené formy komunikace;</w:t>
      </w:r>
    </w:p>
    <w:p w:rsidR="00362B6A" w:rsidRPr="00621AA4" w:rsidRDefault="00362B6A" w:rsidP="00362B6A">
      <w:pPr>
        <w:pStyle w:val="normal"/>
        <w:widowControl w:val="0"/>
        <w:numPr>
          <w:ilvl w:val="1"/>
          <w:numId w:val="5"/>
        </w:numPr>
        <w:spacing w:after="0" w:line="240" w:lineRule="auto"/>
        <w:rPr>
          <w:rFonts w:ascii="Athiti" w:eastAsia="Athiti" w:hAnsi="Athiti" w:cs="Athiti"/>
          <w:lang w:val="cs-CZ"/>
        </w:rPr>
      </w:pPr>
      <w:r w:rsidRPr="00621AA4">
        <w:rPr>
          <w:rFonts w:ascii="Athiti" w:eastAsia="Athiti" w:hAnsi="Athiti" w:cs="Athiti"/>
          <w:lang w:val="cs-CZ"/>
        </w:rPr>
        <w:t>popis stížnosti/reklamace (pozn. obsahuje mimo jiné kategorizaci tématu);</w:t>
      </w:r>
    </w:p>
    <w:p w:rsidR="00362B6A" w:rsidRPr="00621AA4" w:rsidRDefault="00362B6A" w:rsidP="00362B6A">
      <w:pPr>
        <w:pStyle w:val="normal"/>
        <w:widowControl w:val="0"/>
        <w:numPr>
          <w:ilvl w:val="1"/>
          <w:numId w:val="5"/>
        </w:numPr>
        <w:spacing w:after="0" w:line="240" w:lineRule="auto"/>
        <w:rPr>
          <w:rFonts w:ascii="Athiti" w:eastAsia="Athiti" w:hAnsi="Athiti" w:cs="Athiti"/>
          <w:lang w:val="cs-CZ"/>
        </w:rPr>
      </w:pPr>
      <w:r w:rsidRPr="00621AA4">
        <w:rPr>
          <w:rFonts w:ascii="Athiti" w:eastAsia="Athiti" w:hAnsi="Athiti" w:cs="Athiti"/>
          <w:lang w:val="cs-CZ"/>
        </w:rPr>
        <w:t>návrh případných nápravných opatření, datum informování o tomto návrhu vedení Společnosti, datum rozhodnutí vedení Společnosti o přijetí či zamítnutí tohoto návrhu a záznam o tomto rozhodnutí (např. formou emailu či jinou písemnou formou);</w:t>
      </w:r>
    </w:p>
    <w:p w:rsidR="00362B6A" w:rsidRPr="00621AA4" w:rsidRDefault="00362B6A" w:rsidP="00362B6A">
      <w:pPr>
        <w:pStyle w:val="normal"/>
        <w:widowControl w:val="0"/>
        <w:numPr>
          <w:ilvl w:val="1"/>
          <w:numId w:val="5"/>
        </w:numPr>
        <w:spacing w:after="0" w:line="240" w:lineRule="auto"/>
        <w:rPr>
          <w:rFonts w:ascii="Athiti" w:eastAsia="Athiti" w:hAnsi="Athiti" w:cs="Athiti"/>
          <w:lang w:val="cs-CZ"/>
        </w:rPr>
      </w:pPr>
      <w:r w:rsidRPr="00621AA4">
        <w:rPr>
          <w:rFonts w:ascii="Athiti" w:eastAsia="Athiti" w:hAnsi="Athiti" w:cs="Athiti"/>
          <w:lang w:val="cs-CZ"/>
        </w:rPr>
        <w:t>datum potvrzení přijetí stížnosti/reklamace;</w:t>
      </w:r>
    </w:p>
    <w:p w:rsidR="00362B6A" w:rsidRPr="00621AA4" w:rsidRDefault="00362B6A" w:rsidP="00362B6A">
      <w:pPr>
        <w:pStyle w:val="normal"/>
        <w:widowControl w:val="0"/>
        <w:numPr>
          <w:ilvl w:val="1"/>
          <w:numId w:val="5"/>
        </w:numPr>
        <w:spacing w:after="0" w:line="240" w:lineRule="auto"/>
        <w:rPr>
          <w:rFonts w:ascii="Athiti" w:eastAsia="Athiti" w:hAnsi="Athiti" w:cs="Athiti"/>
          <w:lang w:val="cs-CZ"/>
        </w:rPr>
      </w:pPr>
      <w:r w:rsidRPr="00621AA4">
        <w:rPr>
          <w:rFonts w:ascii="Athiti" w:eastAsia="Athiti" w:hAnsi="Athiti" w:cs="Athiti"/>
          <w:lang w:val="cs-CZ"/>
        </w:rPr>
        <w:t>datum případného vyžádání dodatečných informací/podkladů;</w:t>
      </w:r>
    </w:p>
    <w:p w:rsidR="00362B6A" w:rsidRPr="00621AA4" w:rsidRDefault="00362B6A" w:rsidP="00362B6A">
      <w:pPr>
        <w:pStyle w:val="normal"/>
        <w:widowControl w:val="0"/>
        <w:numPr>
          <w:ilvl w:val="1"/>
          <w:numId w:val="5"/>
        </w:numPr>
        <w:spacing w:after="0" w:line="240" w:lineRule="auto"/>
        <w:rPr>
          <w:rFonts w:ascii="Athiti" w:eastAsia="Athiti" w:hAnsi="Athiti" w:cs="Athiti"/>
          <w:lang w:val="cs-CZ"/>
        </w:rPr>
      </w:pPr>
      <w:r w:rsidRPr="00621AA4">
        <w:rPr>
          <w:rFonts w:ascii="Athiti" w:eastAsia="Athiti" w:hAnsi="Athiti" w:cs="Athiti"/>
          <w:lang w:val="cs-CZ"/>
        </w:rPr>
        <w:t>datum odpovědi Společnosti;</w:t>
      </w:r>
    </w:p>
    <w:p w:rsidR="00362B6A" w:rsidRPr="00621AA4" w:rsidRDefault="00362B6A" w:rsidP="00362B6A">
      <w:pPr>
        <w:pStyle w:val="normal"/>
        <w:widowControl w:val="0"/>
        <w:numPr>
          <w:ilvl w:val="1"/>
          <w:numId w:val="5"/>
        </w:numPr>
        <w:spacing w:after="0" w:line="240" w:lineRule="auto"/>
        <w:rPr>
          <w:rFonts w:ascii="Athiti" w:eastAsia="Athiti" w:hAnsi="Athiti" w:cs="Athiti"/>
          <w:lang w:val="cs-CZ"/>
        </w:rPr>
      </w:pPr>
      <w:r w:rsidRPr="00621AA4">
        <w:rPr>
          <w:rFonts w:ascii="Athiti" w:eastAsia="Athiti" w:hAnsi="Athiti" w:cs="Athiti"/>
          <w:lang w:val="cs-CZ"/>
        </w:rPr>
        <w:t>výsledek stížnosti/reklamace;</w:t>
      </w:r>
    </w:p>
    <w:p w:rsidR="00362B6A" w:rsidRPr="00621AA4" w:rsidRDefault="00362B6A" w:rsidP="00362B6A">
      <w:pPr>
        <w:pStyle w:val="normal"/>
        <w:widowControl w:val="0"/>
        <w:numPr>
          <w:ilvl w:val="1"/>
          <w:numId w:val="5"/>
        </w:numPr>
        <w:spacing w:after="0" w:line="240" w:lineRule="auto"/>
        <w:rPr>
          <w:rFonts w:ascii="Athiti" w:eastAsia="Athiti" w:hAnsi="Athiti" w:cs="Athiti"/>
          <w:lang w:val="cs-CZ"/>
        </w:rPr>
      </w:pPr>
      <w:r w:rsidRPr="00621AA4">
        <w:rPr>
          <w:rFonts w:ascii="Athiti" w:eastAsia="Athiti" w:hAnsi="Athiti" w:cs="Athiti"/>
          <w:lang w:val="cs-CZ"/>
        </w:rPr>
        <w:t>jméno osoby vyřizujícího stížnost;</w:t>
      </w:r>
    </w:p>
    <w:p w:rsidR="00362B6A" w:rsidRPr="00621AA4" w:rsidRDefault="00362B6A" w:rsidP="00362B6A">
      <w:pPr>
        <w:pStyle w:val="normal"/>
        <w:widowControl w:val="0"/>
        <w:numPr>
          <w:ilvl w:val="1"/>
          <w:numId w:val="5"/>
        </w:numPr>
        <w:spacing w:after="0" w:line="240" w:lineRule="auto"/>
        <w:rPr>
          <w:rFonts w:ascii="Athiti" w:eastAsia="Athiti" w:hAnsi="Athiti" w:cs="Athiti"/>
          <w:lang w:val="cs-CZ"/>
        </w:rPr>
      </w:pPr>
      <w:r w:rsidRPr="00621AA4">
        <w:rPr>
          <w:rFonts w:ascii="Athiti" w:eastAsia="Athiti" w:hAnsi="Athiti" w:cs="Athiti"/>
          <w:lang w:val="cs-CZ"/>
        </w:rPr>
        <w:t>stav stížnosti/reklamace:</w:t>
      </w:r>
    </w:p>
    <w:p w:rsidR="00362B6A" w:rsidRPr="00621AA4" w:rsidRDefault="00362B6A" w:rsidP="00362B6A">
      <w:pPr>
        <w:pStyle w:val="normal"/>
        <w:widowControl w:val="0"/>
        <w:spacing w:after="0" w:line="240" w:lineRule="auto"/>
        <w:ind w:left="1440"/>
        <w:rPr>
          <w:rFonts w:ascii="Athiti" w:eastAsia="Athiti" w:hAnsi="Athiti" w:cs="Athiti"/>
          <w:lang w:val="cs-CZ"/>
        </w:rPr>
      </w:pPr>
      <w:r w:rsidRPr="00621AA4">
        <w:rPr>
          <w:rFonts w:ascii="Athiti" w:eastAsia="Athiti" w:hAnsi="Athiti" w:cs="Athiti"/>
          <w:lang w:val="cs-CZ"/>
        </w:rPr>
        <w:t xml:space="preserve">- čeká na vyřízení, </w:t>
      </w:r>
    </w:p>
    <w:p w:rsidR="00362B6A" w:rsidRPr="00621AA4" w:rsidRDefault="00362B6A" w:rsidP="00362B6A">
      <w:pPr>
        <w:pStyle w:val="normal"/>
        <w:widowControl w:val="0"/>
        <w:spacing w:after="0" w:line="240" w:lineRule="auto"/>
        <w:ind w:left="1440"/>
        <w:rPr>
          <w:rFonts w:ascii="Athiti" w:eastAsia="Athiti" w:hAnsi="Athiti" w:cs="Athiti"/>
          <w:lang w:val="cs-CZ"/>
        </w:rPr>
      </w:pPr>
      <w:r w:rsidRPr="00621AA4">
        <w:rPr>
          <w:rFonts w:ascii="Athiti" w:eastAsia="Athiti" w:hAnsi="Athiti" w:cs="Athiti"/>
          <w:lang w:val="cs-CZ"/>
        </w:rPr>
        <w:t xml:space="preserve">- vyžádány dodatečné informace, </w:t>
      </w:r>
    </w:p>
    <w:p w:rsidR="00362B6A" w:rsidRPr="00621AA4" w:rsidRDefault="00362B6A" w:rsidP="00362B6A">
      <w:pPr>
        <w:pStyle w:val="normal"/>
        <w:widowControl w:val="0"/>
        <w:spacing w:after="0" w:line="240" w:lineRule="auto"/>
        <w:ind w:left="1440"/>
        <w:rPr>
          <w:rFonts w:ascii="Athiti" w:eastAsia="Athiti" w:hAnsi="Athiti" w:cs="Athiti"/>
          <w:lang w:val="cs-CZ"/>
        </w:rPr>
      </w:pPr>
      <w:r w:rsidRPr="00621AA4">
        <w:rPr>
          <w:rFonts w:ascii="Athiti" w:eastAsia="Athiti" w:hAnsi="Athiti" w:cs="Athiti"/>
          <w:lang w:val="cs-CZ"/>
        </w:rPr>
        <w:t xml:space="preserve">- uzavřeno pro nesoučinnost klienta od vyžádání (pozn.: </w:t>
      </w:r>
      <w:r w:rsidRPr="00621AA4">
        <w:rPr>
          <w:rFonts w:ascii="Athiti" w:eastAsia="Athiti" w:hAnsi="Athiti" w:cs="Athiti"/>
          <w:i/>
          <w:lang w:val="cs-CZ"/>
        </w:rPr>
        <w:t>po 90 dnech</w:t>
      </w:r>
      <w:r w:rsidRPr="00621AA4">
        <w:rPr>
          <w:rFonts w:ascii="Athiti" w:eastAsia="Athiti" w:hAnsi="Athiti" w:cs="Athiti"/>
          <w:lang w:val="cs-CZ"/>
        </w:rPr>
        <w:t>),</w:t>
      </w:r>
    </w:p>
    <w:p w:rsidR="00362B6A" w:rsidRPr="00621AA4" w:rsidRDefault="00362B6A" w:rsidP="00362B6A">
      <w:pPr>
        <w:pStyle w:val="normal"/>
        <w:widowControl w:val="0"/>
        <w:spacing w:after="0" w:line="240" w:lineRule="auto"/>
        <w:ind w:left="1440"/>
        <w:rPr>
          <w:rFonts w:ascii="Athiti" w:eastAsia="Athiti" w:hAnsi="Athiti" w:cs="Athiti"/>
          <w:lang w:val="cs-CZ"/>
        </w:rPr>
      </w:pPr>
      <w:r w:rsidRPr="00621AA4">
        <w:rPr>
          <w:rFonts w:ascii="Athiti" w:eastAsia="Athiti" w:hAnsi="Athiti" w:cs="Athiti"/>
          <w:lang w:val="cs-CZ"/>
        </w:rPr>
        <w:t>- uzavřeno,</w:t>
      </w:r>
    </w:p>
    <w:p w:rsidR="00362B6A" w:rsidRPr="00621AA4" w:rsidRDefault="00362B6A" w:rsidP="00362B6A">
      <w:pPr>
        <w:pStyle w:val="normal"/>
        <w:widowControl w:val="0"/>
        <w:spacing w:after="0" w:line="240" w:lineRule="auto"/>
        <w:ind w:left="1440"/>
        <w:rPr>
          <w:rFonts w:ascii="Athiti" w:eastAsia="Athiti" w:hAnsi="Athiti" w:cs="Athiti"/>
          <w:lang w:val="cs-CZ"/>
        </w:rPr>
      </w:pPr>
      <w:r w:rsidRPr="00621AA4">
        <w:rPr>
          <w:rFonts w:ascii="Athiti" w:eastAsia="Athiti" w:hAnsi="Athiti" w:cs="Athiti"/>
          <w:lang w:val="cs-CZ"/>
        </w:rPr>
        <w:t>- ČNB/AK/FA/soud.</w:t>
      </w:r>
    </w:p>
    <w:p w:rsidR="00362B6A" w:rsidRPr="00621AA4" w:rsidRDefault="00362B6A" w:rsidP="00362B6A">
      <w:pPr>
        <w:pStyle w:val="normal"/>
        <w:widowControl w:val="0"/>
        <w:numPr>
          <w:ilvl w:val="0"/>
          <w:numId w:val="16"/>
        </w:numPr>
        <w:spacing w:after="0" w:line="240" w:lineRule="auto"/>
        <w:rPr>
          <w:rFonts w:ascii="Athiti" w:eastAsia="Athiti" w:hAnsi="Athiti" w:cs="Athiti"/>
          <w:lang w:val="cs-CZ"/>
        </w:rPr>
      </w:pPr>
      <w:r w:rsidRPr="00621AA4">
        <w:rPr>
          <w:rFonts w:ascii="Athiti" w:eastAsia="Athiti" w:hAnsi="Athiti" w:cs="Athiti"/>
          <w:lang w:val="cs-CZ"/>
        </w:rPr>
        <w:t>V případě, že byl klient požádán o součinnost (dodání dodatečných informací či podkladů) a neodpoví do 90 dnů, je věc uzavřena pro nesoučinnost klienta.</w:t>
      </w:r>
    </w:p>
    <w:p w:rsidR="00362B6A" w:rsidRPr="00621AA4" w:rsidRDefault="00362B6A" w:rsidP="00362B6A">
      <w:pPr>
        <w:pStyle w:val="normal"/>
        <w:widowControl w:val="0"/>
        <w:numPr>
          <w:ilvl w:val="0"/>
          <w:numId w:val="16"/>
        </w:numPr>
        <w:spacing w:after="0" w:line="240" w:lineRule="auto"/>
        <w:rPr>
          <w:rFonts w:ascii="Athiti" w:eastAsia="Athiti" w:hAnsi="Athiti" w:cs="Athiti"/>
          <w:lang w:val="cs-CZ"/>
        </w:rPr>
      </w:pPr>
      <w:r w:rsidRPr="00621AA4">
        <w:rPr>
          <w:rFonts w:ascii="Athiti" w:eastAsia="Athiti" w:hAnsi="Athiti" w:cs="Athiti"/>
          <w:lang w:val="cs-CZ"/>
        </w:rPr>
        <w:t>Pověřená osoba průběžně analyzuje data vedená v evidenci s cílem zajistit identifikaci a řešení zejména týchž opakujících se případů a detekce právních a operačních rizik. Tato analýza zahrnuje:</w:t>
      </w:r>
    </w:p>
    <w:p w:rsidR="00362B6A" w:rsidRPr="00621AA4" w:rsidRDefault="00362B6A" w:rsidP="00362B6A">
      <w:pPr>
        <w:pStyle w:val="normal"/>
        <w:widowControl w:val="0"/>
        <w:numPr>
          <w:ilvl w:val="1"/>
          <w:numId w:val="7"/>
        </w:numPr>
        <w:spacing w:after="0" w:line="240" w:lineRule="auto"/>
        <w:rPr>
          <w:rFonts w:ascii="Athiti" w:eastAsia="Athiti" w:hAnsi="Athiti" w:cs="Athiti"/>
          <w:lang w:val="cs-CZ"/>
        </w:rPr>
      </w:pPr>
      <w:r w:rsidRPr="00621AA4">
        <w:rPr>
          <w:rFonts w:ascii="Athiti" w:eastAsia="Athiti" w:hAnsi="Athiti" w:cs="Athiti"/>
          <w:lang w:val="cs-CZ"/>
        </w:rPr>
        <w:t>průměrnou dobu zpracování pro každý krok postupu vyřizování stížností/reklamací, včetně potvrzení, prošetření a doby pro vypravení odpovědi;</w:t>
      </w:r>
    </w:p>
    <w:p w:rsidR="00362B6A" w:rsidRPr="00621AA4" w:rsidRDefault="00362B6A" w:rsidP="00362B6A">
      <w:pPr>
        <w:pStyle w:val="normal"/>
        <w:widowControl w:val="0"/>
        <w:numPr>
          <w:ilvl w:val="1"/>
          <w:numId w:val="7"/>
        </w:numPr>
        <w:spacing w:after="0" w:line="240" w:lineRule="auto"/>
        <w:rPr>
          <w:rFonts w:ascii="Athiti" w:eastAsia="Athiti" w:hAnsi="Athiti" w:cs="Athiti"/>
          <w:lang w:val="cs-CZ"/>
        </w:rPr>
      </w:pPr>
      <w:r w:rsidRPr="00621AA4">
        <w:rPr>
          <w:rFonts w:ascii="Athiti" w:eastAsia="Athiti" w:hAnsi="Athiti" w:cs="Athiti"/>
          <w:lang w:val="cs-CZ"/>
        </w:rPr>
        <w:t xml:space="preserve">počet přijatých stížností a pro každý krok postupu vyřizování stížností/reklamací počet stížností, u nichž Společnost nedodržela maximální časové limity pro </w:t>
      </w:r>
      <w:r w:rsidRPr="00621AA4">
        <w:rPr>
          <w:rFonts w:ascii="Athiti" w:eastAsia="Athiti" w:hAnsi="Athiti" w:cs="Athiti"/>
          <w:lang w:val="cs-CZ"/>
        </w:rPr>
        <w:lastRenderedPageBreak/>
        <w:t>vyřízení věci;</w:t>
      </w:r>
    </w:p>
    <w:p w:rsidR="00362B6A" w:rsidRPr="00621AA4" w:rsidRDefault="00362B6A" w:rsidP="00362B6A">
      <w:pPr>
        <w:pStyle w:val="normal"/>
        <w:widowControl w:val="0"/>
        <w:numPr>
          <w:ilvl w:val="1"/>
          <w:numId w:val="7"/>
        </w:numPr>
        <w:spacing w:after="0" w:line="240" w:lineRule="auto"/>
        <w:rPr>
          <w:rFonts w:ascii="Athiti" w:eastAsia="Athiti" w:hAnsi="Athiti" w:cs="Athiti"/>
          <w:lang w:val="cs-CZ"/>
        </w:rPr>
      </w:pPr>
      <w:r w:rsidRPr="00621AA4">
        <w:rPr>
          <w:rFonts w:ascii="Athiti" w:eastAsia="Athiti" w:hAnsi="Athiti" w:cs="Athiti"/>
          <w:lang w:val="cs-CZ"/>
        </w:rPr>
        <w:t>kategorie témat, kterých se stížnosti/reklamace týkají (nutno zkratkovitě vpisovat příznaky pro kategorizaci a následnou možnost vyfiltrování);</w:t>
      </w:r>
    </w:p>
    <w:p w:rsidR="00362B6A" w:rsidRPr="00621AA4" w:rsidRDefault="00362B6A" w:rsidP="00362B6A">
      <w:pPr>
        <w:pStyle w:val="normal"/>
        <w:widowControl w:val="0"/>
        <w:numPr>
          <w:ilvl w:val="1"/>
          <w:numId w:val="7"/>
        </w:numPr>
        <w:spacing w:after="0" w:line="240" w:lineRule="auto"/>
        <w:rPr>
          <w:rFonts w:ascii="Athiti" w:eastAsia="Athiti" w:hAnsi="Athiti" w:cs="Athiti"/>
          <w:lang w:val="cs-CZ"/>
        </w:rPr>
      </w:pPr>
      <w:r w:rsidRPr="00621AA4">
        <w:rPr>
          <w:rFonts w:ascii="Athiti" w:eastAsia="Athiti" w:hAnsi="Athiti" w:cs="Athiti"/>
          <w:lang w:val="cs-CZ"/>
        </w:rPr>
        <w:t>výsledky rozhodnutí.</w:t>
      </w:r>
    </w:p>
    <w:p w:rsidR="00362B6A" w:rsidRPr="00621AA4" w:rsidRDefault="00362B6A" w:rsidP="00362B6A">
      <w:pPr>
        <w:pStyle w:val="normal"/>
        <w:widowControl w:val="0"/>
        <w:spacing w:after="0" w:line="240" w:lineRule="auto"/>
        <w:ind w:left="720"/>
        <w:rPr>
          <w:rFonts w:ascii="Athiti" w:eastAsia="Athiti" w:hAnsi="Athiti" w:cs="Athiti"/>
          <w:lang w:val="cs-CZ"/>
        </w:rPr>
      </w:pPr>
    </w:p>
    <w:p w:rsidR="00362B6A" w:rsidRPr="00621AA4" w:rsidRDefault="00362B6A" w:rsidP="00362B6A">
      <w:pPr>
        <w:pStyle w:val="Nadpis1"/>
        <w:keepNext w:val="0"/>
        <w:keepLines w:val="0"/>
        <w:widowControl w:val="0"/>
        <w:numPr>
          <w:ilvl w:val="0"/>
          <w:numId w:val="9"/>
        </w:numPr>
        <w:spacing w:before="0" w:after="0" w:line="240" w:lineRule="auto"/>
        <w:rPr>
          <w:rFonts w:ascii="Athiti" w:eastAsia="Athiti" w:hAnsi="Athiti" w:cs="Athiti"/>
          <w:sz w:val="28"/>
          <w:szCs w:val="28"/>
          <w:lang w:val="cs-CZ"/>
        </w:rPr>
      </w:pPr>
      <w:r w:rsidRPr="00621AA4">
        <w:rPr>
          <w:rFonts w:ascii="Athiti" w:eastAsia="Athiti" w:hAnsi="Athiti" w:cs="Athiti"/>
          <w:sz w:val="28"/>
          <w:szCs w:val="28"/>
          <w:lang w:val="cs-CZ"/>
        </w:rPr>
        <w:t>NÁPRAVNÁ OPATŘENÍ A RIZIKOVÉ STÍŽNOSTI A REKLAMACE</w:t>
      </w:r>
    </w:p>
    <w:p w:rsidR="00362B6A" w:rsidRPr="00621AA4" w:rsidRDefault="00362B6A" w:rsidP="00362B6A">
      <w:pPr>
        <w:pStyle w:val="normal"/>
        <w:widowControl w:val="0"/>
        <w:numPr>
          <w:ilvl w:val="0"/>
          <w:numId w:val="17"/>
        </w:numPr>
        <w:spacing w:after="0" w:line="240" w:lineRule="auto"/>
        <w:rPr>
          <w:rFonts w:ascii="Athiti" w:eastAsia="Athiti" w:hAnsi="Athiti" w:cs="Athiti"/>
          <w:lang w:val="cs-CZ"/>
        </w:rPr>
      </w:pPr>
      <w:bookmarkStart w:id="22" w:name="_heading=h.oj91di961sgd" w:colFirst="0" w:colLast="0"/>
      <w:bookmarkEnd w:id="22"/>
      <w:r w:rsidRPr="00621AA4">
        <w:rPr>
          <w:rFonts w:ascii="Athiti" w:eastAsia="Athiti" w:hAnsi="Athiti" w:cs="Athiti"/>
          <w:lang w:val="cs-CZ"/>
        </w:rPr>
        <w:t xml:space="preserve">V případě, že klient věc předal ČNB nebo ho zastupuje advokátní kancelář anebo věc předal Finančnímu arbitrovi či je věc u soudu, je u stížnosti/reklamace nejen veden příznak „ČNB/AK/FA/soud“ (viz čl. 7 odst. 2), ale Pověřená osoba o tom také bezodkladně informuje vedení Společnosti a věci věnuje zvýšenou pozornost, zejména pečlivě zváží možnosti přijetí interních nápravných opatření. </w:t>
      </w:r>
    </w:p>
    <w:p w:rsidR="00362B6A" w:rsidRPr="00621AA4" w:rsidRDefault="00362B6A" w:rsidP="00362B6A">
      <w:pPr>
        <w:pStyle w:val="normal"/>
        <w:widowControl w:val="0"/>
        <w:numPr>
          <w:ilvl w:val="0"/>
          <w:numId w:val="17"/>
        </w:numPr>
        <w:spacing w:after="0" w:line="240" w:lineRule="auto"/>
        <w:rPr>
          <w:rFonts w:ascii="Athiti" w:eastAsia="Athiti" w:hAnsi="Athiti" w:cs="Athiti"/>
          <w:lang w:val="cs-CZ"/>
        </w:rPr>
      </w:pPr>
      <w:r w:rsidRPr="00621AA4">
        <w:rPr>
          <w:rFonts w:ascii="Athiti" w:eastAsia="Athiti" w:hAnsi="Athiti" w:cs="Athiti"/>
          <w:lang w:val="cs-CZ"/>
        </w:rPr>
        <w:t xml:space="preserve">Pověřená osoba na základě prošetření stížnosti a reklamace případně navrhuje vedení Společnosti příslušná interní nápravná opatření a i o tom činí záznam v evidenci v rozsahu dle čl. 7. Nápravné opatření se může týkat individuálního pochybení jednotlivce či opakovaných individuálních pochybení jednotlivců, která vyžadují zavedení preventivních systémových opatření, např. pravidelné namátkové kontroly pracovníků. Pověřená osoba nicméně vždy navrhne nápravná opatření, jedná-li se o systémový nedostatek řídicího a kontrolního systému Společnosti, který by mohl ohrozit větší množství klientů Společnosti či způsobit větší škody. </w:t>
      </w:r>
    </w:p>
    <w:p w:rsidR="00362B6A" w:rsidRPr="00621AA4" w:rsidRDefault="00362B6A" w:rsidP="00362B6A">
      <w:pPr>
        <w:pStyle w:val="normal"/>
        <w:widowControl w:val="0"/>
        <w:numPr>
          <w:ilvl w:val="0"/>
          <w:numId w:val="17"/>
        </w:numPr>
        <w:spacing w:after="0" w:line="240" w:lineRule="auto"/>
        <w:rPr>
          <w:rFonts w:ascii="Athiti" w:eastAsia="Athiti" w:hAnsi="Athiti" w:cs="Athiti"/>
          <w:lang w:val="cs-CZ"/>
        </w:rPr>
      </w:pPr>
      <w:r w:rsidRPr="00621AA4">
        <w:rPr>
          <w:rFonts w:ascii="Athiti" w:eastAsia="Athiti" w:hAnsi="Athiti" w:cs="Athiti"/>
          <w:lang w:val="cs-CZ"/>
        </w:rPr>
        <w:t xml:space="preserve">Pověřená osoba o návrhu nápravného opatření informuje vedení Společnosti bezodkladně, a detailně vysvětlí podobu nápravy a stávající riziko, vč. míry jeho pravděpodobnosti výskytu a závažnosti (mj. s ohledem možnosti veřejnoprávního postihu, finanční a reputační dopady). Dále Pověřená osoba zaznamená do evidence datum a podobu rozhodnutí vedení Společnosti o (ne)přijetí navrženého opatření. V případě, že náprava nebude přijata, Pověřená osoba zaznamená přijaté riziko do evidence akceptovaných rizik. </w:t>
      </w:r>
    </w:p>
    <w:p w:rsidR="00362B6A" w:rsidRPr="00621AA4" w:rsidRDefault="00362B6A" w:rsidP="00362B6A">
      <w:pPr>
        <w:pStyle w:val="normal"/>
        <w:widowControl w:val="0"/>
        <w:spacing w:after="0" w:line="240" w:lineRule="auto"/>
        <w:ind w:left="720"/>
        <w:rPr>
          <w:rFonts w:ascii="Athiti" w:eastAsia="Athiti" w:hAnsi="Athiti" w:cs="Athiti"/>
          <w:lang w:val="cs-CZ"/>
        </w:rPr>
      </w:pPr>
    </w:p>
    <w:p w:rsidR="00362B6A" w:rsidRPr="00621AA4" w:rsidRDefault="00362B6A" w:rsidP="00362B6A">
      <w:pPr>
        <w:pStyle w:val="Nadpis1"/>
        <w:keepNext w:val="0"/>
        <w:keepLines w:val="0"/>
        <w:widowControl w:val="0"/>
        <w:numPr>
          <w:ilvl w:val="0"/>
          <w:numId w:val="9"/>
        </w:numPr>
        <w:spacing w:before="0" w:after="0" w:line="240" w:lineRule="auto"/>
        <w:rPr>
          <w:rFonts w:ascii="Athiti" w:eastAsia="Athiti" w:hAnsi="Athiti" w:cs="Athiti"/>
          <w:sz w:val="28"/>
          <w:szCs w:val="28"/>
          <w:lang w:val="cs-CZ"/>
        </w:rPr>
      </w:pPr>
      <w:bookmarkStart w:id="23" w:name="_heading=h.6wdc31ep6u1" w:colFirst="0" w:colLast="0"/>
      <w:bookmarkEnd w:id="23"/>
      <w:r w:rsidRPr="00621AA4">
        <w:rPr>
          <w:rFonts w:ascii="Athiti" w:eastAsia="Athiti" w:hAnsi="Athiti" w:cs="Athiti"/>
          <w:sz w:val="28"/>
          <w:szCs w:val="28"/>
          <w:lang w:val="cs-CZ"/>
        </w:rPr>
        <w:t>ZÁVĚREČNÁ USTANOVENÍ</w:t>
      </w:r>
    </w:p>
    <w:p w:rsidR="00362B6A" w:rsidRPr="00621AA4" w:rsidRDefault="00362B6A" w:rsidP="00362B6A">
      <w:pPr>
        <w:pStyle w:val="normal"/>
        <w:widowControl w:val="0"/>
        <w:numPr>
          <w:ilvl w:val="0"/>
          <w:numId w:val="1"/>
        </w:numPr>
        <w:spacing w:after="0" w:line="240" w:lineRule="auto"/>
        <w:rPr>
          <w:rFonts w:ascii="Georgia" w:eastAsia="Georgia" w:hAnsi="Georgia" w:cs="Georgia"/>
          <w:sz w:val="22"/>
          <w:szCs w:val="22"/>
          <w:lang w:val="cs-CZ"/>
        </w:rPr>
      </w:pPr>
      <w:r w:rsidRPr="00621AA4">
        <w:rPr>
          <w:rFonts w:ascii="Athiti" w:eastAsia="Athiti" w:hAnsi="Athiti" w:cs="Athiti"/>
          <w:lang w:val="cs-CZ"/>
        </w:rPr>
        <w:t xml:space="preserve">Tyto Zásady budou interně trvale zpřístupněny všem zaměstnancům a pracovníkům Společnosti v interní elektronické složce </w:t>
      </w:r>
      <w:r w:rsidRPr="00621AA4">
        <w:rPr>
          <w:rFonts w:ascii="Athiti" w:eastAsia="Athiti" w:hAnsi="Athiti" w:cs="Athiti"/>
          <w:i/>
          <w:lang w:val="cs-CZ"/>
        </w:rPr>
        <w:t>Zásady a postupy společnosti</w:t>
      </w:r>
      <w:r w:rsidRPr="00621AA4">
        <w:rPr>
          <w:rFonts w:ascii="Athiti" w:eastAsia="Athiti" w:hAnsi="Athiti" w:cs="Athiti"/>
          <w:lang w:val="cs-CZ"/>
        </w:rPr>
        <w:t xml:space="preserve">. Všichni zaměstnanci a pracovníci budou informováni o tomto předpisu, jeho aktualizacích a platnosti a účinnosti prostřednictvím emailu. </w:t>
      </w:r>
    </w:p>
    <w:p w:rsidR="00362B6A" w:rsidRPr="00621AA4" w:rsidRDefault="00362B6A" w:rsidP="00362B6A">
      <w:pPr>
        <w:pStyle w:val="normal"/>
        <w:widowControl w:val="0"/>
        <w:numPr>
          <w:ilvl w:val="0"/>
          <w:numId w:val="1"/>
        </w:numPr>
        <w:spacing w:after="0" w:line="240" w:lineRule="auto"/>
        <w:rPr>
          <w:rFonts w:ascii="Georgia" w:eastAsia="Georgia" w:hAnsi="Georgia" w:cs="Georgia"/>
          <w:sz w:val="22"/>
          <w:szCs w:val="22"/>
          <w:lang w:val="cs-CZ"/>
        </w:rPr>
      </w:pPr>
      <w:r w:rsidRPr="00621AA4">
        <w:rPr>
          <w:rFonts w:ascii="Athiti" w:eastAsia="Athiti" w:hAnsi="Athiti" w:cs="Athiti"/>
          <w:lang w:val="cs-CZ"/>
        </w:rPr>
        <w:t xml:space="preserve">Všichni dotčení zaměstnanci a pracovníci Společnosti jsou povinni se s tímto vnitřním předpisem dopodrobna seznámit. Compliance&amp;AML Officer za tímto účelem zajistí proškolení všech dotčených zaměstnanců a pracovníků Společnosti. </w:t>
      </w:r>
    </w:p>
    <w:p w:rsidR="00362B6A" w:rsidRPr="00621AA4" w:rsidRDefault="00362B6A" w:rsidP="00362B6A">
      <w:pPr>
        <w:pStyle w:val="normal"/>
        <w:widowControl w:val="0"/>
        <w:numPr>
          <w:ilvl w:val="0"/>
          <w:numId w:val="1"/>
        </w:numPr>
        <w:spacing w:after="0" w:line="240" w:lineRule="auto"/>
        <w:rPr>
          <w:rFonts w:ascii="Georgia" w:eastAsia="Georgia" w:hAnsi="Georgia" w:cs="Georgia"/>
          <w:sz w:val="22"/>
          <w:szCs w:val="22"/>
          <w:lang w:val="cs-CZ"/>
        </w:rPr>
      </w:pPr>
      <w:bookmarkStart w:id="24" w:name="_heading=h.cwwxv86mtotb" w:colFirst="0" w:colLast="0"/>
      <w:bookmarkEnd w:id="24"/>
      <w:r w:rsidRPr="00621AA4">
        <w:rPr>
          <w:rFonts w:ascii="Athiti" w:eastAsia="Athiti" w:hAnsi="Athiti" w:cs="Athiti"/>
          <w:lang w:val="cs-CZ"/>
        </w:rPr>
        <w:t>Tyto Zásady jsou revidovány minimálně jednou ročně. Tento vnitřní předpis bude revidován také vždy při změně příslušných právních předpisů, zejména nařízení MiCA a jeho prováděcích předpisů, a v případě vydání nebo aktualizace RTS nebo obecných pokynů ESMA či EBA týkajících se vyřizování stížností. Za revizi Zásad a jejich aktuálnost odpovídá Compliance&amp;AML Officer.</w:t>
      </w:r>
    </w:p>
    <w:p w:rsidR="00362B6A" w:rsidRPr="00621AA4" w:rsidRDefault="00362B6A" w:rsidP="00362B6A">
      <w:pPr>
        <w:pStyle w:val="normal"/>
        <w:widowControl w:val="0"/>
        <w:numPr>
          <w:ilvl w:val="0"/>
          <w:numId w:val="1"/>
        </w:numPr>
        <w:spacing w:after="0" w:line="240" w:lineRule="auto"/>
        <w:rPr>
          <w:rFonts w:ascii="Georgia" w:eastAsia="Georgia" w:hAnsi="Georgia" w:cs="Georgia"/>
          <w:sz w:val="22"/>
          <w:szCs w:val="22"/>
          <w:lang w:val="cs-CZ"/>
        </w:rPr>
      </w:pPr>
      <w:r w:rsidRPr="00621AA4">
        <w:rPr>
          <w:rFonts w:ascii="Athiti" w:eastAsia="Athiti" w:hAnsi="Athiti" w:cs="Athiti"/>
          <w:lang w:val="cs-CZ"/>
        </w:rPr>
        <w:t>Tento vnitřní předpis nabývá platnosti a účinnosti ke dni jeho schválení.</w:t>
      </w:r>
    </w:p>
    <w:p w:rsidR="00362B6A" w:rsidRPr="00621AA4" w:rsidRDefault="00362B6A" w:rsidP="00362B6A">
      <w:pPr>
        <w:pStyle w:val="normal"/>
        <w:widowControl w:val="0"/>
        <w:tabs>
          <w:tab w:val="left" w:pos="9356"/>
        </w:tabs>
        <w:spacing w:after="120" w:line="240" w:lineRule="auto"/>
        <w:ind w:left="720"/>
        <w:rPr>
          <w:rFonts w:ascii="Athiti" w:eastAsia="Athiti" w:hAnsi="Athiti" w:cs="Athiti"/>
          <w:sz w:val="20"/>
          <w:szCs w:val="20"/>
          <w:lang w:val="cs-CZ"/>
        </w:rPr>
      </w:pPr>
      <w:bookmarkStart w:id="25" w:name="_heading=h.pmzxxi5d1l6d" w:colFirst="0" w:colLast="0"/>
      <w:bookmarkEnd w:id="25"/>
    </w:p>
    <w:p w:rsidR="00B06DB5" w:rsidRPr="00621AA4" w:rsidRDefault="00B06DB5">
      <w:pPr>
        <w:rPr>
          <w:lang w:val="cs-CZ"/>
        </w:rPr>
      </w:pPr>
    </w:p>
    <w:sectPr w:rsidR="00B06DB5" w:rsidRPr="00621AA4" w:rsidSect="00A547DB">
      <w:pgSz w:w="11906" w:h="16838"/>
      <w:pgMar w:top="1340" w:right="1320" w:bottom="1300" w:left="1340" w:header="782" w:footer="11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4F8" w:rsidRDefault="000B14F8" w:rsidP="008B7EF0">
      <w:pPr>
        <w:spacing w:after="0" w:line="240" w:lineRule="auto"/>
      </w:pPr>
      <w:r>
        <w:separator/>
      </w:r>
    </w:p>
  </w:endnote>
  <w:endnote w:type="continuationSeparator" w:id="1">
    <w:p w:rsidR="000B14F8" w:rsidRDefault="000B14F8" w:rsidP="008B7E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thiti">
    <w:altName w:val="Times New Roman"/>
    <w:charset w:val="00"/>
    <w:family w:val="auto"/>
    <w:pitch w:val="default"/>
    <w:sig w:usb0="00000000" w:usb1="00000000" w:usb2="00000000" w:usb3="00000000" w:csb0="00000000" w:csb1="00000000"/>
  </w:font>
  <w:font w:name="Caladea">
    <w:altName w:val="Times New Roman"/>
    <w:charset w:val="00"/>
    <w:family w:val="auto"/>
    <w:pitch w:val="default"/>
    <w:sig w:usb0="00000000" w:usb1="00000000" w:usb2="00000000" w:usb3="00000000" w:csb0="0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7DB" w:rsidRDefault="00362B6A">
    <w:pPr>
      <w:pStyle w:val="normal"/>
      <w:pBdr>
        <w:top w:val="nil"/>
        <w:left w:val="nil"/>
        <w:bottom w:val="nil"/>
        <w:right w:val="nil"/>
        <w:between w:val="nil"/>
      </w:pBdr>
      <w:tabs>
        <w:tab w:val="center" w:pos="4677"/>
        <w:tab w:val="right" w:pos="9355"/>
      </w:tabs>
      <w:spacing w:after="0" w:line="240" w:lineRule="auto"/>
      <w:jc w:val="center"/>
      <w:rPr>
        <w:color w:val="000000"/>
      </w:rPr>
    </w:pPr>
    <w:r>
      <w:rPr>
        <w:noProof/>
        <w:color w:val="000000"/>
      </w:rPr>
      <w:drawing>
        <wp:inline distT="0" distB="0" distL="0" distR="0">
          <wp:extent cx="5524500" cy="102235"/>
          <wp:effectExtent l="0" t="0" r="0" b="0"/>
          <wp:docPr id="16" name="image2.png" descr="Light horizontal"/>
          <wp:cNvGraphicFramePr/>
          <a:graphic xmlns:a="http://schemas.openxmlformats.org/drawingml/2006/main">
            <a:graphicData uri="http://schemas.openxmlformats.org/drawingml/2006/picture">
              <pic:pic xmlns:pic="http://schemas.openxmlformats.org/drawingml/2006/picture">
                <pic:nvPicPr>
                  <pic:cNvPr id="0" name="image2.png" descr="Light horizontal"/>
                  <pic:cNvPicPr preferRelativeResize="0"/>
                </pic:nvPicPr>
                <pic:blipFill>
                  <a:blip r:embed="rId1"/>
                  <a:srcRect/>
                  <a:stretch>
                    <a:fillRect/>
                  </a:stretch>
                </pic:blipFill>
                <pic:spPr>
                  <a:xfrm>
                    <a:off x="0" y="0"/>
                    <a:ext cx="5524500" cy="102235"/>
                  </a:xfrm>
                  <a:prstGeom prst="rect">
                    <a:avLst/>
                  </a:prstGeom>
                  <a:ln/>
                </pic:spPr>
              </pic:pic>
            </a:graphicData>
          </a:graphic>
        </wp:inline>
      </w:drawing>
    </w:r>
  </w:p>
  <w:p w:rsidR="00A547DB" w:rsidRDefault="00950FA3">
    <w:pPr>
      <w:pStyle w:val="normal"/>
      <w:pBdr>
        <w:top w:val="nil"/>
        <w:left w:val="nil"/>
        <w:bottom w:val="nil"/>
        <w:right w:val="nil"/>
        <w:between w:val="nil"/>
      </w:pBdr>
      <w:tabs>
        <w:tab w:val="center" w:pos="4677"/>
        <w:tab w:val="right" w:pos="9355"/>
      </w:tabs>
      <w:spacing w:after="0" w:line="240" w:lineRule="auto"/>
      <w:jc w:val="center"/>
      <w:rPr>
        <w:rFonts w:ascii="Athiti" w:eastAsia="Athiti" w:hAnsi="Athiti" w:cs="Athiti"/>
        <w:color w:val="000000"/>
      </w:rPr>
    </w:pPr>
    <w:r>
      <w:rPr>
        <w:rFonts w:ascii="Athiti" w:eastAsia="Athiti" w:hAnsi="Athiti" w:cs="Athiti"/>
        <w:color w:val="000000"/>
      </w:rPr>
      <w:fldChar w:fldCharType="begin"/>
    </w:r>
    <w:r w:rsidR="00362B6A">
      <w:rPr>
        <w:rFonts w:ascii="Athiti" w:eastAsia="Athiti" w:hAnsi="Athiti" w:cs="Athiti"/>
        <w:color w:val="000000"/>
      </w:rPr>
      <w:instrText>PAGE</w:instrText>
    </w:r>
    <w:r>
      <w:rPr>
        <w:rFonts w:ascii="Athiti" w:eastAsia="Athiti" w:hAnsi="Athiti" w:cs="Athiti"/>
        <w:color w:val="000000"/>
      </w:rPr>
      <w:fldChar w:fldCharType="separate"/>
    </w:r>
    <w:r w:rsidR="00693CAC">
      <w:rPr>
        <w:rFonts w:ascii="Athiti" w:eastAsia="Athiti" w:hAnsi="Athiti" w:cs="Athiti"/>
        <w:noProof/>
        <w:color w:val="000000"/>
      </w:rPr>
      <w:t>1</w:t>
    </w:r>
    <w:r>
      <w:rPr>
        <w:rFonts w:ascii="Athiti" w:eastAsia="Athiti" w:hAnsi="Athiti" w:cs="Athiti"/>
        <w:color w:val="000000"/>
      </w:rPr>
      <w:fldChar w:fldCharType="end"/>
    </w:r>
  </w:p>
  <w:p w:rsidR="00A547DB" w:rsidRDefault="000B14F8">
    <w:pPr>
      <w:pStyle w:val="normal"/>
      <w:shd w:val="clear" w:color="auto" w:fill="FFFFF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7DB" w:rsidRDefault="000B14F8">
    <w:pPr>
      <w:pStyle w:val="normal"/>
      <w:shd w:val="clear" w:color="auto" w:fill="FFFFFF"/>
      <w:jc w:val="center"/>
      <w:rPr>
        <w:rFonts w:ascii="Athiti" w:eastAsia="Athiti" w:hAnsi="Athiti" w:cs="Athiti"/>
        <w:color w:val="333333"/>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4F8" w:rsidRDefault="000B14F8" w:rsidP="008B7EF0">
      <w:pPr>
        <w:spacing w:after="0" w:line="240" w:lineRule="auto"/>
      </w:pPr>
      <w:r>
        <w:separator/>
      </w:r>
    </w:p>
  </w:footnote>
  <w:footnote w:type="continuationSeparator" w:id="1">
    <w:p w:rsidR="000B14F8" w:rsidRDefault="000B14F8" w:rsidP="008B7E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7DB" w:rsidRDefault="00362B6A">
    <w:pPr>
      <w:pStyle w:val="normal"/>
    </w:pPr>
    <w:r>
      <w:rPr>
        <w:noProof/>
      </w:rPr>
      <w:drawing>
        <wp:anchor distT="0" distB="0" distL="114300" distR="114300" simplePos="0" relativeHeight="251659264" behindDoc="0" locked="0" layoutInCell="1" allowOverlap="1">
          <wp:simplePos x="0" y="0"/>
          <wp:positionH relativeFrom="page">
            <wp:posOffset>-23803</wp:posOffset>
          </wp:positionH>
          <wp:positionV relativeFrom="page">
            <wp:posOffset>-23803</wp:posOffset>
          </wp:positionV>
          <wp:extent cx="137625" cy="15610607"/>
          <wp:effectExtent l="0" t="0" r="0" b="0"/>
          <wp:wrapSquare wrapText="bothSides" distT="0" distB="0" distL="114300" distR="11430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7625" cy="15610607"/>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7DB" w:rsidRDefault="000B14F8">
    <w:pPr>
      <w:pStyle w:val="normal"/>
      <w:jc w:val="right"/>
      <w:rPr>
        <w:rFonts w:ascii="Athiti" w:eastAsia="Athiti" w:hAnsi="Athiti" w:cs="Athiti"/>
        <w:b/>
        <w:color w:val="B45F0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CBA"/>
    <w:multiLevelType w:val="multilevel"/>
    <w:tmpl w:val="5EB0F6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1F0730F"/>
    <w:multiLevelType w:val="multilevel"/>
    <w:tmpl w:val="97D8D3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7D642D4"/>
    <w:multiLevelType w:val="multilevel"/>
    <w:tmpl w:val="E580E7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92C1A75"/>
    <w:multiLevelType w:val="multilevel"/>
    <w:tmpl w:val="5C50F82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5010039"/>
    <w:multiLevelType w:val="multilevel"/>
    <w:tmpl w:val="6A827D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D7122A7"/>
    <w:multiLevelType w:val="multilevel"/>
    <w:tmpl w:val="29E249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F983700"/>
    <w:multiLevelType w:val="multilevel"/>
    <w:tmpl w:val="724AEF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BD55564"/>
    <w:multiLevelType w:val="multilevel"/>
    <w:tmpl w:val="6568BD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E4077EA"/>
    <w:multiLevelType w:val="multilevel"/>
    <w:tmpl w:val="309661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355E201B"/>
    <w:multiLevelType w:val="multilevel"/>
    <w:tmpl w:val="ACA4A7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4B7102D0"/>
    <w:multiLevelType w:val="multilevel"/>
    <w:tmpl w:val="3BD018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4D34134B"/>
    <w:multiLevelType w:val="multilevel"/>
    <w:tmpl w:val="B30441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6287F7D"/>
    <w:multiLevelType w:val="multilevel"/>
    <w:tmpl w:val="64E04D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59C92A27"/>
    <w:multiLevelType w:val="multilevel"/>
    <w:tmpl w:val="4AA2AA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6B34748E"/>
    <w:multiLevelType w:val="multilevel"/>
    <w:tmpl w:val="5E46F6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74CD2A60"/>
    <w:multiLevelType w:val="multilevel"/>
    <w:tmpl w:val="AE4038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754954C2"/>
    <w:multiLevelType w:val="multilevel"/>
    <w:tmpl w:val="B09E3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79C13682"/>
    <w:multiLevelType w:val="multilevel"/>
    <w:tmpl w:val="D37CBE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5"/>
  </w:num>
  <w:num w:numId="3">
    <w:abstractNumId w:val="8"/>
  </w:num>
  <w:num w:numId="4">
    <w:abstractNumId w:val="0"/>
  </w:num>
  <w:num w:numId="5">
    <w:abstractNumId w:val="6"/>
  </w:num>
  <w:num w:numId="6">
    <w:abstractNumId w:val="10"/>
  </w:num>
  <w:num w:numId="7">
    <w:abstractNumId w:val="4"/>
  </w:num>
  <w:num w:numId="8">
    <w:abstractNumId w:val="7"/>
  </w:num>
  <w:num w:numId="9">
    <w:abstractNumId w:val="3"/>
  </w:num>
  <w:num w:numId="10">
    <w:abstractNumId w:val="2"/>
  </w:num>
  <w:num w:numId="11">
    <w:abstractNumId w:val="9"/>
  </w:num>
  <w:num w:numId="12">
    <w:abstractNumId w:val="16"/>
  </w:num>
  <w:num w:numId="13">
    <w:abstractNumId w:val="1"/>
  </w:num>
  <w:num w:numId="14">
    <w:abstractNumId w:val="11"/>
  </w:num>
  <w:num w:numId="15">
    <w:abstractNumId w:val="17"/>
  </w:num>
  <w:num w:numId="16">
    <w:abstractNumId w:val="15"/>
  </w:num>
  <w:num w:numId="17">
    <w:abstractNumId w:val="12"/>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2B6A"/>
    <w:rsid w:val="00087B29"/>
    <w:rsid w:val="000B14F8"/>
    <w:rsid w:val="000E2303"/>
    <w:rsid w:val="001F0902"/>
    <w:rsid w:val="00267770"/>
    <w:rsid w:val="00362B6A"/>
    <w:rsid w:val="005811F2"/>
    <w:rsid w:val="00621AA4"/>
    <w:rsid w:val="00693CAC"/>
    <w:rsid w:val="008B7EF0"/>
    <w:rsid w:val="00950FA3"/>
    <w:rsid w:val="009D0A5F"/>
    <w:rsid w:val="00B01FD2"/>
    <w:rsid w:val="00B06DB5"/>
    <w:rsid w:val="00C55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62B6A"/>
    <w:pPr>
      <w:spacing w:after="160"/>
      <w:jc w:val="both"/>
    </w:pPr>
    <w:rPr>
      <w:rFonts w:ascii="Times New Roman" w:eastAsia="Times New Roman" w:hAnsi="Times New Roman" w:cs="Times New Roman"/>
      <w:sz w:val="24"/>
      <w:szCs w:val="24"/>
    </w:rPr>
  </w:style>
  <w:style w:type="paragraph" w:styleId="Nadpis1">
    <w:name w:val="heading 1"/>
    <w:basedOn w:val="normal"/>
    <w:next w:val="normal"/>
    <w:link w:val="Nadpis1Char"/>
    <w:rsid w:val="00362B6A"/>
    <w:pPr>
      <w:keepNext/>
      <w:keepLines/>
      <w:spacing w:before="360" w:after="240"/>
      <w:outlineLvl w:val="0"/>
    </w:pPr>
    <w:rPr>
      <w:rFonts w:ascii="Calibri" w:eastAsia="Calibri" w:hAnsi="Calibri" w:cs="Calibri"/>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62B6A"/>
    <w:rPr>
      <w:rFonts w:ascii="Calibri" w:eastAsia="Calibri" w:hAnsi="Calibri" w:cs="Calibri"/>
      <w:b/>
      <w:sz w:val="36"/>
      <w:szCs w:val="36"/>
    </w:rPr>
  </w:style>
  <w:style w:type="paragraph" w:styleId="Nzev">
    <w:name w:val="Title"/>
    <w:basedOn w:val="normal"/>
    <w:next w:val="normal"/>
    <w:link w:val="NzevChar"/>
    <w:rsid w:val="00362B6A"/>
    <w:pPr>
      <w:keepNext/>
      <w:keepLines/>
      <w:spacing w:before="480" w:after="120"/>
    </w:pPr>
    <w:rPr>
      <w:b/>
      <w:sz w:val="72"/>
      <w:szCs w:val="72"/>
    </w:rPr>
  </w:style>
  <w:style w:type="character" w:customStyle="1" w:styleId="NzevChar">
    <w:name w:val="Název Char"/>
    <w:basedOn w:val="Standardnpsmoodstavce"/>
    <w:link w:val="Nzev"/>
    <w:rsid w:val="00362B6A"/>
    <w:rPr>
      <w:rFonts w:ascii="Times New Roman" w:eastAsia="Times New Roman" w:hAnsi="Times New Roman" w:cs="Times New Roman"/>
      <w:b/>
      <w:sz w:val="72"/>
      <w:szCs w:val="72"/>
    </w:rPr>
  </w:style>
  <w:style w:type="paragraph" w:customStyle="1" w:styleId="normal">
    <w:name w:val="normal"/>
    <w:rsid w:val="00362B6A"/>
    <w:pPr>
      <w:spacing w:after="160"/>
      <w:jc w:val="both"/>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362B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2B6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2go.io"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finarbitr.cz/cs/informace-pro-verejnost/aktuality/rozsireni-pusobnosti-o-reseni-sporu-v-oblasti-investovani-sporu-z-kryptoaktiv-42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2872</Words>
  <Characters>16373</Characters>
  <Application>Microsoft Office Word</Application>
  <DocSecurity>0</DocSecurity>
  <Lines>136</Lines>
  <Paragraphs>38</Paragraphs>
  <ScaleCrop>false</ScaleCrop>
  <Company/>
  <LinksUpToDate>false</LinksUpToDate>
  <CharactersWithSpaces>19207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4</cp:revision>
  <dcterms:created xsi:type="dcterms:W3CDTF">2025-07-28T22:26:00Z</dcterms:created>
  <dcterms:modified xsi:type="dcterms:W3CDTF">2025-07-30T17:54:00Z</dcterms:modified>
</cp:coreProperties>
</file>