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24" w:rsidRPr="00C11998" w:rsidRDefault="009E7B24" w:rsidP="009E7B24">
      <w:pPr>
        <w:pStyle w:val="normal"/>
        <w:rPr>
          <w:rFonts w:ascii="Athiti" w:eastAsia="Athiti" w:hAnsi="Athiti" w:cs="Athiti"/>
          <w:b/>
          <w:color w:val="44546A"/>
          <w:sz w:val="48"/>
          <w:szCs w:val="48"/>
          <w:lang w:val="cs-CZ"/>
        </w:rPr>
      </w:pPr>
      <w:bookmarkStart w:id="0" w:name="_heading=h.8dvo4inpgm8o" w:colFirst="0" w:colLast="0"/>
      <w:bookmarkEnd w:id="0"/>
    </w:p>
    <w:p w:rsidR="009E7B24" w:rsidRPr="00C11998" w:rsidRDefault="009E7B24" w:rsidP="009E7B24">
      <w:pPr>
        <w:pStyle w:val="normal"/>
        <w:rPr>
          <w:rFonts w:ascii="Athiti" w:eastAsia="Athiti" w:hAnsi="Athiti" w:cs="Athiti"/>
          <w:b/>
          <w:color w:val="44546A"/>
          <w:sz w:val="48"/>
          <w:szCs w:val="48"/>
          <w:lang w:val="cs-CZ"/>
        </w:rPr>
      </w:pPr>
    </w:p>
    <w:p w:rsidR="009E7B24" w:rsidRPr="00C11998" w:rsidRDefault="009E7B24" w:rsidP="009E7B24">
      <w:pPr>
        <w:pStyle w:val="normal"/>
        <w:jc w:val="center"/>
        <w:rPr>
          <w:rFonts w:ascii="Athiti" w:eastAsia="Athiti" w:hAnsi="Athiti" w:cs="Athiti"/>
          <w:b/>
          <w:sz w:val="48"/>
          <w:szCs w:val="48"/>
          <w:lang w:val="cs-CZ"/>
        </w:rPr>
      </w:pPr>
    </w:p>
    <w:p w:rsidR="009E7B24" w:rsidRPr="00C11998" w:rsidRDefault="009E7B24" w:rsidP="009E7B24">
      <w:pPr>
        <w:pStyle w:val="normal"/>
        <w:jc w:val="center"/>
        <w:rPr>
          <w:rFonts w:ascii="Athiti" w:eastAsia="Athiti" w:hAnsi="Athiti" w:cs="Athiti"/>
          <w:b/>
          <w:color w:val="44546A"/>
          <w:sz w:val="48"/>
          <w:szCs w:val="48"/>
          <w:lang w:val="cs-CZ"/>
        </w:rPr>
      </w:pPr>
      <w:r w:rsidRPr="00C11998">
        <w:rPr>
          <w:rFonts w:ascii="Athiti" w:eastAsia="Athiti" w:hAnsi="Athiti" w:cs="Athiti"/>
          <w:b/>
          <w:sz w:val="48"/>
          <w:szCs w:val="48"/>
          <w:lang w:val="cs-CZ"/>
        </w:rPr>
        <w:t>Protikorupční politika</w:t>
      </w:r>
    </w:p>
    <w:p w:rsidR="009E7B24" w:rsidRPr="00C11998" w:rsidRDefault="009E7B24" w:rsidP="009E7B24">
      <w:pPr>
        <w:pStyle w:val="normal"/>
        <w:rPr>
          <w:rFonts w:ascii="Athiti" w:eastAsia="Athiti" w:hAnsi="Athiti" w:cs="Athiti"/>
          <w:b/>
          <w:color w:val="44546A"/>
          <w:sz w:val="48"/>
          <w:szCs w:val="48"/>
          <w:lang w:val="cs-CZ"/>
        </w:rPr>
      </w:pPr>
    </w:p>
    <w:p w:rsidR="009E7B24" w:rsidRPr="00C11998" w:rsidRDefault="009E7B24" w:rsidP="009E7B24">
      <w:pPr>
        <w:pStyle w:val="normal"/>
        <w:rPr>
          <w:rFonts w:ascii="Athiti" w:eastAsia="Athiti" w:hAnsi="Athiti" w:cs="Athiti"/>
          <w:b/>
          <w:color w:val="44546A"/>
          <w:sz w:val="48"/>
          <w:szCs w:val="48"/>
          <w:lang w:val="cs-CZ"/>
        </w:rPr>
      </w:pPr>
    </w:p>
    <w:p w:rsidR="009E7B24" w:rsidRPr="00C11998" w:rsidRDefault="009E7B24" w:rsidP="009E7B24">
      <w:pPr>
        <w:pStyle w:val="normal"/>
        <w:rPr>
          <w:rFonts w:ascii="Athiti" w:eastAsia="Athiti" w:hAnsi="Athiti" w:cs="Athiti"/>
          <w:b/>
          <w:color w:val="44546A"/>
          <w:sz w:val="48"/>
          <w:szCs w:val="48"/>
          <w:lang w:val="cs-CZ"/>
        </w:rPr>
      </w:pPr>
      <w:bookmarkStart w:id="1" w:name="_heading=h.wxzpvxfe9a17" w:colFirst="0" w:colLast="0"/>
      <w:bookmarkEnd w:id="1"/>
    </w:p>
    <w:p w:rsidR="009E7B24" w:rsidRPr="00C11998" w:rsidRDefault="009E7B24" w:rsidP="009E7B24">
      <w:pPr>
        <w:pStyle w:val="normal"/>
        <w:spacing w:before="240" w:after="240" w:line="240" w:lineRule="auto"/>
        <w:jc w:val="left"/>
        <w:rPr>
          <w:rFonts w:ascii="Athiti" w:eastAsia="Athiti" w:hAnsi="Athiti" w:cs="Athiti"/>
          <w:color w:val="444444"/>
          <w:lang w:val="cs-CZ"/>
        </w:rPr>
      </w:pPr>
    </w:p>
    <w:p w:rsidR="009E7B24" w:rsidRPr="00C11998" w:rsidRDefault="009E7B24" w:rsidP="009E7B24">
      <w:pPr>
        <w:pStyle w:val="normal"/>
        <w:widowControl w:val="0"/>
        <w:tabs>
          <w:tab w:val="left" w:pos="9356"/>
        </w:tabs>
        <w:spacing w:before="6" w:after="0" w:line="240" w:lineRule="auto"/>
        <w:rPr>
          <w:rFonts w:ascii="Athiti" w:eastAsia="Athiti" w:hAnsi="Athiti" w:cs="Athiti"/>
          <w:sz w:val="18"/>
          <w:szCs w:val="18"/>
          <w:lang w:val="cs-CZ"/>
        </w:rPr>
      </w:pPr>
    </w:p>
    <w:tbl>
      <w:tblPr>
        <w:tblpPr w:leftFromText="180" w:rightFromText="180" w:topFromText="180" w:bottomFromText="180" w:vertAnchor="text" w:horzAnchor="page" w:tblpX="5910" w:tblpY="3102"/>
        <w:tblW w:w="5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9E7B24" w:rsidRPr="00C11998" w:rsidTr="00787336">
        <w:trPr>
          <w:cantSplit/>
          <w:trHeight w:val="354"/>
          <w:tblHeader/>
        </w:trPr>
        <w:tc>
          <w:tcPr>
            <w:tcW w:w="3149" w:type="dxa"/>
            <w:shd w:val="clear" w:color="auto" w:fill="EFEFEF"/>
          </w:tcPr>
          <w:p w:rsidR="009E7B24" w:rsidRPr="00C11998" w:rsidRDefault="009E7B24" w:rsidP="00787336">
            <w:pPr>
              <w:pStyle w:val="normal"/>
              <w:widowControl w:val="0"/>
              <w:tabs>
                <w:tab w:val="left" w:pos="9356"/>
              </w:tabs>
              <w:spacing w:before="64" w:after="0" w:line="240" w:lineRule="auto"/>
              <w:ind w:left="105"/>
              <w:rPr>
                <w:rFonts w:ascii="Athiti" w:eastAsia="Athiti" w:hAnsi="Athiti" w:cs="Athiti"/>
                <w:b/>
                <w:sz w:val="20"/>
                <w:szCs w:val="20"/>
                <w:lang w:val="cs-CZ"/>
              </w:rPr>
            </w:pPr>
            <w:r w:rsidRPr="00C11998">
              <w:rPr>
                <w:rFonts w:ascii="Athiti" w:eastAsia="Athiti" w:hAnsi="Athiti" w:cs="Athiti"/>
                <w:b/>
                <w:sz w:val="20"/>
                <w:szCs w:val="20"/>
                <w:lang w:val="cs-CZ"/>
              </w:rPr>
              <w:t>Verze:</w:t>
            </w:r>
          </w:p>
        </w:tc>
        <w:tc>
          <w:tcPr>
            <w:tcW w:w="2746" w:type="dxa"/>
          </w:tcPr>
          <w:p w:rsidR="009E7B24" w:rsidRPr="00C11998" w:rsidRDefault="009E7B24" w:rsidP="00787336">
            <w:pPr>
              <w:pStyle w:val="normal"/>
              <w:widowControl w:val="0"/>
              <w:tabs>
                <w:tab w:val="left" w:pos="9356"/>
              </w:tabs>
              <w:spacing w:before="71" w:after="0" w:line="240" w:lineRule="auto"/>
              <w:ind w:right="94"/>
              <w:rPr>
                <w:rFonts w:ascii="Athiti" w:eastAsia="Athiti" w:hAnsi="Athiti" w:cs="Athiti"/>
                <w:sz w:val="20"/>
                <w:szCs w:val="20"/>
                <w:lang w:val="cs-CZ"/>
              </w:rPr>
            </w:pPr>
            <w:r w:rsidRPr="00C11998">
              <w:rPr>
                <w:rFonts w:ascii="Athiti" w:eastAsia="Athiti" w:hAnsi="Athiti" w:cs="Athiti"/>
                <w:sz w:val="20"/>
                <w:szCs w:val="20"/>
                <w:lang w:val="cs-CZ"/>
              </w:rPr>
              <w:t>1.0</w:t>
            </w:r>
          </w:p>
        </w:tc>
      </w:tr>
      <w:tr w:rsidR="009E7B24" w:rsidRPr="00C11998" w:rsidTr="00787336">
        <w:trPr>
          <w:cantSplit/>
          <w:trHeight w:val="354"/>
          <w:tblHeader/>
        </w:trPr>
        <w:tc>
          <w:tcPr>
            <w:tcW w:w="3149" w:type="dxa"/>
            <w:shd w:val="clear" w:color="auto" w:fill="EFEFEF"/>
          </w:tcPr>
          <w:p w:rsidR="009E7B24" w:rsidRPr="00C11998" w:rsidRDefault="009E7B24" w:rsidP="00787336">
            <w:pPr>
              <w:pStyle w:val="normal"/>
              <w:widowControl w:val="0"/>
              <w:tabs>
                <w:tab w:val="left" w:pos="9356"/>
              </w:tabs>
              <w:spacing w:before="64" w:after="0" w:line="240" w:lineRule="auto"/>
              <w:ind w:left="105"/>
              <w:rPr>
                <w:rFonts w:ascii="Athiti" w:eastAsia="Athiti" w:hAnsi="Athiti" w:cs="Athiti"/>
                <w:b/>
                <w:sz w:val="20"/>
                <w:szCs w:val="20"/>
                <w:lang w:val="cs-CZ"/>
              </w:rPr>
            </w:pPr>
            <w:r w:rsidRPr="00C11998">
              <w:rPr>
                <w:rFonts w:ascii="Athiti" w:eastAsia="Athiti" w:hAnsi="Athiti" w:cs="Athiti"/>
                <w:b/>
                <w:sz w:val="20"/>
                <w:szCs w:val="20"/>
                <w:lang w:val="cs-CZ"/>
              </w:rPr>
              <w:t>Schváleno dne:</w:t>
            </w:r>
          </w:p>
        </w:tc>
        <w:tc>
          <w:tcPr>
            <w:tcW w:w="2746" w:type="dxa"/>
          </w:tcPr>
          <w:p w:rsidR="009E7B24" w:rsidRPr="00C11998" w:rsidRDefault="00BD620C" w:rsidP="00787336">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9E7B24" w:rsidRPr="00C11998" w:rsidTr="00787336">
        <w:trPr>
          <w:cantSplit/>
          <w:trHeight w:val="354"/>
          <w:tblHeader/>
        </w:trPr>
        <w:tc>
          <w:tcPr>
            <w:tcW w:w="3149" w:type="dxa"/>
            <w:shd w:val="clear" w:color="auto" w:fill="EFEFEF"/>
          </w:tcPr>
          <w:p w:rsidR="009E7B24" w:rsidRPr="00C11998" w:rsidRDefault="009E7B24" w:rsidP="00787336">
            <w:pPr>
              <w:pStyle w:val="normal"/>
              <w:widowControl w:val="0"/>
              <w:tabs>
                <w:tab w:val="left" w:pos="9356"/>
              </w:tabs>
              <w:spacing w:before="64" w:after="0" w:line="240" w:lineRule="auto"/>
              <w:ind w:left="105"/>
              <w:rPr>
                <w:rFonts w:ascii="Athiti" w:eastAsia="Athiti" w:hAnsi="Athiti" w:cs="Athiti"/>
                <w:b/>
                <w:sz w:val="20"/>
                <w:szCs w:val="20"/>
                <w:lang w:val="cs-CZ"/>
              </w:rPr>
            </w:pPr>
            <w:r w:rsidRPr="00C11998">
              <w:rPr>
                <w:rFonts w:ascii="Athiti" w:eastAsia="Athiti" w:hAnsi="Athiti" w:cs="Athiti"/>
                <w:b/>
                <w:sz w:val="20"/>
                <w:szCs w:val="20"/>
                <w:lang w:val="cs-CZ"/>
              </w:rPr>
              <w:t>Schváleno oddělením:</w:t>
            </w:r>
          </w:p>
        </w:tc>
        <w:tc>
          <w:tcPr>
            <w:tcW w:w="2746" w:type="dxa"/>
          </w:tcPr>
          <w:p w:rsidR="009E7B24" w:rsidRPr="00C11998" w:rsidRDefault="009E7B24" w:rsidP="00787336">
            <w:pPr>
              <w:pStyle w:val="normal"/>
              <w:widowControl w:val="0"/>
              <w:tabs>
                <w:tab w:val="left" w:pos="9356"/>
              </w:tabs>
              <w:spacing w:before="71" w:after="0" w:line="240" w:lineRule="auto"/>
              <w:ind w:right="94"/>
              <w:rPr>
                <w:rFonts w:ascii="Athiti" w:eastAsia="Athiti" w:hAnsi="Athiti" w:cs="Athiti"/>
                <w:sz w:val="20"/>
                <w:szCs w:val="20"/>
                <w:lang w:val="cs-CZ"/>
              </w:rPr>
            </w:pPr>
            <w:r w:rsidRPr="00C11998">
              <w:rPr>
                <w:rFonts w:ascii="Athiti" w:eastAsia="Athiti" w:hAnsi="Athiti" w:cs="Athiti"/>
                <w:sz w:val="20"/>
                <w:szCs w:val="20"/>
                <w:lang w:val="cs-CZ"/>
              </w:rPr>
              <w:t>Compliance</w:t>
            </w:r>
          </w:p>
        </w:tc>
      </w:tr>
      <w:tr w:rsidR="009E7B24" w:rsidRPr="00C11998" w:rsidTr="00787336">
        <w:trPr>
          <w:cantSplit/>
          <w:trHeight w:val="354"/>
          <w:tblHeader/>
        </w:trPr>
        <w:tc>
          <w:tcPr>
            <w:tcW w:w="3149" w:type="dxa"/>
            <w:shd w:val="clear" w:color="auto" w:fill="EFEFEF"/>
          </w:tcPr>
          <w:p w:rsidR="009E7B24" w:rsidRPr="00C11998" w:rsidRDefault="009E7B24" w:rsidP="00787336">
            <w:pPr>
              <w:pStyle w:val="normal"/>
              <w:widowControl w:val="0"/>
              <w:tabs>
                <w:tab w:val="left" w:pos="9356"/>
              </w:tabs>
              <w:spacing w:before="64" w:after="0" w:line="240" w:lineRule="auto"/>
              <w:ind w:left="105"/>
              <w:rPr>
                <w:rFonts w:ascii="Athiti" w:eastAsia="Athiti" w:hAnsi="Athiti" w:cs="Athiti"/>
                <w:b/>
                <w:sz w:val="20"/>
                <w:szCs w:val="20"/>
                <w:lang w:val="cs-CZ"/>
              </w:rPr>
            </w:pPr>
            <w:r w:rsidRPr="00C11998">
              <w:rPr>
                <w:rFonts w:ascii="Athiti" w:eastAsia="Athiti" w:hAnsi="Athiti" w:cs="Athiti"/>
                <w:b/>
                <w:sz w:val="20"/>
                <w:szCs w:val="20"/>
                <w:lang w:val="cs-CZ"/>
              </w:rPr>
              <w:t>Naposledy aktualizováno:</w:t>
            </w:r>
          </w:p>
        </w:tc>
        <w:tc>
          <w:tcPr>
            <w:tcW w:w="2746" w:type="dxa"/>
          </w:tcPr>
          <w:p w:rsidR="009E7B24" w:rsidRPr="00C11998" w:rsidRDefault="00BD620C" w:rsidP="00787336">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9E7B24" w:rsidRPr="00C11998" w:rsidRDefault="009E7B24" w:rsidP="009E7B24">
      <w:pPr>
        <w:pStyle w:val="normal"/>
        <w:keepNext/>
        <w:keepLines/>
        <w:spacing w:before="360" w:after="240"/>
        <w:jc w:val="left"/>
        <w:rPr>
          <w:rFonts w:ascii="Athiti" w:eastAsia="Athiti" w:hAnsi="Athiti" w:cs="Athiti"/>
          <w:sz w:val="18"/>
          <w:szCs w:val="18"/>
          <w:lang w:val="cs-CZ"/>
        </w:rPr>
      </w:pPr>
      <w:r w:rsidRPr="00C11998">
        <w:rPr>
          <w:lang w:val="cs-CZ"/>
        </w:rPr>
        <w:br w:type="page"/>
      </w:r>
    </w:p>
    <w:p w:rsidR="009E7B24" w:rsidRPr="00C11998" w:rsidRDefault="009E7B24" w:rsidP="009E7B24">
      <w:pPr>
        <w:pStyle w:val="normal"/>
        <w:keepNext/>
        <w:keepLines/>
        <w:spacing w:before="360" w:after="240"/>
        <w:jc w:val="left"/>
        <w:rPr>
          <w:rFonts w:ascii="Athiti" w:eastAsia="Athiti" w:hAnsi="Athiti" w:cs="Athiti"/>
          <w:sz w:val="36"/>
          <w:szCs w:val="36"/>
          <w:lang w:val="cs-CZ"/>
        </w:rPr>
      </w:pPr>
      <w:r w:rsidRPr="00C11998">
        <w:rPr>
          <w:rFonts w:ascii="Athiti" w:eastAsia="Athiti" w:hAnsi="Athiti" w:cs="Athiti"/>
          <w:b/>
          <w:sz w:val="36"/>
          <w:szCs w:val="36"/>
          <w:lang w:val="cs-CZ"/>
        </w:rPr>
        <w:lastRenderedPageBreak/>
        <w:t>Obsah</w:t>
      </w:r>
    </w:p>
    <w:sdt>
      <w:sdtPr>
        <w:rPr>
          <w:lang w:val="cs-CZ"/>
        </w:rPr>
        <w:id w:val="-1875833682"/>
        <w:docPartObj>
          <w:docPartGallery w:val="Table of Contents"/>
          <w:docPartUnique/>
        </w:docPartObj>
      </w:sdtPr>
      <w:sdtContent>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r w:rsidRPr="00C11998">
            <w:rPr>
              <w:lang w:val="cs-CZ"/>
            </w:rPr>
            <w:fldChar w:fldCharType="begin"/>
          </w:r>
          <w:r w:rsidR="009E7B24" w:rsidRPr="00C11998">
            <w:rPr>
              <w:lang w:val="cs-CZ"/>
            </w:rPr>
            <w:instrText xml:space="preserve"> TOC \h \u \z \t "Heading 1,1,Heading 2,2,Heading 3,3,"</w:instrText>
          </w:r>
          <w:r w:rsidRPr="00C11998">
            <w:rPr>
              <w:lang w:val="cs-CZ"/>
            </w:rPr>
            <w:fldChar w:fldCharType="separate"/>
          </w:r>
          <w:hyperlink w:anchor="_heading=h.rh6xsfikiuzi">
            <w:r w:rsidR="009E7B24" w:rsidRPr="00C11998">
              <w:rPr>
                <w:rFonts w:ascii="Athiti" w:eastAsia="Athiti" w:hAnsi="Athiti" w:cs="Athiti"/>
                <w:color w:val="000000"/>
                <w:sz w:val="22"/>
                <w:szCs w:val="22"/>
                <w:lang w:val="cs-CZ"/>
              </w:rPr>
              <w:t>Pojmy a definice</w:t>
            </w:r>
            <w:r w:rsidR="009E7B24" w:rsidRPr="00C11998">
              <w:rPr>
                <w:rFonts w:ascii="Athiti" w:eastAsia="Athiti" w:hAnsi="Athiti" w:cs="Athiti"/>
                <w:color w:val="000000"/>
                <w:sz w:val="22"/>
                <w:szCs w:val="22"/>
                <w:lang w:val="cs-CZ"/>
              </w:rPr>
              <w:tab/>
              <w:t>2</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bxa4l263tss6">
            <w:r w:rsidR="009E7B24" w:rsidRPr="00C11998">
              <w:rPr>
                <w:rFonts w:ascii="Athiti" w:eastAsia="Athiti" w:hAnsi="Athiti" w:cs="Athiti"/>
                <w:color w:val="000000"/>
                <w:sz w:val="22"/>
                <w:szCs w:val="22"/>
                <w:lang w:val="cs-CZ"/>
              </w:rPr>
              <w:t>1. Účel</w:t>
            </w:r>
            <w:r w:rsidR="009E7B24" w:rsidRPr="00C11998">
              <w:rPr>
                <w:rFonts w:ascii="Athiti" w:eastAsia="Athiti" w:hAnsi="Athiti" w:cs="Athiti"/>
                <w:color w:val="000000"/>
                <w:sz w:val="22"/>
                <w:szCs w:val="22"/>
                <w:lang w:val="cs-CZ"/>
              </w:rPr>
              <w:tab/>
              <w:t>4</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vpfi1i7vioxz">
            <w:r w:rsidR="009E7B24" w:rsidRPr="00C11998">
              <w:rPr>
                <w:rFonts w:ascii="Athiti" w:eastAsia="Athiti" w:hAnsi="Athiti" w:cs="Athiti"/>
                <w:color w:val="000000"/>
                <w:sz w:val="22"/>
                <w:szCs w:val="22"/>
                <w:lang w:val="cs-CZ"/>
              </w:rPr>
              <w:t>2. Prohlášení</w:t>
            </w:r>
            <w:r w:rsidR="009E7B24" w:rsidRPr="00C11998">
              <w:rPr>
                <w:rFonts w:ascii="Athiti" w:eastAsia="Athiti" w:hAnsi="Athiti" w:cs="Athiti"/>
                <w:color w:val="000000"/>
                <w:sz w:val="22"/>
                <w:szCs w:val="22"/>
                <w:lang w:val="cs-CZ"/>
              </w:rPr>
              <w:tab/>
              <w:t>4</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pqpuah2zhhgq">
            <w:r w:rsidR="009E7B24" w:rsidRPr="00C11998">
              <w:rPr>
                <w:rFonts w:ascii="Athiti" w:eastAsia="Athiti" w:hAnsi="Athiti" w:cs="Athiti"/>
                <w:color w:val="000000"/>
                <w:sz w:val="22"/>
                <w:szCs w:val="22"/>
                <w:lang w:val="cs-CZ"/>
              </w:rPr>
              <w:t>3. Na koho se tato politika vztahuje?</w:t>
            </w:r>
            <w:r w:rsidR="009E7B24" w:rsidRPr="00C11998">
              <w:rPr>
                <w:rFonts w:ascii="Athiti" w:eastAsia="Athiti" w:hAnsi="Athiti" w:cs="Athiti"/>
                <w:color w:val="000000"/>
                <w:sz w:val="22"/>
                <w:szCs w:val="22"/>
                <w:lang w:val="cs-CZ"/>
              </w:rPr>
              <w:tab/>
              <w:t>4</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x28iywtr99ek">
            <w:r w:rsidR="009E7B24" w:rsidRPr="00C11998">
              <w:rPr>
                <w:rFonts w:ascii="Athiti" w:eastAsia="Athiti" w:hAnsi="Athiti" w:cs="Athiti"/>
                <w:color w:val="000000"/>
                <w:sz w:val="22"/>
                <w:szCs w:val="22"/>
                <w:lang w:val="cs-CZ"/>
              </w:rPr>
              <w:t>4. Co je a co není přijatelné</w:t>
            </w:r>
            <w:r w:rsidR="009E7B24" w:rsidRPr="00C11998">
              <w:rPr>
                <w:rFonts w:ascii="Athiti" w:eastAsia="Athiti" w:hAnsi="Athiti" w:cs="Athiti"/>
                <w:color w:val="000000"/>
                <w:sz w:val="22"/>
                <w:szCs w:val="22"/>
                <w:lang w:val="cs-CZ"/>
              </w:rPr>
              <w:tab/>
              <w:t>5</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aqzx92ropv5g">
            <w:r w:rsidR="009E7B24" w:rsidRPr="00C11998">
              <w:rPr>
                <w:rFonts w:ascii="Athiti" w:eastAsia="Athiti" w:hAnsi="Athiti" w:cs="Athiti"/>
                <w:color w:val="000000"/>
                <w:sz w:val="22"/>
                <w:szCs w:val="22"/>
                <w:lang w:val="cs-CZ"/>
              </w:rPr>
              <w:t>5. Odpovědnosti zaměstnanců</w:t>
            </w:r>
            <w:r w:rsidR="009E7B24" w:rsidRPr="00C11998">
              <w:rPr>
                <w:rFonts w:ascii="Athiti" w:eastAsia="Athiti" w:hAnsi="Athiti" w:cs="Athiti"/>
                <w:color w:val="000000"/>
                <w:sz w:val="22"/>
                <w:szCs w:val="22"/>
                <w:lang w:val="cs-CZ"/>
              </w:rPr>
              <w:tab/>
              <w:t>8</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dqta1a26km15">
            <w:r w:rsidR="009E7B24" w:rsidRPr="00C11998">
              <w:rPr>
                <w:rFonts w:ascii="Athiti" w:eastAsia="Athiti" w:hAnsi="Athiti" w:cs="Athiti"/>
                <w:color w:val="000000"/>
                <w:sz w:val="22"/>
                <w:szCs w:val="22"/>
                <w:lang w:val="cs-CZ"/>
              </w:rPr>
              <w:t>6. Co dělat, pokud potřebujete vyjádřit obavu?</w:t>
            </w:r>
            <w:r w:rsidR="009E7B24" w:rsidRPr="00C11998">
              <w:rPr>
                <w:rFonts w:ascii="Athiti" w:eastAsia="Athiti" w:hAnsi="Athiti" w:cs="Athiti"/>
                <w:color w:val="000000"/>
                <w:sz w:val="22"/>
                <w:szCs w:val="22"/>
                <w:lang w:val="cs-CZ"/>
              </w:rPr>
              <w:tab/>
              <w:t>8</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7wlsk1yg9axb">
            <w:r w:rsidR="009E7B24" w:rsidRPr="00C11998">
              <w:rPr>
                <w:rFonts w:ascii="Athiti" w:eastAsia="Athiti" w:hAnsi="Athiti" w:cs="Athiti"/>
                <w:color w:val="000000"/>
                <w:sz w:val="22"/>
                <w:szCs w:val="22"/>
                <w:lang w:val="cs-CZ"/>
              </w:rPr>
              <w:t>7. Školení a komunikace</w:t>
            </w:r>
            <w:r w:rsidR="009E7B24" w:rsidRPr="00C11998">
              <w:rPr>
                <w:rFonts w:ascii="Athiti" w:eastAsia="Athiti" w:hAnsi="Athiti" w:cs="Athiti"/>
                <w:color w:val="000000"/>
                <w:sz w:val="22"/>
                <w:szCs w:val="22"/>
                <w:lang w:val="cs-CZ"/>
              </w:rPr>
              <w:tab/>
              <w:t>10</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ssmu3i9dqa4g">
            <w:r w:rsidR="009E7B24" w:rsidRPr="00C11998">
              <w:rPr>
                <w:rFonts w:ascii="Athiti" w:eastAsia="Athiti" w:hAnsi="Athiti" w:cs="Athiti"/>
                <w:color w:val="000000"/>
                <w:sz w:val="22"/>
                <w:szCs w:val="22"/>
                <w:lang w:val="cs-CZ"/>
              </w:rPr>
              <w:t>8. Vedení záznamů</w:t>
            </w:r>
            <w:r w:rsidR="009E7B24" w:rsidRPr="00C11998">
              <w:rPr>
                <w:rFonts w:ascii="Athiti" w:eastAsia="Athiti" w:hAnsi="Athiti" w:cs="Athiti"/>
                <w:color w:val="000000"/>
                <w:sz w:val="22"/>
                <w:szCs w:val="22"/>
                <w:lang w:val="cs-CZ"/>
              </w:rPr>
              <w:tab/>
              <w:t>10</w:t>
            </w:r>
          </w:hyperlink>
        </w:p>
        <w:p w:rsidR="009E7B24" w:rsidRPr="00C11998" w:rsidRDefault="0083665A" w:rsidP="009E7B24">
          <w:pPr>
            <w:pStyle w:val="normal"/>
            <w:widowControl w:val="0"/>
            <w:tabs>
              <w:tab w:val="right" w:pos="12000"/>
            </w:tabs>
            <w:spacing w:before="60" w:after="0" w:line="240" w:lineRule="auto"/>
            <w:jc w:val="left"/>
            <w:rPr>
              <w:rFonts w:ascii="Athiti" w:eastAsia="Athiti" w:hAnsi="Athiti" w:cs="Athiti"/>
              <w:color w:val="000000"/>
              <w:sz w:val="22"/>
              <w:szCs w:val="22"/>
              <w:lang w:val="cs-CZ"/>
            </w:rPr>
          </w:pPr>
          <w:hyperlink w:anchor="_heading=h.dvbohhhzifd0">
            <w:r w:rsidR="009E7B24" w:rsidRPr="00C11998">
              <w:rPr>
                <w:rFonts w:ascii="Athiti" w:eastAsia="Athiti" w:hAnsi="Athiti" w:cs="Athiti"/>
                <w:color w:val="000000"/>
                <w:sz w:val="22"/>
                <w:szCs w:val="22"/>
                <w:lang w:val="cs-CZ"/>
              </w:rPr>
              <w:t>9. Monitoring a přezkum</w:t>
            </w:r>
            <w:r w:rsidR="009E7B24" w:rsidRPr="00C11998">
              <w:rPr>
                <w:rFonts w:ascii="Athiti" w:eastAsia="Athiti" w:hAnsi="Athiti" w:cs="Athiti"/>
                <w:color w:val="000000"/>
                <w:sz w:val="22"/>
                <w:szCs w:val="22"/>
                <w:lang w:val="cs-CZ"/>
              </w:rPr>
              <w:tab/>
              <w:t>10</w:t>
            </w:r>
          </w:hyperlink>
          <w:r w:rsidRPr="00C11998">
            <w:rPr>
              <w:lang w:val="cs-CZ"/>
            </w:rPr>
            <w:fldChar w:fldCharType="end"/>
          </w:r>
        </w:p>
      </w:sdtContent>
    </w:sdt>
    <w:p w:rsidR="009E7B24" w:rsidRPr="00C11998" w:rsidRDefault="009E7B24" w:rsidP="009E7B24">
      <w:pPr>
        <w:pStyle w:val="normal"/>
        <w:rPr>
          <w:rFonts w:ascii="Athiti" w:eastAsia="Athiti" w:hAnsi="Athiti" w:cs="Athiti"/>
          <w:color w:val="44546A"/>
          <w:sz w:val="32"/>
          <w:szCs w:val="32"/>
          <w:lang w:val="cs-CZ"/>
        </w:rPr>
      </w:pPr>
      <w:r w:rsidRPr="00C11998">
        <w:rPr>
          <w:lang w:val="cs-CZ"/>
        </w:rPr>
        <w:br w:type="page"/>
      </w:r>
    </w:p>
    <w:p w:rsidR="009E7B24" w:rsidRPr="00C11998" w:rsidRDefault="009E7B24" w:rsidP="009E7B24">
      <w:pPr>
        <w:pStyle w:val="Nadpis1"/>
        <w:keepNext w:val="0"/>
        <w:keepLines w:val="0"/>
        <w:widowControl w:val="0"/>
        <w:spacing w:before="0" w:after="0" w:line="240" w:lineRule="auto"/>
        <w:rPr>
          <w:rFonts w:ascii="Athiti" w:eastAsia="Athiti" w:hAnsi="Athiti" w:cs="Athiti"/>
          <w:lang w:val="cs-CZ"/>
        </w:rPr>
      </w:pPr>
      <w:bookmarkStart w:id="2" w:name="_heading=h.rh6xsfikiuzi" w:colFirst="0" w:colLast="0"/>
      <w:bookmarkEnd w:id="2"/>
      <w:r w:rsidRPr="00C11998">
        <w:rPr>
          <w:rFonts w:ascii="Athiti" w:eastAsia="Athiti" w:hAnsi="Athiti" w:cs="Athiti"/>
          <w:sz w:val="28"/>
          <w:szCs w:val="28"/>
          <w:lang w:val="cs-CZ"/>
        </w:rPr>
        <w:lastRenderedPageBreak/>
        <w:t>Pojmy a definice</w:t>
      </w:r>
    </w:p>
    <w:p w:rsidR="009E7B24" w:rsidRPr="00C11998" w:rsidRDefault="009E7B24" w:rsidP="009E7B24">
      <w:pPr>
        <w:pStyle w:val="Nadpis1"/>
        <w:keepNext w:val="0"/>
        <w:keepLines w:val="0"/>
        <w:widowControl w:val="0"/>
        <w:spacing w:before="0" w:after="0" w:line="240" w:lineRule="auto"/>
        <w:rPr>
          <w:rFonts w:ascii="Athiti" w:eastAsia="Athiti" w:hAnsi="Athiti" w:cs="Athiti"/>
          <w:b w:val="0"/>
          <w:sz w:val="22"/>
          <w:szCs w:val="22"/>
          <w:lang w:val="cs-CZ"/>
        </w:rPr>
      </w:pPr>
      <w:bookmarkStart w:id="3" w:name="_heading=h.ele5t7n7sice" w:colFirst="0" w:colLast="0"/>
      <w:bookmarkEnd w:id="3"/>
    </w:p>
    <w:p w:rsidR="009E7B24" w:rsidRPr="00C11998" w:rsidRDefault="009E7B24" w:rsidP="009E7B24">
      <w:pPr>
        <w:pStyle w:val="normal"/>
        <w:rPr>
          <w:rFonts w:ascii="Athiti" w:eastAsia="Athiti" w:hAnsi="Athiti" w:cs="Athiti"/>
          <w:lang w:val="cs-CZ"/>
        </w:rPr>
      </w:pPr>
    </w:p>
    <w:tbl>
      <w:tblPr>
        <w:tblW w:w="9445" w:type="dxa"/>
        <w:tblBorders>
          <w:top w:val="nil"/>
          <w:left w:val="nil"/>
          <w:bottom w:val="nil"/>
          <w:right w:val="nil"/>
          <w:insideH w:val="nil"/>
          <w:insideV w:val="nil"/>
        </w:tblBorders>
        <w:tblLayout w:type="fixed"/>
        <w:tblLook w:val="0600"/>
      </w:tblPr>
      <w:tblGrid>
        <w:gridCol w:w="2105"/>
        <w:gridCol w:w="7340"/>
      </w:tblGrid>
      <w:tr w:rsidR="009E7B24" w:rsidRPr="00C11998" w:rsidTr="00787336">
        <w:trPr>
          <w:cantSplit/>
          <w:trHeight w:val="50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jc w:val="center"/>
              <w:rPr>
                <w:rFonts w:ascii="Athiti" w:eastAsia="Athiti" w:hAnsi="Athiti" w:cs="Athiti"/>
                <w:lang w:val="cs-CZ"/>
              </w:rPr>
            </w:pPr>
            <w:r w:rsidRPr="00C11998">
              <w:rPr>
                <w:rFonts w:ascii="Athiti" w:eastAsia="Athiti" w:hAnsi="Athiti" w:cs="Athiti"/>
                <w:b/>
                <w:lang w:val="cs-CZ"/>
              </w:rPr>
              <w:t>Pojem</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jc w:val="center"/>
              <w:rPr>
                <w:rFonts w:ascii="Athiti" w:eastAsia="Athiti" w:hAnsi="Athiti" w:cs="Athiti"/>
                <w:lang w:val="cs-CZ"/>
              </w:rPr>
            </w:pPr>
            <w:r w:rsidRPr="00C11998">
              <w:rPr>
                <w:rFonts w:ascii="Athiti" w:eastAsia="Athiti" w:hAnsi="Athiti" w:cs="Athiti"/>
                <w:b/>
                <w:lang w:val="cs-CZ"/>
              </w:rPr>
              <w:t>Definice</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Úplatkářství</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Nabídnutí, poskytnutí, přislíbení, vyžádání, přijetí nebo žádost o jakoukoli výhodu s cílem ovlivnit rozhodnutí nebo jednání jiné osoby.</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Úplatek</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Jakákoli pobídka, odměna nebo předmět hodnoty nabídnutý s cílem získat obchodní, smluvní, regulatorní nebo osobní výhodu.</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Facilitační platba</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Neoficiální platba veřejnému činiteli, jejímž cílem je urychlit nebo usnadnit běžné úřední jednání.</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Provize (kickback)</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Neoprávněná platba poskytnutá jako protislužba za obchodní výhodu či přízeň.</w:t>
            </w:r>
          </w:p>
        </w:tc>
      </w:tr>
      <w:tr w:rsidR="009E7B24" w:rsidRPr="00C11998" w:rsidTr="00787336">
        <w:trPr>
          <w:cantSplit/>
          <w:trHeight w:val="1055"/>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Compliance manažer</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Osoba odpovědná za dohled nad dodržováním protikorupční politiky, poskytování poradenství a posuzování oznámení o podezření na úplatkářství.</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Whistleblowing</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Oznámení podezření na nekalé jednání nebo porušení pravidel ze strany zaměstnance či třetí osoby, zpravidla prostřednictvím důvěrného kanálu.</w:t>
            </w:r>
          </w:p>
        </w:tc>
      </w:tr>
      <w:tr w:rsidR="009E7B24" w:rsidRPr="00C11998" w:rsidTr="00787336">
        <w:trPr>
          <w:cantSplit/>
          <w:trHeight w:val="1055"/>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Třetí strana</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Jakákoli fyzická nebo právnická osoba, se kterou společnost navázala nebo zvažuje obchodní vztah (např. dodavatelé, zprostředkovatelé, poradci, státní instituce).</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Dar a pohostinnost</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Nepeněžitý projev dobré vůle (např. věcné dary, pozvání na akce), jehož účelem nesmí být ovlivnění obchodního rozhodování.</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Politický příspěvek</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Finanční nebo jiná podpora politickým stranám, kandidátům nebo jejich zástupcům, která je v rámci této politiky zakázána.</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Charitativní příspěvek</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Finanční nebo jiná podpora neziskovým organizacím, která musí být transparentní, legální a nesmí sloužit k zakrytí úplatkářství.</w:t>
            </w:r>
          </w:p>
        </w:tc>
      </w:tr>
      <w:tr w:rsidR="009E7B24" w:rsidRPr="00C11998" w:rsidTr="00787336">
        <w:trPr>
          <w:cantSplit/>
          <w:trHeight w:val="770"/>
          <w:tblHeader/>
        </w:trPr>
        <w:tc>
          <w:tcPr>
            <w:tcW w:w="2105"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b/>
                <w:lang w:val="cs-CZ"/>
              </w:rPr>
              <w:t>Nepříznivé zacházení</w:t>
            </w:r>
          </w:p>
        </w:tc>
        <w:tc>
          <w:tcPr>
            <w:tcW w:w="7340" w:type="dxa"/>
            <w:tcBorders>
              <w:top w:val="nil"/>
              <w:left w:val="nil"/>
              <w:bottom w:val="nil"/>
              <w:right w:val="nil"/>
            </w:tcBorders>
            <w:tcMar>
              <w:top w:w="100" w:type="dxa"/>
              <w:left w:w="100" w:type="dxa"/>
              <w:bottom w:w="100" w:type="dxa"/>
              <w:right w:w="100" w:type="dxa"/>
            </w:tcMar>
          </w:tcPr>
          <w:p w:rsidR="009E7B24" w:rsidRPr="00C11998" w:rsidRDefault="009E7B24" w:rsidP="00787336">
            <w:pPr>
              <w:pStyle w:val="normal"/>
              <w:rPr>
                <w:rFonts w:ascii="Athiti" w:eastAsia="Athiti" w:hAnsi="Athiti" w:cs="Athiti"/>
                <w:lang w:val="cs-CZ"/>
              </w:rPr>
            </w:pPr>
            <w:r w:rsidRPr="00C11998">
              <w:rPr>
                <w:rFonts w:ascii="Athiti" w:eastAsia="Athiti" w:hAnsi="Athiti" w:cs="Athiti"/>
                <w:lang w:val="cs-CZ"/>
              </w:rPr>
              <w:t>Odveta vůči osobě, která oznámila korupci nebo odmítla úplatek (např. výpověď, disciplinární řízení, výhrůžky).</w:t>
            </w:r>
          </w:p>
        </w:tc>
      </w:tr>
    </w:tbl>
    <w:p w:rsidR="009E7B24" w:rsidRPr="00C11998" w:rsidRDefault="009E7B24" w:rsidP="009E7B24">
      <w:pPr>
        <w:pStyle w:val="normal"/>
        <w:rPr>
          <w:rFonts w:ascii="Athiti" w:eastAsia="Athiti" w:hAnsi="Athiti" w:cs="Athiti"/>
          <w:lang w:val="cs-CZ"/>
        </w:rPr>
      </w:pPr>
    </w:p>
    <w:p w:rsidR="009E7B24" w:rsidRPr="00C11998" w:rsidRDefault="009E7B24" w:rsidP="009E7B24">
      <w:pPr>
        <w:pStyle w:val="normal"/>
        <w:widowControl w:val="0"/>
        <w:spacing w:before="363" w:after="0" w:line="240" w:lineRule="auto"/>
        <w:jc w:val="left"/>
        <w:rPr>
          <w:rFonts w:ascii="Athiti" w:eastAsia="Athiti" w:hAnsi="Athiti" w:cs="Athiti"/>
          <w:b/>
          <w:lang w:val="cs-CZ"/>
        </w:rPr>
        <w:sectPr w:rsidR="009E7B24" w:rsidRPr="00C11998">
          <w:headerReference w:type="default" r:id="rId7"/>
          <w:footerReference w:type="default" r:id="rId8"/>
          <w:headerReference w:type="first" r:id="rId9"/>
          <w:pgSz w:w="11906" w:h="16838"/>
          <w:pgMar w:top="1134" w:right="1134" w:bottom="1134" w:left="1134" w:header="709" w:footer="709" w:gutter="0"/>
          <w:pgNumType w:start="0"/>
          <w:cols w:space="720"/>
          <w:titlePg/>
        </w:sectPr>
      </w:pPr>
    </w:p>
    <w:p w:rsidR="009E7B24" w:rsidRPr="00C11998" w:rsidRDefault="009E7B24" w:rsidP="009E7B24">
      <w:pPr>
        <w:pStyle w:val="Nadpis1"/>
        <w:keepNext w:val="0"/>
        <w:keepLines w:val="0"/>
        <w:widowControl w:val="0"/>
        <w:numPr>
          <w:ilvl w:val="0"/>
          <w:numId w:val="1"/>
        </w:numPr>
        <w:tabs>
          <w:tab w:val="left" w:pos="731"/>
        </w:tabs>
        <w:spacing w:before="115" w:after="0" w:line="240" w:lineRule="auto"/>
        <w:ind w:hanging="719"/>
        <w:jc w:val="left"/>
        <w:rPr>
          <w:rFonts w:ascii="Athiti" w:eastAsia="Athiti" w:hAnsi="Athiti" w:cs="Athiti"/>
          <w:sz w:val="28"/>
          <w:szCs w:val="28"/>
          <w:lang w:val="cs-CZ"/>
        </w:rPr>
      </w:pPr>
      <w:bookmarkStart w:id="4" w:name="_heading=h.bxa4l263tss6" w:colFirst="0" w:colLast="0"/>
      <w:bookmarkEnd w:id="4"/>
      <w:r w:rsidRPr="00C11998">
        <w:rPr>
          <w:rFonts w:ascii="Athiti" w:eastAsia="Athiti" w:hAnsi="Athiti" w:cs="Athiti"/>
          <w:sz w:val="28"/>
          <w:szCs w:val="28"/>
          <w:lang w:val="cs-CZ"/>
        </w:rPr>
        <w:lastRenderedPageBreak/>
        <w:t>Účel</w:t>
      </w:r>
    </w:p>
    <w:p w:rsidR="009E7B24" w:rsidRPr="00C11998" w:rsidRDefault="009E7B24" w:rsidP="009E7B24">
      <w:pPr>
        <w:pStyle w:val="normal"/>
        <w:widowControl w:val="0"/>
        <w:numPr>
          <w:ilvl w:val="1"/>
          <w:numId w:val="1"/>
        </w:numPr>
        <w:tabs>
          <w:tab w:val="left" w:pos="1080"/>
        </w:tabs>
        <w:spacing w:before="240" w:after="240" w:line="237" w:lineRule="auto"/>
        <w:jc w:val="left"/>
        <w:rPr>
          <w:rFonts w:ascii="Athiti" w:eastAsia="Athiti" w:hAnsi="Athiti" w:cs="Athiti"/>
          <w:b/>
          <w:lang w:val="cs-CZ"/>
        </w:rPr>
      </w:pPr>
      <w:r w:rsidRPr="00C11998">
        <w:rPr>
          <w:rFonts w:ascii="Athiti" w:eastAsia="Athiti" w:hAnsi="Athiti" w:cs="Athiti"/>
          <w:lang w:val="cs-CZ"/>
        </w:rPr>
        <w:t>Tato protikorupční politika slouží k vymezení odpovědnosti společnosti a všech, kteří pro nás pracují, pokud jde o dodržování a prosazování našeho nulového tolerance vůči úplatkářství a korupci.</w:t>
      </w:r>
    </w:p>
    <w:p w:rsidR="009E7B24" w:rsidRPr="00C11998" w:rsidRDefault="009E7B24" w:rsidP="009E7B24">
      <w:pPr>
        <w:pStyle w:val="normal"/>
        <w:widowControl w:val="0"/>
        <w:numPr>
          <w:ilvl w:val="1"/>
          <w:numId w:val="1"/>
        </w:numPr>
        <w:tabs>
          <w:tab w:val="left" w:pos="1080"/>
        </w:tabs>
        <w:spacing w:before="240" w:after="240" w:line="237" w:lineRule="auto"/>
        <w:jc w:val="left"/>
        <w:rPr>
          <w:rFonts w:ascii="Athiti" w:eastAsia="Athiti" w:hAnsi="Athiti" w:cs="Athiti"/>
          <w:b/>
          <w:lang w:val="cs-CZ"/>
        </w:rPr>
      </w:pPr>
      <w:r w:rsidRPr="00C11998">
        <w:rPr>
          <w:rFonts w:ascii="Athiti" w:eastAsia="Athiti" w:hAnsi="Athiti" w:cs="Athiti"/>
          <w:lang w:val="cs-CZ"/>
        </w:rPr>
        <w:t>Zároveň slouží jako informační a metodický nástroj pro zaměstnance a spolupracovníky společnosti. Pomáhá jim rozpoznávat a řešit otázky související s úplatkářstvím a korupcí a porozumět svým povinnostem v této oblasti.</w:t>
      </w:r>
    </w:p>
    <w:p w:rsidR="009E7B24" w:rsidRPr="00C11998" w:rsidRDefault="009E7B24" w:rsidP="009E7B24">
      <w:pPr>
        <w:pStyle w:val="Nadpis1"/>
        <w:keepNext w:val="0"/>
        <w:keepLines w:val="0"/>
        <w:widowControl w:val="0"/>
        <w:numPr>
          <w:ilvl w:val="0"/>
          <w:numId w:val="1"/>
        </w:numPr>
        <w:tabs>
          <w:tab w:val="left" w:pos="731"/>
        </w:tabs>
        <w:spacing w:before="0" w:after="0" w:line="240" w:lineRule="auto"/>
        <w:ind w:hanging="719"/>
        <w:jc w:val="left"/>
        <w:rPr>
          <w:rFonts w:ascii="Athiti" w:eastAsia="Athiti" w:hAnsi="Athiti" w:cs="Athiti"/>
          <w:sz w:val="28"/>
          <w:szCs w:val="28"/>
          <w:lang w:val="cs-CZ"/>
        </w:rPr>
      </w:pPr>
      <w:bookmarkStart w:id="5" w:name="_heading=h.vpfi1i7vioxz" w:colFirst="0" w:colLast="0"/>
      <w:bookmarkEnd w:id="5"/>
      <w:r w:rsidRPr="00C11998">
        <w:rPr>
          <w:rFonts w:ascii="Athiti" w:eastAsia="Athiti" w:hAnsi="Athiti" w:cs="Athiti"/>
          <w:sz w:val="28"/>
          <w:szCs w:val="28"/>
          <w:lang w:val="cs-CZ"/>
        </w:rPr>
        <w:t>Prohlášení</w:t>
      </w: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r w:rsidRPr="00C11998">
        <w:rPr>
          <w:rFonts w:ascii="Athiti" w:eastAsia="Athiti" w:hAnsi="Athiti" w:cs="Athiti"/>
          <w:lang w:val="cs-CZ"/>
        </w:rPr>
        <w:t>Společnost se zavazuje podnikat etickým a čestným způsobem a zavazuje se k zavedení a prosazování systémů, které zajistí prevenci úplatkářství. Společnost uplatňuje nulovou toleranci vůči úplatkářství a korupčním praktikám.</w:t>
      </w: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r w:rsidRPr="00C11998">
        <w:rPr>
          <w:rFonts w:ascii="Athiti" w:eastAsia="Athiti" w:hAnsi="Athiti" w:cs="Athiti"/>
          <w:lang w:val="cs-CZ"/>
        </w:rPr>
        <w:t>Zavazujeme se jednat profesionálně, spravedlivě a s integritou ve všech obchodních vztazích a jednáních, bez ohledu na to, v jaké zemi působíme.</w:t>
      </w: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r w:rsidRPr="00C11998">
        <w:rPr>
          <w:rFonts w:ascii="Athiti" w:eastAsia="Athiti" w:hAnsi="Athiti" w:cs="Athiti"/>
          <w:lang w:val="cs-CZ"/>
        </w:rPr>
        <w:t>Společnost bude trvale dodržovat veškeré zákony týkající se boje proti úplatkářství a korupci ve všech jurisdikcích, v nichž podniká.</w:t>
      </w: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r w:rsidRPr="00C11998">
        <w:rPr>
          <w:rFonts w:ascii="Athiti" w:eastAsia="Athiti" w:hAnsi="Athiti" w:cs="Athiti"/>
          <w:lang w:val="cs-CZ"/>
        </w:rPr>
        <w:t>Společnost si je vědoma toho, že úplatkářství a korupce mohou být trestány až deseti lety odnětí svobody a peněžitou pokutou. Pokud by bylo zjištěno, že se společnost podílela na korupční činnosti, může jí být uložena neomezená pokuta, může být vyloučena z účasti na veřejných zakázkách a její pověst může být vážně poškozena.</w:t>
      </w: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p>
    <w:p w:rsidR="009E7B24" w:rsidRPr="00C11998" w:rsidRDefault="009E7B24" w:rsidP="009E7B24">
      <w:pPr>
        <w:pStyle w:val="normal"/>
        <w:widowControl w:val="0"/>
        <w:spacing w:before="12" w:after="0" w:line="237" w:lineRule="auto"/>
        <w:ind w:left="749" w:right="522"/>
        <w:jc w:val="left"/>
        <w:rPr>
          <w:rFonts w:ascii="Athiti" w:eastAsia="Athiti" w:hAnsi="Athiti" w:cs="Athiti"/>
          <w:lang w:val="cs-CZ"/>
        </w:rPr>
      </w:pPr>
      <w:r w:rsidRPr="00C11998">
        <w:rPr>
          <w:rFonts w:ascii="Athiti" w:eastAsia="Athiti" w:hAnsi="Athiti" w:cs="Athiti"/>
          <w:lang w:val="cs-CZ"/>
        </w:rPr>
        <w:t>S vědomím těchto rizik se společnost zavazuje k aktivní prevenci úplatkářství a korupce v rámci svého podnikání a k důslednému plnění všech právních povinností.</w:t>
      </w:r>
    </w:p>
    <w:p w:rsidR="009E7B24" w:rsidRPr="00C11998" w:rsidRDefault="009E7B24" w:rsidP="009E7B24">
      <w:pPr>
        <w:pStyle w:val="normal"/>
        <w:widowControl w:val="0"/>
        <w:spacing w:before="56"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1" w:after="0" w:line="240" w:lineRule="auto"/>
        <w:ind w:hanging="719"/>
        <w:jc w:val="left"/>
        <w:rPr>
          <w:rFonts w:ascii="Athiti" w:eastAsia="Athiti" w:hAnsi="Athiti" w:cs="Athiti"/>
          <w:sz w:val="28"/>
          <w:szCs w:val="28"/>
          <w:lang w:val="cs-CZ"/>
        </w:rPr>
      </w:pPr>
      <w:bookmarkStart w:id="6" w:name="_heading=h.pqpuah2zhhgq" w:colFirst="0" w:colLast="0"/>
      <w:bookmarkEnd w:id="6"/>
      <w:r w:rsidRPr="00C11998">
        <w:rPr>
          <w:rFonts w:ascii="Athiti" w:eastAsia="Athiti" w:hAnsi="Athiti" w:cs="Athiti"/>
          <w:sz w:val="28"/>
          <w:szCs w:val="28"/>
          <w:lang w:val="cs-CZ"/>
        </w:rPr>
        <w:t>Na koho se tato politika vztahuje?</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Tato protikorupční politika se vztahuje na všechny zaměstnance společnosti, a to bez ohledu na typ pracovního vztahu – tedy na zaměstnance v pracovním poměru (dočasném, na dobu určitou nebo neurčitou), konzultanty, smluvní dodavatele, stážisty, osoby dočasně přidělené, pracovníky na dálku, příležitostné pracovníky, agenturní pracovníky, dobrovolníky, praktikanty, zástupce, sponzory nebo jakékoliv jiné osoby spojené se společností (včetně třetích stran), jakož i na dceřiné společnosti a jejich zaměstnance – bez ohledu na to, ve které zemi se nacházejí.</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Politika se rovněž vztahuje na členy statutárních a dozorčích orgánů, výborů a dalších řídících struktur společnosti – na všech úrovních řízení.</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V kontextu této politiky se pojmem třetí strana rozumí jakákoli fyzická nebo právnická osoba, se kterou společnost spolupracuje. Může se jednat o stávající nebo potenciální klienty, zákazníky, dodavatele, distributory, obchodní partnery, zprostředkovatele, poradce, jakož i státní a veřejné instituce – včetně jejich poradců, zástupců, úředníků, politických představitelů a dalších osob jednajících jejich jménem.</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 xml:space="preserve">Každé smluvní ujednání, které společnost uzavírá s třetí stranou, musí obsahovat jasné smluvní podmínky, včetně ustanovení, která zavazují třetí stranu k dodržování minimálních standardů v </w:t>
      </w:r>
      <w:r w:rsidRPr="00C11998">
        <w:rPr>
          <w:rFonts w:ascii="Athiti" w:eastAsia="Athiti" w:hAnsi="Athiti" w:cs="Athiti"/>
          <w:lang w:val="cs-CZ"/>
        </w:rPr>
        <w:lastRenderedPageBreak/>
        <w:t>oblasti boje proti korupci.</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Úplatkářství označuje čin nabídnutí, poskytnutí, přislíbení, vyžádání si, přijetí nebo požádání o něco hodnotného či výhodného s cílem ovlivnit určité rozhodnutí nebo jednání.</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Úplatkem se rozumí jakákoli pobídka, odměna nebo předmět hodnoty nabídnutý jiné osobě za účelem získání obchodní, smluvní, regulatorní nebo osobní výhody.</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Úplatkářství se však netýká pouze nabídky úplatku – pokud je jednotlivec na straně příjemce a úplatek přijme, rovněž porušuje zákon.</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Úplatkářství je nezákonné. Zaměstnanci nesmí být zapojeni do žádné formy úplatkářství – ať už přímo, pasivně (tj. formou přijetí úplatku), nebo prostřednictvím třetí osoby (např. prostředníka, zprostředkovatele, distributora apod.).</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Zaměstnanci nesmí nabízet úplatky zahraničním veřejným činitelům, a to v žádné zemi.</w:t>
      </w:r>
    </w:p>
    <w:p w:rsidR="009E7B24" w:rsidRPr="00C11998" w:rsidRDefault="009E7B24" w:rsidP="009E7B24">
      <w:pPr>
        <w:pStyle w:val="normal"/>
        <w:widowControl w:val="0"/>
        <w:numPr>
          <w:ilvl w:val="1"/>
          <w:numId w:val="1"/>
        </w:numPr>
        <w:tabs>
          <w:tab w:val="left" w:pos="1134"/>
        </w:tabs>
        <w:spacing w:before="240" w:after="240" w:line="237" w:lineRule="auto"/>
        <w:jc w:val="left"/>
        <w:rPr>
          <w:rFonts w:ascii="Athiti" w:eastAsia="Athiti" w:hAnsi="Athiti" w:cs="Athiti"/>
          <w:lang w:val="cs-CZ"/>
        </w:rPr>
      </w:pPr>
      <w:r w:rsidRPr="00C11998">
        <w:rPr>
          <w:rFonts w:ascii="Athiti" w:eastAsia="Athiti" w:hAnsi="Athiti" w:cs="Athiti"/>
          <w:lang w:val="cs-CZ"/>
        </w:rPr>
        <w:t>Zaměstnanci nesmí přijímat úplatky v žádné formě. Pokud mají pochybnosti o tom, zda se jedná o úplatek, dar nebo projev pohostinnosti, jsou povinni obrátit se na compliance manažera společnosti a vyžádat si stanovisko.</w:t>
      </w:r>
    </w:p>
    <w:p w:rsidR="009E7B24" w:rsidRPr="00C11998" w:rsidRDefault="009E7B24" w:rsidP="009E7B24">
      <w:pPr>
        <w:pStyle w:val="normal"/>
        <w:widowControl w:val="0"/>
        <w:spacing w:before="56"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0" w:after="0" w:line="240" w:lineRule="auto"/>
        <w:ind w:hanging="719"/>
        <w:jc w:val="left"/>
        <w:rPr>
          <w:rFonts w:ascii="Athiti" w:eastAsia="Athiti" w:hAnsi="Athiti" w:cs="Athiti"/>
          <w:sz w:val="28"/>
          <w:szCs w:val="28"/>
          <w:lang w:val="cs-CZ"/>
        </w:rPr>
      </w:pPr>
      <w:bookmarkStart w:id="7" w:name="_heading=h.x28iywtr99ek" w:colFirst="0" w:colLast="0"/>
      <w:bookmarkEnd w:id="7"/>
      <w:r w:rsidRPr="00C11998">
        <w:rPr>
          <w:rFonts w:ascii="Athiti" w:eastAsia="Athiti" w:hAnsi="Athiti" w:cs="Athiti"/>
          <w:sz w:val="28"/>
          <w:szCs w:val="28"/>
          <w:lang w:val="cs-CZ"/>
        </w:rPr>
        <w:t>Co je a co není přijatelné</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t>Tato část politiky se vztahuje na čtyři oblasti:</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Dary a pohostinnost</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Facilitační platby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Politické příspěvky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Charitativní příspěvky</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t>Dary a pohostinnost</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t>Společnost akceptuje běžné a přiměřené projevy pohostinnosti a dobré vůle (ať už poskytované třetím stranám nebo od nich přijímané), pokud splňují následující podmínky: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Nejsou poskytovány za účelem ovlivnění příjemce s cílem získat nebo udržet obchodní příležitost, výhodu či jako přímá nebo nepřímá protislužba.</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Nejsou spojeny s očekáváním protislužby nebo výhody.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Jsou v souladu s místními právními předpisy.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Jsou poskytovány jménem společnosti, nikoliv jménem konkrétní osoby.</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Neobsahují hotovost ani její ekvivalent (např. poukázku nebo dárkový certifikát).</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lastRenderedPageBreak/>
        <w:t>Jsou přiměřené vzhledem k okolnostem (např. malý dar o Vánocích nebo poděkování za pomoc na projektu).</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Mají přiměřenou hodnotu a typ, s ohledem na účel a načasování.</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Jsou poskytovány nebo přijímány transparentně, nikoliv tajně.</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Nejsou cíleny na klíčové osoby s jasným úmyslem je ovlivnit.</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Nepřesahují hodnotu stanovenou compliance manažerem (zpravidla ekvivalent 100 EUR).</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Nejsou nabízeny nebo přijímány od veřejných činitelů, politiků či politických stran bez předchozího schválení compliance manažera.</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Pokud by odmítnutí daru bylo kulturně nevhodné (např. ve vztahu k osobám určitého náboženství či kultury), dar lze výjimečně přijmout, avšak musí být neprodleně oznámen compliance manažerovi, který posoudí situaci.</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si je vědoma, že praxe poskytování darů a pohostinnosti se liší mezi zeměmi, regiony, kulturami a náboženstvími, a že proto může být hranice přijatelnosti různá.</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Zásadou dobré praxe je, že veškeré přijaté i poskytnuté dary by měly být oznámeny compliance manažerovi. Dary od dodavatelů musí být vždy oznámeny.</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Záměr daru by měl být vždy zvážen. V případě pochybností je nutné se obrátit na compliance manažera.</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t>Facilitační platby a provize (kickbacks)</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nepřijímá a neposkytuje žádné facilitační platby jakéhokoliv druhu.</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Facilitační platby jsou formou úplatku, jejímž účelem je urychlit běžné administrativní nebo úřední úkony ze strany veřejného činitele. Tyto platby bývají zpravidla poskytovány nižším úředníkům s cílem zajistit nebo urychlit provedení určité služby.</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rovněž neumožňuje vyplácení ani přijímání provizí (tzv. „kickbacks“), které jsou obvykle poskytovány výměnou za obchodní výhodu nebo přízeň.</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V případě, že by odmítnutí facilitační platby nebo provize ohrozilo osobní bezpečnost zaměstnance nebo jeho rodiny, je třeba postupovat následovně:</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b/>
          <w:lang w:val="cs-CZ"/>
        </w:rPr>
      </w:pPr>
      <w:r w:rsidRPr="00C11998">
        <w:rPr>
          <w:rFonts w:ascii="Athiti" w:eastAsia="Athiti" w:hAnsi="Athiti" w:cs="Athiti"/>
          <w:lang w:val="cs-CZ"/>
        </w:rPr>
        <w:t>Omezit částku na nezbytné minimum.</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Vyžádat si potvrzení o platbě s uvedením částky a důvodu.</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Vyhotovit záznam o transakci.</w:t>
      </w:r>
    </w:p>
    <w:p w:rsidR="009E7B24" w:rsidRPr="00C11998" w:rsidRDefault="009E7B24" w:rsidP="009E7B24">
      <w:pPr>
        <w:pStyle w:val="normal"/>
        <w:widowControl w:val="0"/>
        <w:numPr>
          <w:ilvl w:val="2"/>
          <w:numId w:val="1"/>
        </w:numPr>
        <w:tabs>
          <w:tab w:val="left" w:pos="1204"/>
        </w:tabs>
        <w:spacing w:before="286" w:after="0" w:line="237" w:lineRule="auto"/>
        <w:ind w:right="505"/>
        <w:jc w:val="left"/>
        <w:rPr>
          <w:rFonts w:ascii="Athiti" w:eastAsia="Athiti" w:hAnsi="Athiti" w:cs="Athiti"/>
          <w:lang w:val="cs-CZ"/>
        </w:rPr>
      </w:pPr>
      <w:r w:rsidRPr="00C11998">
        <w:rPr>
          <w:rFonts w:ascii="Athiti" w:eastAsia="Athiti" w:hAnsi="Athiti" w:cs="Athiti"/>
          <w:lang w:val="cs-CZ"/>
        </w:rPr>
        <w:t>Neprodleně informovat přímého nadřízeného.</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lastRenderedPageBreak/>
        <w:t>Politické příspěvky</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neposkytuje žádné dary politickým stranám, kandidátům nebo jejich zástupcům, a to ani v hotovosti, naturálně, ani žádnou jinou formou.</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Uvědomujeme si, že takové dary mohou být vnímány jako snaha získat neoprávněnou výhodu v obchodních vztazích.</w:t>
      </w:r>
    </w:p>
    <w:p w:rsidR="009E7B24" w:rsidRPr="00C11998" w:rsidRDefault="009E7B24" w:rsidP="009E7B24">
      <w:pPr>
        <w:pStyle w:val="normal"/>
        <w:widowControl w:val="0"/>
        <w:numPr>
          <w:ilvl w:val="1"/>
          <w:numId w:val="1"/>
        </w:numPr>
        <w:tabs>
          <w:tab w:val="left" w:pos="1204"/>
        </w:tabs>
        <w:spacing w:before="286" w:after="0" w:line="237" w:lineRule="auto"/>
        <w:ind w:left="749" w:right="505" w:firstLine="0"/>
        <w:jc w:val="left"/>
        <w:rPr>
          <w:rFonts w:ascii="Athiti" w:eastAsia="Athiti" w:hAnsi="Athiti" w:cs="Athiti"/>
          <w:b/>
          <w:lang w:val="cs-CZ"/>
        </w:rPr>
      </w:pPr>
      <w:r w:rsidRPr="00C11998">
        <w:rPr>
          <w:rFonts w:ascii="Athiti" w:eastAsia="Athiti" w:hAnsi="Athiti" w:cs="Athiti"/>
          <w:lang w:val="cs-CZ"/>
        </w:rPr>
        <w:t>Charitativní příspěvky</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podporuje a vítá zapojení do charitativních aktivit, a to formou služeb, odborných znalostí, času či přímých finančních příspěvků (v hotovosti i jiné formě).</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Všechny charitativní dary, které společnost poskytuje, budou transparentně evidovány a zveřejněny.</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Zaměstnanci musí dbát na to, aby charitativní dary nebyly zneužívány k zakrytí nebo usnadnění úplatkářství.</w:t>
      </w:r>
    </w:p>
    <w:p w:rsidR="009E7B24" w:rsidRPr="00C11998" w:rsidRDefault="009E7B24" w:rsidP="009E7B24">
      <w:pPr>
        <w:pStyle w:val="normal"/>
        <w:widowControl w:val="0"/>
        <w:tabs>
          <w:tab w:val="left" w:pos="1204"/>
        </w:tabs>
        <w:spacing w:before="286" w:after="0" w:line="237" w:lineRule="auto"/>
        <w:ind w:left="1253" w:right="505"/>
        <w:jc w:val="left"/>
        <w:rPr>
          <w:rFonts w:ascii="Athiti" w:eastAsia="Athiti" w:hAnsi="Athiti" w:cs="Athiti"/>
          <w:lang w:val="cs-CZ"/>
        </w:rPr>
      </w:pPr>
      <w:r w:rsidRPr="00C11998">
        <w:rPr>
          <w:rFonts w:ascii="Athiti" w:eastAsia="Athiti" w:hAnsi="Athiti" w:cs="Athiti"/>
          <w:lang w:val="cs-CZ"/>
        </w:rPr>
        <w:t>Společnost zajistí, že všechny charitativní dary budou v souladu s právními předpisy a etickými standardy, a že žádný dar nebude poskytnut bez předchozího schválení compliance manažera.</w:t>
      </w:r>
    </w:p>
    <w:p w:rsidR="009E7B24" w:rsidRPr="00C11998" w:rsidRDefault="009E7B24" w:rsidP="009E7B24">
      <w:pPr>
        <w:pStyle w:val="normal"/>
        <w:widowControl w:val="0"/>
        <w:spacing w:before="57"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1" w:after="0" w:line="240" w:lineRule="auto"/>
        <w:ind w:hanging="719"/>
        <w:jc w:val="left"/>
        <w:rPr>
          <w:rFonts w:ascii="Athiti" w:eastAsia="Athiti" w:hAnsi="Athiti" w:cs="Athiti"/>
          <w:sz w:val="28"/>
          <w:szCs w:val="28"/>
          <w:lang w:val="cs-CZ"/>
        </w:rPr>
      </w:pPr>
      <w:bookmarkStart w:id="8" w:name="_heading=h.aqzx92ropv5g" w:colFirst="0" w:colLast="0"/>
      <w:bookmarkEnd w:id="8"/>
      <w:r w:rsidRPr="00C11998">
        <w:rPr>
          <w:rFonts w:ascii="Athiti" w:eastAsia="Athiti" w:hAnsi="Athiti" w:cs="Athiti"/>
          <w:sz w:val="28"/>
          <w:szCs w:val="28"/>
          <w:lang w:val="cs-CZ"/>
        </w:rPr>
        <w:t>Odpovědnosti zaměstnanců</w:t>
      </w:r>
    </w:p>
    <w:p w:rsidR="009E7B24" w:rsidRPr="00C11998" w:rsidRDefault="009E7B24" w:rsidP="009E7B24">
      <w:pPr>
        <w:pStyle w:val="normal"/>
        <w:widowControl w:val="0"/>
        <w:numPr>
          <w:ilvl w:val="1"/>
          <w:numId w:val="1"/>
        </w:numPr>
        <w:tabs>
          <w:tab w:val="left" w:pos="1131"/>
        </w:tabs>
        <w:spacing w:before="240" w:after="240" w:line="223" w:lineRule="auto"/>
        <w:jc w:val="left"/>
        <w:rPr>
          <w:rFonts w:ascii="Athiti" w:eastAsia="Athiti" w:hAnsi="Athiti" w:cs="Athiti"/>
          <w:lang w:val="cs-CZ"/>
        </w:rPr>
      </w:pPr>
      <w:r w:rsidRPr="00C11998">
        <w:rPr>
          <w:rFonts w:ascii="Athiti" w:eastAsia="Athiti" w:hAnsi="Athiti" w:cs="Athiti"/>
          <w:lang w:val="cs-CZ"/>
        </w:rPr>
        <w:t>Jako zaměstnanec společnosti jste povinni seznámit se s touto politikou, porozumět jejím ustanovením a dodržovat pravidla v ní uvedená, stejně jako absolvovat veškerá školení či jiná sdělení týkající se boje proti úplatkářství a korupci, která vám budou poskytnuta.</w:t>
      </w:r>
    </w:p>
    <w:p w:rsidR="009E7B24" w:rsidRPr="00C11998" w:rsidRDefault="009E7B24" w:rsidP="009E7B24">
      <w:pPr>
        <w:pStyle w:val="normal"/>
        <w:widowControl w:val="0"/>
        <w:numPr>
          <w:ilvl w:val="1"/>
          <w:numId w:val="1"/>
        </w:numPr>
        <w:tabs>
          <w:tab w:val="left" w:pos="1131"/>
        </w:tabs>
        <w:spacing w:before="240" w:after="240" w:line="223" w:lineRule="auto"/>
        <w:jc w:val="left"/>
        <w:rPr>
          <w:rFonts w:ascii="Athiti" w:eastAsia="Athiti" w:hAnsi="Athiti" w:cs="Athiti"/>
          <w:lang w:val="cs-CZ"/>
        </w:rPr>
      </w:pPr>
      <w:r w:rsidRPr="00C11998">
        <w:rPr>
          <w:rFonts w:ascii="Athiti" w:eastAsia="Athiti" w:hAnsi="Athiti" w:cs="Athiti"/>
          <w:lang w:val="cs-CZ"/>
        </w:rPr>
        <w:t>Všichni zaměstnanci a osoby jednající jménem společnosti nesou stejnou odpovědnost za prevenci, odhalování a oznamování úplatkářství a jiných forem korupce. Jsou povinni vyvarovat se jakýchkoli činností, které by mohly vést k porušení této politiky, nebo by takové porušení mohly naznačovat.</w:t>
      </w:r>
    </w:p>
    <w:p w:rsidR="009E7B24" w:rsidRPr="00C11998" w:rsidRDefault="009E7B24" w:rsidP="009E7B24">
      <w:pPr>
        <w:pStyle w:val="normal"/>
        <w:widowControl w:val="0"/>
        <w:numPr>
          <w:ilvl w:val="1"/>
          <w:numId w:val="1"/>
        </w:numPr>
        <w:tabs>
          <w:tab w:val="left" w:pos="1131"/>
        </w:tabs>
        <w:spacing w:before="240" w:after="240" w:line="223" w:lineRule="auto"/>
        <w:jc w:val="left"/>
        <w:rPr>
          <w:rFonts w:ascii="Athiti" w:eastAsia="Athiti" w:hAnsi="Athiti" w:cs="Athiti"/>
          <w:lang w:val="cs-CZ"/>
        </w:rPr>
      </w:pPr>
      <w:r w:rsidRPr="00C11998">
        <w:rPr>
          <w:rFonts w:ascii="Athiti" w:eastAsia="Athiti" w:hAnsi="Athiti" w:cs="Athiti"/>
          <w:lang w:val="cs-CZ"/>
        </w:rPr>
        <w:t>Pokud máte důvod se domnívat nebo máte podezření, že došlo nebo by mohlo dojít k úplatkářství či jiné formě korupce v rozporu s touto politikou, musíte o tom bezodkladně informovat compliance manažera.</w:t>
      </w:r>
    </w:p>
    <w:p w:rsidR="009E7B24" w:rsidRPr="00C11998" w:rsidRDefault="009E7B24" w:rsidP="009E7B24">
      <w:pPr>
        <w:pStyle w:val="normal"/>
        <w:widowControl w:val="0"/>
        <w:numPr>
          <w:ilvl w:val="1"/>
          <w:numId w:val="1"/>
        </w:numPr>
        <w:tabs>
          <w:tab w:val="left" w:pos="1131"/>
        </w:tabs>
        <w:spacing w:before="240" w:after="240" w:line="223" w:lineRule="auto"/>
        <w:jc w:val="left"/>
        <w:rPr>
          <w:rFonts w:ascii="Athiti" w:eastAsia="Athiti" w:hAnsi="Athiti" w:cs="Athiti"/>
          <w:lang w:val="cs-CZ"/>
        </w:rPr>
      </w:pPr>
      <w:r w:rsidRPr="00C11998">
        <w:rPr>
          <w:rFonts w:ascii="Athiti" w:eastAsia="Athiti" w:hAnsi="Athiti" w:cs="Athiti"/>
          <w:lang w:val="cs-CZ"/>
        </w:rPr>
        <w:t>V případě, že zaměstnanec poruší tuto politiku, může vůči němu být zahájeno kázeňské řízení a může být dokonce propuštěn pro hrubé porušení pracovní kázně.</w:t>
      </w:r>
      <w:r w:rsidRPr="00C11998">
        <w:rPr>
          <w:rFonts w:ascii="Athiti" w:eastAsia="Athiti" w:hAnsi="Athiti" w:cs="Athiti"/>
          <w:lang w:val="cs-CZ"/>
        </w:rPr>
        <w:br/>
        <w:t xml:space="preserve"> Jednatel nebo jiná oprávněná osoba má rovněž právo okamžitě ukončit smluvní vztah se zaměstnancem, který tuto protikorupční politiku porušil.</w:t>
      </w:r>
    </w:p>
    <w:p w:rsidR="009E7B24" w:rsidRPr="00C11998" w:rsidRDefault="009E7B24" w:rsidP="009E7B24">
      <w:pPr>
        <w:pStyle w:val="Nadpis1"/>
        <w:keepNext w:val="0"/>
        <w:keepLines w:val="0"/>
        <w:widowControl w:val="0"/>
        <w:numPr>
          <w:ilvl w:val="0"/>
          <w:numId w:val="1"/>
        </w:numPr>
        <w:tabs>
          <w:tab w:val="left" w:pos="731"/>
        </w:tabs>
        <w:spacing w:before="0" w:after="0" w:line="240" w:lineRule="auto"/>
        <w:ind w:hanging="719"/>
        <w:jc w:val="left"/>
        <w:rPr>
          <w:rFonts w:ascii="Athiti" w:eastAsia="Athiti" w:hAnsi="Athiti" w:cs="Athiti"/>
          <w:sz w:val="28"/>
          <w:szCs w:val="28"/>
          <w:lang w:val="cs-CZ"/>
        </w:rPr>
      </w:pPr>
      <w:bookmarkStart w:id="9" w:name="_heading=h.dqta1a26km15" w:colFirst="0" w:colLast="0"/>
      <w:bookmarkEnd w:id="9"/>
      <w:r w:rsidRPr="00C11998">
        <w:rPr>
          <w:rFonts w:ascii="Athiti" w:eastAsia="Athiti" w:hAnsi="Athiti" w:cs="Athiti"/>
          <w:sz w:val="28"/>
          <w:szCs w:val="28"/>
          <w:lang w:val="cs-CZ"/>
        </w:rPr>
        <w:t>Co dělat, pokud potřebujete vyjádřit obavu?</w:t>
      </w:r>
    </w:p>
    <w:p w:rsidR="009E7B24" w:rsidRPr="00C11998" w:rsidRDefault="009E7B24" w:rsidP="009E7B24">
      <w:pPr>
        <w:pStyle w:val="normal"/>
        <w:widowControl w:val="0"/>
        <w:numPr>
          <w:ilvl w:val="1"/>
          <w:numId w:val="1"/>
        </w:numPr>
        <w:tabs>
          <w:tab w:val="left" w:pos="1093"/>
        </w:tabs>
        <w:spacing w:before="286" w:after="0" w:line="237" w:lineRule="auto"/>
        <w:ind w:left="748" w:right="92" w:firstLine="0"/>
        <w:jc w:val="left"/>
        <w:rPr>
          <w:rFonts w:ascii="Athiti" w:eastAsia="Athiti" w:hAnsi="Athiti" w:cs="Athiti"/>
          <w:b/>
          <w:lang w:val="cs-CZ"/>
        </w:rPr>
      </w:pPr>
      <w:r w:rsidRPr="00C11998">
        <w:rPr>
          <w:rFonts w:ascii="Athiti" w:eastAsia="Athiti" w:hAnsi="Athiti" w:cs="Athiti"/>
          <w:lang w:val="cs-CZ"/>
        </w:rPr>
        <w:t>Tato část politiky se zaměřuje na tři oblasti:</w:t>
      </w:r>
    </w:p>
    <w:p w:rsidR="009E7B24" w:rsidRPr="00C11998" w:rsidRDefault="009E7B24" w:rsidP="009E7B24">
      <w:pPr>
        <w:pStyle w:val="normal"/>
        <w:widowControl w:val="0"/>
        <w:numPr>
          <w:ilvl w:val="2"/>
          <w:numId w:val="1"/>
        </w:numPr>
        <w:tabs>
          <w:tab w:val="left" w:pos="1093"/>
        </w:tabs>
        <w:spacing w:before="286" w:after="0" w:line="237" w:lineRule="auto"/>
        <w:ind w:right="92"/>
        <w:jc w:val="left"/>
        <w:rPr>
          <w:rFonts w:ascii="Athiti" w:eastAsia="Athiti" w:hAnsi="Athiti" w:cs="Athiti"/>
          <w:lang w:val="cs-CZ"/>
        </w:rPr>
      </w:pPr>
      <w:r w:rsidRPr="00C11998">
        <w:rPr>
          <w:rFonts w:ascii="Athiti" w:eastAsia="Athiti" w:hAnsi="Athiti" w:cs="Athiti"/>
          <w:lang w:val="cs-CZ"/>
        </w:rPr>
        <w:t>Jak vyjádřit obavu</w:t>
      </w:r>
    </w:p>
    <w:p w:rsidR="009E7B24" w:rsidRPr="00C11998" w:rsidRDefault="009E7B24" w:rsidP="009E7B24">
      <w:pPr>
        <w:pStyle w:val="normal"/>
        <w:widowControl w:val="0"/>
        <w:numPr>
          <w:ilvl w:val="2"/>
          <w:numId w:val="1"/>
        </w:numPr>
        <w:tabs>
          <w:tab w:val="left" w:pos="1093"/>
        </w:tabs>
        <w:spacing w:before="286" w:after="0" w:line="237" w:lineRule="auto"/>
        <w:ind w:right="92"/>
        <w:jc w:val="left"/>
        <w:rPr>
          <w:rFonts w:ascii="Athiti" w:eastAsia="Athiti" w:hAnsi="Athiti" w:cs="Athiti"/>
          <w:lang w:val="cs-CZ"/>
        </w:rPr>
      </w:pPr>
      <w:r w:rsidRPr="00C11998">
        <w:rPr>
          <w:rFonts w:ascii="Athiti" w:eastAsia="Athiti" w:hAnsi="Athiti" w:cs="Athiti"/>
          <w:lang w:val="cs-CZ"/>
        </w:rPr>
        <w:t>Co dělat, pokud jste obětí úplatkářství nebo korupce</w:t>
      </w:r>
    </w:p>
    <w:p w:rsidR="009E7B24" w:rsidRPr="00C11998" w:rsidRDefault="009E7B24" w:rsidP="009E7B24">
      <w:pPr>
        <w:pStyle w:val="normal"/>
        <w:widowControl w:val="0"/>
        <w:numPr>
          <w:ilvl w:val="2"/>
          <w:numId w:val="1"/>
        </w:numPr>
        <w:tabs>
          <w:tab w:val="left" w:pos="1093"/>
        </w:tabs>
        <w:spacing w:before="286" w:after="0" w:line="237" w:lineRule="auto"/>
        <w:ind w:right="92"/>
        <w:jc w:val="left"/>
        <w:rPr>
          <w:rFonts w:ascii="Athiti" w:eastAsia="Athiti" w:hAnsi="Athiti" w:cs="Athiti"/>
          <w:lang w:val="cs-CZ"/>
        </w:rPr>
      </w:pPr>
      <w:r w:rsidRPr="00C11998">
        <w:rPr>
          <w:rFonts w:ascii="Athiti" w:eastAsia="Athiti" w:hAnsi="Athiti" w:cs="Athiti"/>
          <w:lang w:val="cs-CZ"/>
        </w:rPr>
        <w:lastRenderedPageBreak/>
        <w:t>Ochrana oznamovatele</w:t>
      </w:r>
    </w:p>
    <w:p w:rsidR="009E7B24" w:rsidRPr="00C11998" w:rsidRDefault="009E7B24" w:rsidP="009E7B24">
      <w:pPr>
        <w:pStyle w:val="normal"/>
        <w:widowControl w:val="0"/>
        <w:numPr>
          <w:ilvl w:val="2"/>
          <w:numId w:val="1"/>
        </w:numPr>
        <w:tabs>
          <w:tab w:val="left" w:pos="1093"/>
        </w:tabs>
        <w:spacing w:before="286" w:after="0" w:line="237" w:lineRule="auto"/>
        <w:ind w:right="92"/>
        <w:jc w:val="left"/>
        <w:rPr>
          <w:rFonts w:ascii="Athiti" w:eastAsia="Athiti" w:hAnsi="Athiti" w:cs="Athiti"/>
          <w:lang w:val="cs-CZ"/>
        </w:rPr>
      </w:pPr>
      <w:r w:rsidRPr="00C11998">
        <w:rPr>
          <w:rFonts w:ascii="Athiti" w:eastAsia="Athiti" w:hAnsi="Athiti" w:cs="Athiti"/>
          <w:lang w:val="cs-CZ"/>
        </w:rPr>
        <w:t>Jak vyjádřit obavu</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Pokud máte podezření, že v souvislosti s činností společnosti dochází k úplatkářství nebo jiné formě korupce, doporučujeme vám sdělit své obavy co nejdříve.</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Pokud si nejste jisti, zda konkrétní jednání nebo chování může být považováno za úplatkářství nebo korupci, obraťte se na svého přímého nadřízeného, compliance manažera, ředitele nebo vedoucího oddělení pro správu a právní záležitosti.</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Společnost zajistí, aby byli všichni zaměstnanci obeznámeni s vnitřními postupy pro whistleblowing (oznamování nekalého jednání), aby mohli v případě potřeby svá podezření vyjádřit rychle a důvěrně.</w:t>
      </w:r>
    </w:p>
    <w:p w:rsidR="009E7B24" w:rsidRPr="00C11998" w:rsidRDefault="009E7B24" w:rsidP="009E7B24">
      <w:pPr>
        <w:pStyle w:val="normal"/>
        <w:widowControl w:val="0"/>
        <w:numPr>
          <w:ilvl w:val="1"/>
          <w:numId w:val="1"/>
        </w:numPr>
        <w:tabs>
          <w:tab w:val="left" w:pos="1093"/>
        </w:tabs>
        <w:spacing w:before="286" w:after="0" w:line="237" w:lineRule="auto"/>
        <w:ind w:left="748" w:right="92" w:firstLine="0"/>
        <w:jc w:val="left"/>
        <w:rPr>
          <w:rFonts w:ascii="Athiti" w:eastAsia="Athiti" w:hAnsi="Athiti" w:cs="Athiti"/>
          <w:b/>
          <w:lang w:val="cs-CZ"/>
        </w:rPr>
      </w:pPr>
      <w:r w:rsidRPr="00C11998">
        <w:rPr>
          <w:rFonts w:ascii="Athiti" w:eastAsia="Athiti" w:hAnsi="Athiti" w:cs="Athiti"/>
          <w:lang w:val="cs-CZ"/>
        </w:rPr>
        <w:t>Co dělat, pokud jste obětí úplatkářství nebo korupce</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Pokud vám někdo nabídne úplatek, vyzve vás k jeho poskytnutí, máte podezření, že vás chce někdo v blízké budoucnosti uplatit, nebo se domníváte, že jste se stali obětí jiného korupčního jednání, neprodleně informujte compliance manažera.</w:t>
      </w:r>
    </w:p>
    <w:p w:rsidR="009E7B24" w:rsidRPr="00C11998" w:rsidRDefault="009E7B24" w:rsidP="009E7B24">
      <w:pPr>
        <w:pStyle w:val="normal"/>
        <w:widowControl w:val="0"/>
        <w:numPr>
          <w:ilvl w:val="1"/>
          <w:numId w:val="1"/>
        </w:numPr>
        <w:tabs>
          <w:tab w:val="left" w:pos="1093"/>
        </w:tabs>
        <w:spacing w:before="286" w:after="0" w:line="237" w:lineRule="auto"/>
        <w:ind w:left="748" w:right="92" w:firstLine="0"/>
        <w:jc w:val="left"/>
        <w:rPr>
          <w:rFonts w:ascii="Athiti" w:eastAsia="Athiti" w:hAnsi="Athiti" w:cs="Athiti"/>
          <w:b/>
          <w:lang w:val="cs-CZ"/>
        </w:rPr>
      </w:pPr>
      <w:r w:rsidRPr="00C11998">
        <w:rPr>
          <w:rFonts w:ascii="Athiti" w:eastAsia="Athiti" w:hAnsi="Athiti" w:cs="Athiti"/>
          <w:lang w:val="cs-CZ"/>
        </w:rPr>
        <w:t>Ochrana oznamovatelů</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Pokud odmítnete přijmout nebo nabídnout úplatek, nebo ohlásíte podezření na možné korupční jednání, společnost chápe, že se můžete obávat následků.</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Společnost podpoří každého, kdo v dobré víře nahlásí podezření podle této politiky – a to i v případě, že se následným šetřením ukáže, že šlo o omyl.</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Společnost zaručuje, že žádná osoba nebude vystavena nepříznivému zacházení v důsledku toho, že odmítla úplatek nebo oznámila podezření na úplatkářství či korupci.</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Za nepříznivé zacházení se považuje například propuštění, kázeňské řízení, výhrůžky nebo jiná negativní opatření, která souvisejí s oznámením podezření.</w:t>
      </w:r>
    </w:p>
    <w:p w:rsidR="009E7B24" w:rsidRPr="00C11998" w:rsidRDefault="009E7B24" w:rsidP="009E7B24">
      <w:pPr>
        <w:pStyle w:val="normal"/>
        <w:widowControl w:val="0"/>
        <w:tabs>
          <w:tab w:val="left" w:pos="1093"/>
        </w:tabs>
        <w:spacing w:before="286" w:after="0" w:line="237" w:lineRule="auto"/>
        <w:ind w:left="1253" w:right="92"/>
        <w:jc w:val="left"/>
        <w:rPr>
          <w:rFonts w:ascii="Athiti" w:eastAsia="Athiti" w:hAnsi="Athiti" w:cs="Athiti"/>
          <w:lang w:val="cs-CZ"/>
        </w:rPr>
      </w:pPr>
      <w:r w:rsidRPr="00C11998">
        <w:rPr>
          <w:rFonts w:ascii="Athiti" w:eastAsia="Athiti" w:hAnsi="Athiti" w:cs="Athiti"/>
          <w:lang w:val="cs-CZ"/>
        </w:rPr>
        <w:t>Pokud máte důvod se domnívat, že jste v důsledku svého oznámení nebo odmítnutí úplatku vystaveni nespravedlivému zacházení, okamžitě kontaktujte svého nadřízeného nebo compliance manažera.</w:t>
      </w:r>
    </w:p>
    <w:p w:rsidR="009E7B24" w:rsidRPr="00C11998" w:rsidRDefault="009E7B24" w:rsidP="009E7B24">
      <w:pPr>
        <w:pStyle w:val="normal"/>
        <w:widowControl w:val="0"/>
        <w:spacing w:before="58"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0" w:after="0" w:line="240" w:lineRule="auto"/>
        <w:ind w:hanging="719"/>
        <w:jc w:val="left"/>
        <w:rPr>
          <w:rFonts w:ascii="Athiti" w:eastAsia="Athiti" w:hAnsi="Athiti" w:cs="Athiti"/>
          <w:sz w:val="28"/>
          <w:szCs w:val="28"/>
          <w:lang w:val="cs-CZ"/>
        </w:rPr>
      </w:pPr>
      <w:bookmarkStart w:id="10" w:name="_heading=h.7wlsk1yg9axb" w:colFirst="0" w:colLast="0"/>
      <w:bookmarkEnd w:id="10"/>
      <w:r w:rsidRPr="00C11998">
        <w:rPr>
          <w:rFonts w:ascii="Athiti" w:eastAsia="Athiti" w:hAnsi="Athiti" w:cs="Athiti"/>
          <w:sz w:val="28"/>
          <w:szCs w:val="28"/>
          <w:lang w:val="cs-CZ"/>
        </w:rPr>
        <w:t>Školení a komunikace</w:t>
      </w: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r w:rsidRPr="00C11998">
        <w:rPr>
          <w:rFonts w:ascii="Athiti" w:eastAsia="Athiti" w:hAnsi="Athiti" w:cs="Athiti"/>
          <w:lang w:val="cs-CZ"/>
        </w:rPr>
        <w:t>Společnost zajistí, aby všichni noví zaměstnanci absolvovali školení o této politice jako součást úvodního zaškolení při nástupu do zaměstnání.</w:t>
      </w: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r w:rsidRPr="00C11998">
        <w:rPr>
          <w:rFonts w:ascii="Athiti" w:eastAsia="Athiti" w:hAnsi="Athiti" w:cs="Athiti"/>
          <w:lang w:val="cs-CZ"/>
        </w:rPr>
        <w:t>Zaměstnanci budou rovněž pravidelně absolvovat relevantní školení zaměřené na dodržování této politiky a budou každoročně vyzváni k formálnímu potvrzení, že se touto politikou budou řídit.</w:t>
      </w: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r w:rsidRPr="00C11998">
        <w:rPr>
          <w:rFonts w:ascii="Athiti" w:eastAsia="Athiti" w:hAnsi="Athiti" w:cs="Athiti"/>
          <w:lang w:val="cs-CZ"/>
        </w:rPr>
        <w:t>Politika nulové tolerance vůči úplatkářství a korupci bude jasně komunikována všem dodavatelům, smluvním partnerům, obchodním partnerům a dalším třetím stranám, a to již při zahájení obchodní spolupráce, a dále dle potřeby.</w:t>
      </w: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r w:rsidRPr="00C11998">
        <w:rPr>
          <w:rFonts w:ascii="Athiti" w:eastAsia="Athiti" w:hAnsi="Athiti" w:cs="Athiti"/>
          <w:lang w:val="cs-CZ"/>
        </w:rPr>
        <w:lastRenderedPageBreak/>
        <w:t>Společnost poskytne cílené školení v oblasti boje proti úplatkářství a korupci zaměstnancům a dalším osobám, pokud bude mít za to, že je třeba posílit jejich znalosti v této oblasti.</w:t>
      </w: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p>
    <w:p w:rsidR="009E7B24" w:rsidRPr="00C11998" w:rsidRDefault="009E7B24" w:rsidP="009E7B24">
      <w:pPr>
        <w:pStyle w:val="normal"/>
        <w:widowControl w:val="0"/>
        <w:spacing w:before="11" w:after="0" w:line="237" w:lineRule="auto"/>
        <w:ind w:left="749" w:right="188"/>
        <w:jc w:val="left"/>
        <w:rPr>
          <w:rFonts w:ascii="Athiti" w:eastAsia="Athiti" w:hAnsi="Athiti" w:cs="Athiti"/>
          <w:lang w:val="cs-CZ"/>
        </w:rPr>
      </w:pPr>
      <w:r w:rsidRPr="00C11998">
        <w:rPr>
          <w:rFonts w:ascii="Athiti" w:eastAsia="Athiti" w:hAnsi="Athiti" w:cs="Athiti"/>
          <w:lang w:val="cs-CZ"/>
        </w:rPr>
        <w:t>Jako příklad dobré praxe se doporučuje, aby všechny společnosti zajišťovaly školení zaměstnanců v oblasti boje proti úplatkářství, zejména pokud během výkonu práce hrozí zvýšené riziko kontaktu s korupčním jednáním.</w:t>
      </w:r>
    </w:p>
    <w:p w:rsidR="009E7B24" w:rsidRPr="00C11998" w:rsidRDefault="009E7B24" w:rsidP="009E7B24">
      <w:pPr>
        <w:pStyle w:val="normal"/>
        <w:widowControl w:val="0"/>
        <w:spacing w:before="57"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1" w:after="0" w:line="240" w:lineRule="auto"/>
        <w:ind w:hanging="719"/>
        <w:jc w:val="left"/>
        <w:rPr>
          <w:rFonts w:ascii="Athiti" w:eastAsia="Athiti" w:hAnsi="Athiti" w:cs="Athiti"/>
          <w:sz w:val="28"/>
          <w:szCs w:val="28"/>
          <w:lang w:val="cs-CZ"/>
        </w:rPr>
      </w:pPr>
      <w:bookmarkStart w:id="11" w:name="_heading=h.ssmu3i9dqa4g" w:colFirst="0" w:colLast="0"/>
      <w:bookmarkEnd w:id="11"/>
      <w:r w:rsidRPr="00C11998">
        <w:rPr>
          <w:rFonts w:ascii="Athiti" w:eastAsia="Athiti" w:hAnsi="Athiti" w:cs="Athiti"/>
          <w:sz w:val="28"/>
          <w:szCs w:val="28"/>
          <w:lang w:val="cs-CZ"/>
        </w:rPr>
        <w:t>Vedení záznamů</w:t>
      </w:r>
    </w:p>
    <w:p w:rsidR="009E7B24" w:rsidRPr="00C11998" w:rsidRDefault="009E7B24" w:rsidP="009E7B24">
      <w:pPr>
        <w:pStyle w:val="normal"/>
        <w:widowControl w:val="0"/>
        <w:spacing w:before="11" w:after="0" w:line="237" w:lineRule="auto"/>
        <w:ind w:left="749"/>
        <w:jc w:val="left"/>
        <w:rPr>
          <w:rFonts w:ascii="Athiti" w:eastAsia="Athiti" w:hAnsi="Athiti" w:cs="Athiti"/>
          <w:lang w:val="cs-CZ"/>
        </w:rPr>
      </w:pPr>
      <w:r w:rsidRPr="00C11998">
        <w:rPr>
          <w:rFonts w:ascii="Athiti" w:eastAsia="Athiti" w:hAnsi="Athiti" w:cs="Athiti"/>
          <w:lang w:val="cs-CZ"/>
        </w:rPr>
        <w:t>Společnost povede podrobné a přesné finanční záznamy a zavede přiměřené vnitřní kontrolní mechanismy, které budou sloužit jako důkaz o všech provedených platbách.</w:t>
      </w:r>
    </w:p>
    <w:p w:rsidR="009E7B24" w:rsidRPr="00C11998" w:rsidRDefault="009E7B24" w:rsidP="009E7B24">
      <w:pPr>
        <w:pStyle w:val="normal"/>
        <w:widowControl w:val="0"/>
        <w:spacing w:before="11" w:after="0" w:line="237" w:lineRule="auto"/>
        <w:ind w:left="749"/>
        <w:jc w:val="left"/>
        <w:rPr>
          <w:rFonts w:ascii="Athiti" w:eastAsia="Athiti" w:hAnsi="Athiti" w:cs="Athiti"/>
          <w:lang w:val="cs-CZ"/>
        </w:rPr>
      </w:pPr>
    </w:p>
    <w:p w:rsidR="009E7B24" w:rsidRPr="00C11998" w:rsidRDefault="009E7B24" w:rsidP="009E7B24">
      <w:pPr>
        <w:pStyle w:val="normal"/>
        <w:widowControl w:val="0"/>
        <w:spacing w:before="11" w:after="0" w:line="237" w:lineRule="auto"/>
        <w:ind w:left="749"/>
        <w:jc w:val="left"/>
        <w:rPr>
          <w:rFonts w:ascii="Athiti" w:eastAsia="Athiti" w:hAnsi="Athiti" w:cs="Athiti"/>
          <w:lang w:val="cs-CZ"/>
        </w:rPr>
      </w:pPr>
      <w:r w:rsidRPr="00C11998">
        <w:rPr>
          <w:rFonts w:ascii="Athiti" w:eastAsia="Athiti" w:hAnsi="Athiti" w:cs="Athiti"/>
          <w:lang w:val="cs-CZ"/>
        </w:rPr>
        <w:t>Společnost bude oznamovat a vést písemné záznamy o hodnotě a účelu veškerých darů a pohostinnosti, které byly poskytnuty nebo přijaty, a je si vědoma, že tyto dary a projevy pohostinnosti podléhají kontrole ze strany vedení společnosti.</w:t>
      </w:r>
    </w:p>
    <w:p w:rsidR="009E7B24" w:rsidRPr="00C11998" w:rsidRDefault="009E7B24" w:rsidP="009E7B24">
      <w:pPr>
        <w:pStyle w:val="normal"/>
        <w:widowControl w:val="0"/>
        <w:spacing w:before="59" w:after="0" w:line="240" w:lineRule="auto"/>
        <w:jc w:val="left"/>
        <w:rPr>
          <w:rFonts w:ascii="Athiti" w:eastAsia="Athiti" w:hAnsi="Athiti" w:cs="Athiti"/>
          <w:lang w:val="cs-CZ"/>
        </w:rPr>
      </w:pPr>
    </w:p>
    <w:p w:rsidR="009E7B24" w:rsidRPr="00C11998" w:rsidRDefault="009E7B24" w:rsidP="009E7B24">
      <w:pPr>
        <w:pStyle w:val="Nadpis1"/>
        <w:keepNext w:val="0"/>
        <w:keepLines w:val="0"/>
        <w:widowControl w:val="0"/>
        <w:numPr>
          <w:ilvl w:val="0"/>
          <w:numId w:val="1"/>
        </w:numPr>
        <w:tabs>
          <w:tab w:val="left" w:pos="731"/>
        </w:tabs>
        <w:spacing w:before="0" w:after="0" w:line="240" w:lineRule="auto"/>
        <w:ind w:hanging="719"/>
        <w:jc w:val="left"/>
        <w:rPr>
          <w:rFonts w:ascii="Athiti" w:eastAsia="Athiti" w:hAnsi="Athiti" w:cs="Athiti"/>
          <w:sz w:val="28"/>
          <w:szCs w:val="28"/>
          <w:lang w:val="cs-CZ"/>
        </w:rPr>
      </w:pPr>
      <w:bookmarkStart w:id="12" w:name="_heading=h.dvbohhhzifd0" w:colFirst="0" w:colLast="0"/>
      <w:bookmarkEnd w:id="12"/>
      <w:r w:rsidRPr="00C11998">
        <w:rPr>
          <w:rFonts w:ascii="Athiti" w:eastAsia="Athiti" w:hAnsi="Athiti" w:cs="Athiti"/>
          <w:sz w:val="28"/>
          <w:szCs w:val="28"/>
          <w:lang w:val="cs-CZ"/>
        </w:rPr>
        <w:t>Monitoring a přezkum</w:t>
      </w: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r w:rsidRPr="00C11998">
        <w:rPr>
          <w:rFonts w:ascii="Athiti" w:eastAsia="Athiti" w:hAnsi="Athiti" w:cs="Athiti"/>
          <w:lang w:val="cs-CZ"/>
        </w:rPr>
        <w:t>Za sledování účinnosti této politiky odpovídá compliance manažer společnosti, který bude pravidelně vyhodnocovat její implementaci. Bude posuzovat vhodnost, přiměřenost a účinnost této politiky v praxi.</w:t>
      </w: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r w:rsidRPr="00C11998">
        <w:rPr>
          <w:rFonts w:ascii="Athiti" w:eastAsia="Athiti" w:hAnsi="Athiti" w:cs="Athiti"/>
          <w:lang w:val="cs-CZ"/>
        </w:rPr>
        <w:t>Interní kontrolní mechanismy a postupy určené k prevenci úplatkářství a korupce budou podrobovány pravidelným auditům, aby bylo zajištěno, že fungují efektivně.</w:t>
      </w: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r w:rsidRPr="00C11998">
        <w:rPr>
          <w:rFonts w:ascii="Athiti" w:eastAsia="Athiti" w:hAnsi="Athiti" w:cs="Athiti"/>
          <w:lang w:val="cs-CZ"/>
        </w:rPr>
        <w:t>Jakákoliv potřeba zlepšení bude zavedena co nejdříve.</w:t>
      </w: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r w:rsidRPr="00C11998">
        <w:rPr>
          <w:rFonts w:ascii="Athiti" w:eastAsia="Athiti" w:hAnsi="Athiti" w:cs="Athiti"/>
          <w:lang w:val="cs-CZ"/>
        </w:rPr>
        <w:t>Zaměstnanci jsou vyzýváni, aby sdíleli zpětnou vazbu k této politice, zejména pokud mají návrhy na její zlepšení. Takové podněty by měly být adresovány compliance manažerovi.</w:t>
      </w: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p>
    <w:p w:rsidR="009E7B24" w:rsidRPr="00C11998" w:rsidRDefault="009E7B24" w:rsidP="009E7B24">
      <w:pPr>
        <w:pStyle w:val="normal"/>
        <w:widowControl w:val="0"/>
        <w:spacing w:before="9" w:after="0" w:line="240" w:lineRule="auto"/>
        <w:ind w:left="749"/>
        <w:jc w:val="left"/>
        <w:rPr>
          <w:rFonts w:ascii="Athiti" w:eastAsia="Athiti" w:hAnsi="Athiti" w:cs="Athiti"/>
          <w:lang w:val="cs-CZ"/>
        </w:rPr>
      </w:pPr>
      <w:r w:rsidRPr="00C11998">
        <w:rPr>
          <w:rFonts w:ascii="Athiti" w:eastAsia="Athiti" w:hAnsi="Athiti" w:cs="Athiti"/>
          <w:lang w:val="cs-CZ"/>
        </w:rPr>
        <w:t>Tato politika není součástí pracovní smlouvy zaměstnance a společnost si vyhrazuje právo ji kdykoli upravit, pokud to bude nutné pro zvýšení její účinnosti v boji proti úplatkářství a korupci.</w:t>
      </w:r>
    </w:p>
    <w:p w:rsidR="00B06DB5" w:rsidRPr="00C11998" w:rsidRDefault="00B06DB5">
      <w:pPr>
        <w:rPr>
          <w:lang w:val="cs-CZ"/>
        </w:rPr>
      </w:pPr>
    </w:p>
    <w:sectPr w:rsidR="00B06DB5" w:rsidRPr="00C11998" w:rsidSect="009248D7">
      <w:pgSz w:w="11906" w:h="16838"/>
      <w:pgMar w:top="1180" w:right="708" w:bottom="1040" w:left="708" w:header="0" w:footer="8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437" w:rsidRDefault="00B94437" w:rsidP="0083665A">
      <w:pPr>
        <w:spacing w:after="0" w:line="240" w:lineRule="auto"/>
      </w:pPr>
      <w:r>
        <w:separator/>
      </w:r>
    </w:p>
  </w:endnote>
  <w:endnote w:type="continuationSeparator" w:id="1">
    <w:p w:rsidR="00B94437" w:rsidRDefault="00B94437" w:rsidP="00836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D7" w:rsidRDefault="00C11998">
    <w:pPr>
      <w:pStyle w:val="normal"/>
      <w:tabs>
        <w:tab w:val="center" w:pos="4677"/>
        <w:tab w:val="right" w:pos="9355"/>
      </w:tabs>
      <w:spacing w:after="0" w:line="240" w:lineRule="auto"/>
      <w:jc w:val="center"/>
    </w:pPr>
    <w:r>
      <w:rPr>
        <w:noProof/>
      </w:rPr>
      <w:drawing>
        <wp:inline distT="0" distB="0" distL="0" distR="0">
          <wp:extent cx="5514975" cy="92710"/>
          <wp:effectExtent l="0" t="0" r="0" b="0"/>
          <wp:docPr id="11"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14975" cy="92710"/>
                  </a:xfrm>
                  <a:prstGeom prst="rect">
                    <a:avLst/>
                  </a:prstGeom>
                  <a:ln/>
                </pic:spPr>
              </pic:pic>
            </a:graphicData>
          </a:graphic>
        </wp:inline>
      </w:drawing>
    </w:r>
  </w:p>
  <w:p w:rsidR="009248D7" w:rsidRDefault="0083665A">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C11998">
      <w:rPr>
        <w:rFonts w:ascii="Athiti" w:eastAsia="Athiti" w:hAnsi="Athiti" w:cs="Athiti"/>
      </w:rPr>
      <w:instrText>PAGE</w:instrText>
    </w:r>
    <w:r>
      <w:rPr>
        <w:rFonts w:ascii="Athiti" w:eastAsia="Athiti" w:hAnsi="Athiti" w:cs="Athiti"/>
      </w:rPr>
      <w:fldChar w:fldCharType="separate"/>
    </w:r>
    <w:r w:rsidR="00BD620C">
      <w:rPr>
        <w:rFonts w:ascii="Athiti" w:eastAsia="Athiti" w:hAnsi="Athiti" w:cs="Athiti"/>
        <w:noProof/>
      </w:rPr>
      <w:t>1</w:t>
    </w:r>
    <w:r>
      <w:rPr>
        <w:rFonts w:ascii="Athiti" w:eastAsia="Athiti" w:hAnsi="Athiti" w:cs="Athiti"/>
      </w:rPr>
      <w:fldChar w:fldCharType="end"/>
    </w:r>
  </w:p>
  <w:p w:rsidR="009248D7" w:rsidRDefault="00B94437">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437" w:rsidRDefault="00B94437" w:rsidP="0083665A">
      <w:pPr>
        <w:spacing w:after="0" w:line="240" w:lineRule="auto"/>
      </w:pPr>
      <w:r>
        <w:separator/>
      </w:r>
    </w:p>
  </w:footnote>
  <w:footnote w:type="continuationSeparator" w:id="1">
    <w:p w:rsidR="00B94437" w:rsidRDefault="00B94437" w:rsidP="008366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D7" w:rsidRDefault="00C11998">
    <w:pPr>
      <w:pStyle w:val="normal"/>
    </w:pPr>
    <w:r>
      <w:rPr>
        <w:noProof/>
      </w:rPr>
      <w:drawing>
        <wp:anchor distT="0" distB="0" distL="114300" distR="114300" simplePos="0" relativeHeight="251659264" behindDoc="0" locked="0" layoutInCell="1" allowOverlap="1">
          <wp:simplePos x="0" y="0"/>
          <wp:positionH relativeFrom="page">
            <wp:posOffset>-19043</wp:posOffset>
          </wp:positionH>
          <wp:positionV relativeFrom="page">
            <wp:posOffset>-19043</wp:posOffset>
          </wp:positionV>
          <wp:extent cx="128100" cy="1076610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D7" w:rsidRDefault="00C11998">
    <w:pPr>
      <w:pStyle w:val="normal"/>
    </w:pPr>
    <w:r>
      <w:rPr>
        <w:noProof/>
      </w:rPr>
      <w:drawing>
        <wp:anchor distT="0" distB="0" distL="114300" distR="114300" simplePos="0" relativeHeight="251660288" behindDoc="0" locked="0" layoutInCell="1" allowOverlap="1">
          <wp:simplePos x="0" y="0"/>
          <wp:positionH relativeFrom="page">
            <wp:posOffset>-19043</wp:posOffset>
          </wp:positionH>
          <wp:positionV relativeFrom="page">
            <wp:posOffset>-19043</wp:posOffset>
          </wp:positionV>
          <wp:extent cx="128100" cy="107661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915ED"/>
    <w:multiLevelType w:val="multilevel"/>
    <w:tmpl w:val="C310EF4A"/>
    <w:lvl w:ilvl="0">
      <w:start w:val="1"/>
      <w:numFmt w:val="decimal"/>
      <w:lvlText w:val="%1."/>
      <w:lvlJc w:val="left"/>
      <w:pPr>
        <w:ind w:left="731" w:hanging="720"/>
      </w:pPr>
      <w:rPr>
        <w:u w:val="none"/>
      </w:rPr>
    </w:lvl>
    <w:lvl w:ilvl="1">
      <w:start w:val="1"/>
      <w:numFmt w:val="decimal"/>
      <w:lvlText w:val="%1.%2"/>
      <w:lvlJc w:val="left"/>
      <w:pPr>
        <w:ind w:left="1253" w:hanging="505"/>
      </w:pPr>
      <w:rPr>
        <w:u w:val="none"/>
      </w:rPr>
    </w:lvl>
    <w:lvl w:ilvl="2">
      <w:numFmt w:val="bullet"/>
      <w:lvlText w:val="•"/>
      <w:lvlJc w:val="left"/>
      <w:pPr>
        <w:ind w:left="2171" w:hanging="505"/>
      </w:pPr>
      <w:rPr>
        <w:u w:val="none"/>
      </w:rPr>
    </w:lvl>
    <w:lvl w:ilvl="3">
      <w:numFmt w:val="bullet"/>
      <w:lvlText w:val="•"/>
      <w:lvlJc w:val="left"/>
      <w:pPr>
        <w:ind w:left="1060" w:hanging="505"/>
      </w:pPr>
      <w:rPr>
        <w:u w:val="none"/>
      </w:rPr>
    </w:lvl>
    <w:lvl w:ilvl="4">
      <w:numFmt w:val="bullet"/>
      <w:lvlText w:val="•"/>
      <w:lvlJc w:val="left"/>
      <w:pPr>
        <w:ind w:left="1080" w:hanging="505"/>
      </w:pPr>
      <w:rPr>
        <w:u w:val="none"/>
      </w:rPr>
    </w:lvl>
    <w:lvl w:ilvl="5">
      <w:numFmt w:val="bullet"/>
      <w:lvlText w:val="•"/>
      <w:lvlJc w:val="left"/>
      <w:pPr>
        <w:ind w:left="1100" w:hanging="505"/>
      </w:pPr>
      <w:rPr>
        <w:u w:val="none"/>
      </w:rPr>
    </w:lvl>
    <w:lvl w:ilvl="6">
      <w:numFmt w:val="bullet"/>
      <w:lvlText w:val="•"/>
      <w:lvlJc w:val="left"/>
      <w:pPr>
        <w:ind w:left="1140" w:hanging="505"/>
      </w:pPr>
      <w:rPr>
        <w:u w:val="none"/>
      </w:rPr>
    </w:lvl>
    <w:lvl w:ilvl="7">
      <w:numFmt w:val="bullet"/>
      <w:lvlText w:val="•"/>
      <w:lvlJc w:val="left"/>
      <w:pPr>
        <w:ind w:left="1260" w:hanging="505"/>
      </w:pPr>
      <w:rPr>
        <w:u w:val="none"/>
      </w:rPr>
    </w:lvl>
    <w:lvl w:ilvl="8">
      <w:numFmt w:val="bullet"/>
      <w:lvlText w:val="•"/>
      <w:lvlJc w:val="left"/>
      <w:pPr>
        <w:ind w:left="2180" w:hanging="505"/>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7B24"/>
    <w:rsid w:val="001F0902"/>
    <w:rsid w:val="00267770"/>
    <w:rsid w:val="005811F2"/>
    <w:rsid w:val="005B168A"/>
    <w:rsid w:val="005D1759"/>
    <w:rsid w:val="0083665A"/>
    <w:rsid w:val="009D0A5F"/>
    <w:rsid w:val="009E7B24"/>
    <w:rsid w:val="00B01FD2"/>
    <w:rsid w:val="00B06DB5"/>
    <w:rsid w:val="00B94437"/>
    <w:rsid w:val="00BD620C"/>
    <w:rsid w:val="00C11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7B24"/>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9E7B24"/>
    <w:pPr>
      <w:keepNext/>
      <w:keepLines/>
      <w:spacing w:before="360" w:after="240"/>
      <w:outlineLvl w:val="0"/>
    </w:pPr>
    <w:rPr>
      <w:rFonts w:ascii="Calibri" w:eastAsia="Calibri" w:hAnsi="Calibri" w:cs="Calibri"/>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7B24"/>
    <w:rPr>
      <w:rFonts w:ascii="Calibri" w:eastAsia="Calibri" w:hAnsi="Calibri" w:cs="Calibri"/>
      <w:b/>
      <w:sz w:val="36"/>
      <w:szCs w:val="36"/>
    </w:rPr>
  </w:style>
  <w:style w:type="paragraph" w:customStyle="1" w:styleId="normal">
    <w:name w:val="normal"/>
    <w:rsid w:val="009E7B24"/>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9E7B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7B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2255</Words>
  <Characters>12854</Characters>
  <Application>Microsoft Office Word</Application>
  <DocSecurity>0</DocSecurity>
  <Lines>107</Lines>
  <Paragraphs>30</Paragraphs>
  <ScaleCrop>false</ScaleCrop>
  <Company/>
  <LinksUpToDate>false</LinksUpToDate>
  <CharactersWithSpaces>15079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4</cp:revision>
  <dcterms:created xsi:type="dcterms:W3CDTF">2025-07-27T21:59:00Z</dcterms:created>
  <dcterms:modified xsi:type="dcterms:W3CDTF">2025-07-30T18:10:00Z</dcterms:modified>
</cp:coreProperties>
</file>