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b/>
          <w:sz w:val="48"/>
          <w:szCs w:val="48"/>
          <w:lang w:val="cs-CZ"/>
        </w:rPr>
      </w:pP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b/>
          <w:sz w:val="48"/>
          <w:szCs w:val="48"/>
          <w:lang w:val="cs-CZ"/>
        </w:rPr>
      </w:pP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b/>
          <w:sz w:val="48"/>
          <w:szCs w:val="48"/>
          <w:lang w:val="cs-CZ"/>
        </w:rPr>
      </w:pP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b/>
          <w:sz w:val="48"/>
          <w:szCs w:val="48"/>
          <w:lang w:val="cs-CZ"/>
        </w:rPr>
      </w:pP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b/>
          <w:sz w:val="48"/>
          <w:szCs w:val="48"/>
          <w:lang w:val="cs-CZ"/>
        </w:rPr>
      </w:pP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b/>
          <w:sz w:val="48"/>
          <w:szCs w:val="48"/>
          <w:lang w:val="cs-CZ"/>
        </w:rPr>
      </w:pPr>
      <w:r w:rsidRPr="00AD0D77">
        <w:rPr>
          <w:rFonts w:ascii="Athiti" w:eastAsia="Athiti" w:hAnsi="Athiti" w:cs="Athiti"/>
          <w:b/>
          <w:sz w:val="48"/>
          <w:szCs w:val="48"/>
          <w:lang w:val="cs-CZ"/>
        </w:rPr>
        <w:t>Řídicí a dozorové struktury podle nařízení DORA pro poskytovatele služeb souvisejících s kryptoměnami</w:t>
      </w:r>
    </w:p>
    <w:p w:rsidR="00AD0D77" w:rsidRP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P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P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P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P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P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P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P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P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P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P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P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P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P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P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P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P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P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P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P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P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P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P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P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2665"/>
        <w:gridCol w:w="6695"/>
      </w:tblGrid>
      <w:tr w:rsidR="00AD0D77" w:rsidRPr="00AD0D77" w:rsidTr="00404F9E">
        <w:trPr>
          <w:cantSplit/>
          <w:trHeight w:val="515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jc w:val="center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b/>
                <w:lang w:val="cs-CZ"/>
              </w:rPr>
              <w:t>Pojem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jc w:val="center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b/>
                <w:lang w:val="cs-CZ"/>
              </w:rPr>
              <w:t>Definice</w:t>
            </w:r>
          </w:p>
        </w:tc>
      </w:tr>
      <w:tr w:rsidR="00AD0D77" w:rsidRPr="00AD0D77" w:rsidTr="00404F9E">
        <w:trPr>
          <w:cantSplit/>
          <w:trHeight w:val="785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b/>
                <w:lang w:val="cs-CZ"/>
              </w:rPr>
              <w:t>Řídicí orgán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lang w:val="cs-CZ"/>
              </w:rPr>
              <w:t>Nejvyšší rozhodovací orgán společnosti odpovědný za dohled nad řízením rizik v oblasti IKT.</w:t>
            </w:r>
          </w:p>
        </w:tc>
      </w:tr>
      <w:tr w:rsidR="00AD0D77" w:rsidRPr="00AD0D77" w:rsidTr="00404F9E">
        <w:trPr>
          <w:cantSplit/>
          <w:trHeight w:val="1070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b/>
                <w:lang w:val="cs-CZ"/>
              </w:rPr>
              <w:t>ICT riziko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lang w:val="cs-CZ"/>
              </w:rPr>
              <w:t>Riziko vyplývající z využívání informačních a komunikačních technologií, které může negativně ovlivnit provozní schopnosti společnosti.</w:t>
            </w:r>
          </w:p>
        </w:tc>
      </w:tr>
      <w:tr w:rsidR="00AD0D77" w:rsidRPr="00AD0D77" w:rsidTr="00404F9E">
        <w:trPr>
          <w:cantSplit/>
          <w:trHeight w:val="785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b/>
                <w:lang w:val="cs-CZ"/>
              </w:rPr>
              <w:t>Digitální provozní odolnost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lang w:val="cs-CZ"/>
              </w:rPr>
              <w:t>Schopnost společnosti odolat, reagovat na, zotavit se a přizpůsobit se IKT incidentům.</w:t>
            </w:r>
          </w:p>
        </w:tc>
      </w:tr>
      <w:tr w:rsidR="00AD0D77" w:rsidRPr="00AD0D77" w:rsidTr="00404F9E">
        <w:trPr>
          <w:cantSplit/>
          <w:trHeight w:val="785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b/>
                <w:lang w:val="cs-CZ"/>
              </w:rPr>
              <w:t>Outsourcing IKT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lang w:val="cs-CZ"/>
              </w:rPr>
              <w:t>Zajištění služeb informačních technologií prostřednictvím třetích stran.</w:t>
            </w:r>
          </w:p>
        </w:tc>
      </w:tr>
      <w:tr w:rsidR="00AD0D77" w:rsidRPr="00AD0D77" w:rsidTr="00404F9E">
        <w:trPr>
          <w:cantSplit/>
          <w:trHeight w:val="785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b/>
                <w:lang w:val="cs-CZ"/>
              </w:rPr>
              <w:t>Riziko koncentrace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lang w:val="cs-CZ"/>
              </w:rPr>
              <w:t>Zvýšená závislost na omezeném počtu dodavatelů, která může vést k systémovému selhání.</w:t>
            </w:r>
          </w:p>
        </w:tc>
      </w:tr>
      <w:tr w:rsidR="00AD0D77" w:rsidRPr="00AD0D77" w:rsidTr="00404F9E">
        <w:trPr>
          <w:cantSplit/>
          <w:trHeight w:val="785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b/>
                <w:lang w:val="cs-CZ"/>
              </w:rPr>
              <w:t>Klíčová smluvní ustanovení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lang w:val="cs-CZ"/>
              </w:rPr>
              <w:t>Závazné podmínky smluv s poskytovateli služeb, které zajišťují kontinuitu, auditovatelnost a regulatorní soulad.</w:t>
            </w:r>
          </w:p>
        </w:tc>
      </w:tr>
      <w:tr w:rsidR="00AD0D77" w:rsidRPr="00AD0D77" w:rsidTr="00404F9E">
        <w:trPr>
          <w:cantSplit/>
          <w:trHeight w:val="785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b/>
                <w:lang w:val="cs-CZ"/>
              </w:rPr>
              <w:t>Registr IKT služeb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lang w:val="cs-CZ"/>
              </w:rPr>
              <w:t>Centrálně vedený záznam všech smluv s externími poskytovateli IKT služeb.</w:t>
            </w:r>
          </w:p>
        </w:tc>
      </w:tr>
      <w:tr w:rsidR="00AD0D77" w:rsidRPr="00AD0D77" w:rsidTr="00404F9E">
        <w:trPr>
          <w:cantSplit/>
          <w:trHeight w:val="785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b/>
                <w:lang w:val="cs-CZ"/>
              </w:rPr>
              <w:t>Testování digitální odolnosti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lang w:val="cs-CZ"/>
              </w:rPr>
              <w:t>Pravidelné testování IKT systémů zaměřené na ověření schopnosti odolávat provozním a kybernetickým hrozbám.</w:t>
            </w:r>
          </w:p>
        </w:tc>
      </w:tr>
      <w:tr w:rsidR="00AD0D77" w:rsidRPr="00AD0D77" w:rsidTr="00404F9E">
        <w:trPr>
          <w:cantSplit/>
          <w:trHeight w:val="785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b/>
                <w:lang w:val="cs-CZ"/>
              </w:rPr>
              <w:t>TLPT (Threat-Led Penetration Testing)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lang w:val="cs-CZ"/>
              </w:rPr>
              <w:t>Testování formou simulace reálných kybernetických útoků prováděné nezávislými odborníky.</w:t>
            </w:r>
          </w:p>
        </w:tc>
      </w:tr>
      <w:tr w:rsidR="00AD0D77" w:rsidRPr="00AD0D77" w:rsidTr="00404F9E">
        <w:trPr>
          <w:cantSplit/>
          <w:trHeight w:val="785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b/>
                <w:lang w:val="cs-CZ"/>
              </w:rPr>
              <w:t>SSDLC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lang w:val="cs-CZ"/>
              </w:rPr>
              <w:t>Bezpečný životní cyklus vývoje softwaru zahrnující bezpečnostní kontroly v každé fázi vývoje.</w:t>
            </w:r>
          </w:p>
        </w:tc>
      </w:tr>
      <w:tr w:rsidR="00AD0D77" w:rsidRPr="00AD0D77" w:rsidTr="00404F9E">
        <w:trPr>
          <w:cantSplit/>
          <w:trHeight w:val="515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b/>
                <w:lang w:val="cs-CZ"/>
              </w:rPr>
              <w:t>RBAC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lang w:val="cs-CZ"/>
              </w:rPr>
              <w:t>Model řízení přístupových práv založený na rolích uživatelů.</w:t>
            </w:r>
          </w:p>
        </w:tc>
      </w:tr>
      <w:tr w:rsidR="00AD0D77" w:rsidRPr="00AD0D77" w:rsidTr="00404F9E">
        <w:trPr>
          <w:cantSplit/>
          <w:trHeight w:val="785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b/>
                <w:lang w:val="cs-CZ"/>
              </w:rPr>
              <w:lastRenderedPageBreak/>
              <w:t>MFA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lang w:val="cs-CZ"/>
              </w:rPr>
              <w:t>Vícefaktorová autentizace – způsob ověření identity vyžadující více než jeden ověřovací prvek.</w:t>
            </w:r>
          </w:p>
        </w:tc>
      </w:tr>
      <w:tr w:rsidR="00AD0D77" w:rsidRPr="00AD0D77" w:rsidTr="00404F9E">
        <w:trPr>
          <w:cantSplit/>
          <w:trHeight w:val="785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b/>
                <w:lang w:val="cs-CZ"/>
              </w:rPr>
              <w:t>Kritická služba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lang w:val="cs-CZ"/>
              </w:rPr>
              <w:t>Služba IKT, jejíž výpadek by měl zásadní dopad na poskytování služeb společnosti.</w:t>
            </w:r>
          </w:p>
        </w:tc>
      </w:tr>
      <w:tr w:rsidR="00AD0D77" w:rsidRPr="00AD0D77" w:rsidTr="00404F9E">
        <w:trPr>
          <w:cantSplit/>
          <w:trHeight w:val="785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b/>
                <w:lang w:val="cs-CZ"/>
              </w:rPr>
              <w:t>Výbor pro řízení rizik IKT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lang w:val="cs-CZ"/>
              </w:rPr>
              <w:t>Interní orgán odpovědný za schvalování a dohled nad opatřeními v oblasti IKT rizik.</w:t>
            </w:r>
          </w:p>
        </w:tc>
      </w:tr>
      <w:tr w:rsidR="00AD0D77" w:rsidRPr="00AD0D77" w:rsidTr="00404F9E">
        <w:trPr>
          <w:cantSplit/>
          <w:trHeight w:val="785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b/>
                <w:lang w:val="cs-CZ"/>
              </w:rPr>
              <w:t>Compliance funkce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D77" w:rsidRPr="00AD0D77" w:rsidRDefault="00AD0D77" w:rsidP="00404F9E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AD0D77">
              <w:rPr>
                <w:rFonts w:ascii="Athiti" w:eastAsia="Athiti" w:hAnsi="Athiti" w:cs="Athiti"/>
                <w:lang w:val="cs-CZ"/>
              </w:rPr>
              <w:t>Funkce zajišťující soulad činností společnosti s regulatorními požadavky.</w:t>
            </w:r>
          </w:p>
        </w:tc>
      </w:tr>
    </w:tbl>
    <w:p w:rsidR="00AD0D77" w:rsidRPr="00AD0D77" w:rsidRDefault="00AD0D77" w:rsidP="00AD0D77">
      <w:pPr>
        <w:pStyle w:val="normal"/>
        <w:rPr>
          <w:rFonts w:ascii="Athiti" w:eastAsia="Athiti" w:hAnsi="Athiti" w:cs="Athiti"/>
          <w:lang w:val="cs-CZ"/>
        </w:rPr>
      </w:pPr>
    </w:p>
    <w:p w:rsidR="00AD0D77" w:rsidRPr="00AD0D77" w:rsidRDefault="00AD0D77" w:rsidP="00AD0D77">
      <w:pPr>
        <w:pStyle w:val="Nadpis2"/>
        <w:spacing w:before="240" w:after="240" w:line="240" w:lineRule="auto"/>
        <w:rPr>
          <w:rFonts w:ascii="Athiti" w:eastAsia="Athiti" w:hAnsi="Athiti" w:cs="Athiti"/>
          <w:lang w:val="cs-CZ"/>
        </w:rPr>
      </w:pPr>
      <w:bookmarkStart w:id="0" w:name="_4yr5tyt08dod" w:colFirst="0" w:colLast="0"/>
      <w:bookmarkEnd w:id="0"/>
      <w:r w:rsidRPr="00AD0D77">
        <w:rPr>
          <w:rFonts w:ascii="Athiti" w:eastAsia="Athiti" w:hAnsi="Athiti" w:cs="Athiti"/>
          <w:lang w:val="cs-CZ"/>
        </w:rPr>
        <w:t>1. Požadavky na dohled ze strany řídicího orgánu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lang w:val="cs-CZ"/>
        </w:rPr>
        <w:t>V souladu s článkem 5 nařízení (EU) 2022/2554 o digitální provozní odolnosti finančního sektoru (DORA) nese řídicí orgán Společnosti konečnou odpovědnost za řádné řízení a účinný dohled nad riziky v oblasti IKT napříč všemi obchodními činnostmi, včetně těch, které jsou specifické pro poskytování služeb souvisejících s kryptoměnami.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lang w:val="cs-CZ"/>
        </w:rPr>
        <w:t>Za účelem plnění svých povinností musí řídicí orgán: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a) Stanovit a dohlížet na strategii digitální provozní odolnosti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Formálně schválit a alespoň jednou ročně přezkoumat strategii digitální provozní odolnosti Společnosti, a to tak, aby byla v souladu s vývojem hrozeb, regulatorními požadavky a obchodními cíli Společnosti.</w:t>
      </w:r>
      <w:r w:rsidRPr="00AD0D77">
        <w:rPr>
          <w:rFonts w:ascii="Athiti" w:eastAsia="Athiti" w:hAnsi="Athiti" w:cs="Athiti"/>
          <w:lang w:val="cs-CZ"/>
        </w:rPr>
        <w:br/>
        <w:t xml:space="preserve"> Zajistit, že strategie obsahuje vymezení akceptovatelné úrovně narušení IKT, klíčové ukazatele výkonnosti (KPI) a hranice rizikové tolerance vůči hrozbám souvisejícím s IKT.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b) Začlenit rizika IKT do celkového rámce řízení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Zajistit úplné začlenění rizik v oblasti IKT do celkového rámce řízení rizik a systému vnitřní kontroly, včetně provázanosti s oblastmi finančního, právního, compliance a reputačního rizika.</w:t>
      </w:r>
      <w:r w:rsidRPr="00AD0D77">
        <w:rPr>
          <w:rFonts w:ascii="Athiti" w:eastAsia="Athiti" w:hAnsi="Athiti" w:cs="Athiti"/>
          <w:lang w:val="cs-CZ"/>
        </w:rPr>
        <w:br/>
        <w:t xml:space="preserve"> Stanovit jasně vymezené role a odpovědnosti za správu rizik IKT a zajistit přímou eskalaci závažných rizik a selhání vůči řídicímu orgánu.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c) Dohlížet na reporting a výkonnost v oblasti rizik IKT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Pravidelně přijímat a přezkoumávat komplexní zprávy o incidentech v oblasti IKT, zranitelnostech, klíčových ukazatelích rizik (KRI), přijatých nápravných opatřeních a stavu provádění testů odolnosti.</w:t>
      </w:r>
      <w:r w:rsidRPr="00AD0D77">
        <w:rPr>
          <w:rFonts w:ascii="Athiti" w:eastAsia="Athiti" w:hAnsi="Athiti" w:cs="Athiti"/>
          <w:lang w:val="cs-CZ"/>
        </w:rPr>
        <w:br/>
        <w:t xml:space="preserve"> Zajistit zavedení mechanismů pro okamžitou eskalaci kritických incidentů, včetně dodržování povinných lhůt pro hlášení podle DORA (např. závažné incidenty dle článku 19).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d) Vykonávat dohled nad outsourcingem IKT a riziky třetích stran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Schvalovat uzavření, prodloužení nebo ukončení smluv s třetími stranami poskytujícími služby IKT, které jsou označeny jako kritické nebo významné.</w:t>
      </w:r>
      <w:r w:rsidRPr="00AD0D77">
        <w:rPr>
          <w:rFonts w:ascii="Athiti" w:eastAsia="Athiti" w:hAnsi="Athiti" w:cs="Athiti"/>
          <w:lang w:val="cs-CZ"/>
        </w:rPr>
        <w:br/>
        <w:t xml:space="preserve"> Zajistit, aby byla vyhodnocena a zdokumentována rizika koncentrace IKT a strategie pro ukončení spolupráce.</w:t>
      </w:r>
      <w:r w:rsidRPr="00AD0D77">
        <w:rPr>
          <w:rFonts w:ascii="Athiti" w:eastAsia="Athiti" w:hAnsi="Athiti" w:cs="Athiti"/>
          <w:lang w:val="cs-CZ"/>
        </w:rPr>
        <w:br/>
        <w:t xml:space="preserve"> Vyžadovat smluvní záruky pro zajištění kontinuity podnikání, ochrany údajů a práv k auditu.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lastRenderedPageBreak/>
        <w:t>e) Podporovat kulturu povědomí o rizicích IKT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Prosazovat shora vedenou kulturu digitální odolnosti a povědomí o rizicích IKT napříč všemi útvary Společnosti, včetně podpory bezpečného vývoje softwaru, včasné správy bezpečnostních aktualizací a silných autentizačních mechanismů.</w:t>
      </w:r>
      <w:r w:rsidRPr="00AD0D77">
        <w:rPr>
          <w:rFonts w:ascii="Athiti" w:eastAsia="Athiti" w:hAnsi="Athiti" w:cs="Athiti"/>
          <w:lang w:val="cs-CZ"/>
        </w:rPr>
        <w:br/>
        <w:t xml:space="preserve"> Vyžadovat, aby všechny útvary a zaměstnanci dodržovali principy „security-by-design“ a „resilience-by-design“ při vývoji a provozu IKT.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f) Udržovat odbornost prostřednictvím průběžného vzdělávání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Zajistit, aby všichni členové řídicího orgánu absolvovali pravidelné, rolím přiměřené školení zaměřené na rizika IKT, rámce odolnosti, kybernetické hrozby a regulatorní očekávání dle </w:t>
      </w:r>
      <w:proofErr w:type="gramStart"/>
      <w:r w:rsidRPr="00AD0D77">
        <w:rPr>
          <w:rFonts w:ascii="Athiti" w:eastAsia="Athiti" w:hAnsi="Athiti" w:cs="Athiti"/>
          <w:lang w:val="cs-CZ"/>
        </w:rPr>
        <w:t>DORA</w:t>
      </w:r>
      <w:proofErr w:type="gramEnd"/>
      <w:r w:rsidRPr="00AD0D77">
        <w:rPr>
          <w:rFonts w:ascii="Athiti" w:eastAsia="Athiti" w:hAnsi="Athiti" w:cs="Athiti"/>
          <w:lang w:val="cs-CZ"/>
        </w:rPr>
        <w:t>.</w:t>
      </w:r>
      <w:r w:rsidRPr="00AD0D77">
        <w:rPr>
          <w:rFonts w:ascii="Athiti" w:eastAsia="Athiti" w:hAnsi="Athiti" w:cs="Athiti"/>
          <w:lang w:val="cs-CZ"/>
        </w:rPr>
        <w:br/>
        <w:t xml:space="preserve"> Školení musí probíhat alespoň jednou ročně a při nástupu nového člena řídicího orgánu, a musí zahrnovat aktualizace týkající se nově vznikajících hrozeb (např. hrozby kvantových výpočtů, zranitelnosti blockchainových protokolů).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g) Dokumentovat a prokazovat dohledové činnosti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Vést formální záznamy o všech rozhodnutích, schváleních, přezkumech a zprávách o rizicích předkládaných řídicímu orgánu v souvislosti s riziky IKT a digitální odolností.</w:t>
      </w:r>
      <w:r w:rsidRPr="00AD0D77">
        <w:rPr>
          <w:rFonts w:ascii="Athiti" w:eastAsia="Athiti" w:hAnsi="Athiti" w:cs="Athiti"/>
          <w:lang w:val="cs-CZ"/>
        </w:rPr>
        <w:br/>
        <w:t xml:space="preserve"> Být připraveni prokázat příslušným orgánům, na jejich žádost, jakým způsobem byl výkon dohledu a odpovědnosti vykonáván v souladu s článkem 5 DORA.</w:t>
      </w:r>
    </w:p>
    <w:p w:rsidR="00AD0D77" w:rsidRPr="00AD0D77" w:rsidRDefault="00AD0D77" w:rsidP="00AD0D77">
      <w:pPr>
        <w:pStyle w:val="Nadpis2"/>
        <w:spacing w:before="240" w:after="240" w:line="240" w:lineRule="auto"/>
        <w:rPr>
          <w:rFonts w:ascii="Athiti" w:eastAsia="Athiti" w:hAnsi="Athiti" w:cs="Athiti"/>
          <w:lang w:val="cs-CZ"/>
        </w:rPr>
      </w:pPr>
      <w:bookmarkStart w:id="1" w:name="_g5ve04ctttiy" w:colFirst="0" w:colLast="0"/>
      <w:bookmarkEnd w:id="1"/>
      <w:r w:rsidRPr="00AD0D77">
        <w:rPr>
          <w:rFonts w:ascii="Athiti" w:eastAsia="Athiti" w:hAnsi="Athiti" w:cs="Athiti"/>
          <w:lang w:val="cs-CZ"/>
        </w:rPr>
        <w:t>2. Požadavky na auditory v oblasti IKT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lang w:val="cs-CZ"/>
        </w:rPr>
        <w:t>V souladu s články 6 odst. 2 písm. d) a 28 odst. 9 nařízení DORA Společnost zajišťuje, aby všichni auditoři zapojení do provádění auditů v oblasti informačních a komunikačních technologií (IKT) disponovali odpovídající odborností, nezávislostí a kapacitami potřebnými k důkladnému posouzení rámce digitální provozní odolnosti, včetně technologických a bezpečnostních kontrol nad provozem souvisejícím s kryptoaktivy.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a) Kvalifikace a nezávislost auditorů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Společnost spolupracuje výhradně s auditory, kteří mají prokazatelnou zkušenost s hodnocením řízení rizik v oblasti IKT, kryptografickou správou klíčů, kybernetickou bezpečností a infrastrukturou založenou na blockchainových technologiích. Aby byla zajištěna objektivita a nezávislost, musí být veškeré auditorské činnosti prováděny bez střetu zájmů a vyloučením jakéhokoliv vlivu ze strany interních subjektů. Externí auditoři by měli být pravidelně obměňováni – například každé tři roky – aby se předešlo profesní setrvačnosti a podpořil se nový pohled na kontrolované oblasti.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b) Rozsah odpovědností v oblasti auditu IKT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Auditoři hodnotí návrh, implementaci a účinnost technických i organizačních kontrol v rámci ICT systémů a databází, řešení pro úschovu kryptoaktiv (včetně oddělení hot/warm/cold peněženek), správy klíčů a vícefázového podepisování, stejně jako rozhraní s blockchainovými nástroji, chytrými kontrakty a službami třetích stran. Součástí auditu je rovněž revize relevantních vnitřních politik a procesů – například politik informační bezpečnosti, plánů kontinuity provozu a obnovy po havárii, procesů správy změn a záplat, opatření proti ztrátě dat nebo postupů pro bezpečný vývoj softwaru. Auditoři dále kontrolují registr ICT rizik a analýzy závažných incidentů včetně záznamů o zásazích a nápravných opatřeních a ověřují schopnost společnosti detekovat a zvládat kybernetické hrozby v reálném čase. Zvláštní pozornost je věnována ověření souladu s požadavky DORA, zejména v oblastech ohlašování incidentů (čl. 19), provádění pravidelného testování odolnosti (čl. 24–27), vedení dokumentace o rizicích třetích stran (čl. 28–30) a dostupnosti auditní stopy a dokumentace systémové architektury (čl. 5 odst. 8).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c) Reporting a eskalace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Výsledky všech auditů, ať už provedených interně či externě, musí být řádně zaznamenány, včetně určení </w:t>
      </w:r>
      <w:r w:rsidRPr="00AD0D77">
        <w:rPr>
          <w:rFonts w:ascii="Athiti" w:eastAsia="Athiti" w:hAnsi="Athiti" w:cs="Athiti"/>
          <w:lang w:val="cs-CZ"/>
        </w:rPr>
        <w:lastRenderedPageBreak/>
        <w:t>závažnosti nálezů (např. kritické, vysoké, střední, nízké), stanovení odpovědné osoby, lhůty pro nápravu a harmonogramu následného sledování. Tyto výstupy jsou předkládány řídicímu orgánu v souladu s vnitřními pravidly pro správu a řízení a dále evidovány v samostatném registru auditů, který je pravidelně přezkoumáván v rámci čtvrtletních jednání týkajících se ICT governance.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d) Přístup pro dohledové a regulační orgány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Na žádost příslušných orgánů dohledu je Společnost povinna poskytnout úplnou auditorskou dokumentaci včetně podpůrných materiálů, doložit, jak byla nápravná opatření provedena, a umožnit vzdálený nebo osobní přístup k relevantním systémům za podmínek zachování důvěrnosti a souladu s pravidly ochrany osobních údajů.</w:t>
      </w:r>
    </w:p>
    <w:p w:rsidR="00AD0D77" w:rsidRPr="00AD0D77" w:rsidRDefault="00AD0D77" w:rsidP="00AD0D77">
      <w:pPr>
        <w:pStyle w:val="Nadpis2"/>
        <w:spacing w:before="240" w:after="240" w:line="240" w:lineRule="auto"/>
        <w:rPr>
          <w:rFonts w:ascii="Athiti" w:eastAsia="Athiti" w:hAnsi="Athiti" w:cs="Athiti"/>
          <w:lang w:val="cs-CZ"/>
        </w:rPr>
      </w:pPr>
      <w:bookmarkStart w:id="2" w:name="_ed7pueveh0tw" w:colFirst="0" w:colLast="0"/>
      <w:bookmarkEnd w:id="2"/>
      <w:r w:rsidRPr="00AD0D77">
        <w:rPr>
          <w:rFonts w:ascii="Athiti" w:eastAsia="Athiti" w:hAnsi="Athiti" w:cs="Athiti"/>
          <w:lang w:val="cs-CZ"/>
        </w:rPr>
        <w:t>3. Předběžné posouzení rizika koncentrace v oblasti IKT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lang w:val="cs-CZ"/>
        </w:rPr>
        <w:t>V souladu s článkem 28 odst. 2 písm. b) a c) nařízení DORA provádí Společnost předběžné posouzení rizika koncentrace v oblasti informačních a komunikačních technologií (IKT) před uzavřením, změnou nebo obnovením jakéhokoliv smluvního vztahu s poskytovateli služeb v oblasti IKT, zejména pokud jsou tito poskytovatelé klasifikováni jako kritičtí nebo významní. Toto posouzení je povinnou součástí interního schvalovacího procesu v oblasti řízení rizik IKT a jeho cílem je zajistit kontinuitu podnikání, provozní nezávislost a systémovou odolnost.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a) Identifikace rizika koncentrace v oblasti IKT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Společnost přezkoumává své portfolio současných a potenciálních poskytovatelů IKT služeb s cílem identifikovat závislosti na omezeném počtu dodavatelů, zejména v oblastech jako jsou cloudová infrastruktura a úložiště, platformy pro úschovu kryptoaktiv či provozovatelé blockchainových uzlů, centra bezpečnostních operací (SOC) nebo služby kybernetického zpravodajství, případně centralizované systémy správy API a ověřovacích služeb. Mezi příznaky koncentrace patří například absence technicky proveditelných alternativ na trhu, vysoké náklady na přechod ke konkurenci nebo závislost na proprietárních technologiích a také koncentrace klíčových služeb do jednoho geografického nebo regulatorního prostředí.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b) Posouzení systémových a geopolitických rizik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Společnost hodnotí, zda závislost na konkrétním poskytovateli IKT služeb může představovat systémové riziko – například v důsledku insolvencí, kybernetických útoků nebo právních sporů. Dále se zohledňuje riziko vyplývající z geopolitické nestability, sankcí nebo obchodních omezení v zemi, odkud poskytovatel působí, či riziko tzv. regulatorní arbitráže, kdy poskytovatelé operují z jurisdikcí s nedostatečným dohledem nad kybernetickou bezpečností nebo outsourcingem. Analýza musí rovněž brát v úvahu vnitroskupinovou koncentraci, kdy více subjektů ze skupiny využívá služby téhož poskytovatele.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c) Posouzení možnosti náhrady a strategie ukončení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U každého posuzovaného poskytovatele vyhodnocuje Společnost technickou a provozní proveditelnost přechodu k alternativnímu dodavateli, odhadované náklady, potřebný časový rámec a související rizika ohrožující kontinuitu služeb. Zohledňuje se také, zda má Společnost dostatečné interní kapacity k převzetí dané funkce v případě ukončení smlouvy. Součástí posouzení je i prověření smluvních ustanovení o ukončení spolupráce, včetně zajištění přenositelnosti dat a podpory při přechodu.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d) Dokumentace a interní schvalování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Zjištění z posouzení rizika koncentrace musí být řádně zdokumentována ve standardizovaném formuláři pro interní hodnocení rizik a předložena řídicímu orgánu nebo příslušnému ICT výboru ke schválení před uzavřením nebo obnovením smlouvy. Výsledky hodnocení jsou rovněž zaevidovány v registru rizik třetích stran s přímým propojením na odpovídající smluvní ustanovení ke zmírnění rizik.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lastRenderedPageBreak/>
        <w:t>e) Pravidelná aktualizace a přezkum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Hodnocení rizika koncentrace musí být bez zbytečného odkladu aktualizováno při jakýchkoli podstatných změnách v charakteru, rozsahu nebo povaze poskytovaných IKT služeb, při významných korporátních událostech ovlivňujících poskytovatele (např. fúze nebo prodeje), nebo v případě závažných kybernetických incidentů či zásahů regulačních orgánů vůči poskytovateli. Nejpozději jednou ročně musí být expozice vůči koncentraci přehodnocena jako součást širšího cyklu přezkumu rizik třetích stran.</w:t>
      </w:r>
    </w:p>
    <w:p w:rsidR="00AD0D77" w:rsidRPr="00AD0D77" w:rsidRDefault="00AD0D77" w:rsidP="00AD0D77">
      <w:pPr>
        <w:pStyle w:val="Nadpis2"/>
        <w:spacing w:before="240" w:after="240" w:line="240" w:lineRule="auto"/>
        <w:rPr>
          <w:rFonts w:ascii="Athiti" w:eastAsia="Athiti" w:hAnsi="Athiti" w:cs="Athiti"/>
          <w:lang w:val="cs-CZ"/>
        </w:rPr>
      </w:pPr>
      <w:bookmarkStart w:id="3" w:name="_e52rpuhpnqv" w:colFirst="0" w:colLast="0"/>
      <w:bookmarkEnd w:id="3"/>
      <w:r w:rsidRPr="00AD0D77">
        <w:rPr>
          <w:rFonts w:ascii="Athiti" w:eastAsia="Athiti" w:hAnsi="Athiti" w:cs="Athiti"/>
          <w:lang w:val="cs-CZ"/>
        </w:rPr>
        <w:t>4. Klíčová smluvní ustanovení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lang w:val="cs-CZ"/>
        </w:rPr>
        <w:t>V souladu s článkem 30 nařízení DORA Společnost zajišťuje, aby všechny smlouvy s poskytovateli IKT služeb třetích stran – zejména těmi, kteří jsou klasifikováni jako kritičtí nebo významní – obsahovaly minimální soubor smluvních ustanovení, která chrání provozní kontinuitu, zajišťují regulatorní práva a zmírňují rizika vyplývající z externí spolupráce. Tato ustanovení musí být začleněna ještě před zahájením poskytování služeb a jejich konečné znění podléhá povinnému právnímu a compliance přezkumu.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a) Rozsah služeb a lokalita zpracování dat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Každá smlouva musí výslovně definovat rozsah, povahu a dobu trvání poskytovaných IKT služeb, včetně popisu služeb, technických specifikací a požadavků na funkcionalitu i nefunkční parametry, jako je bezpečnost či interoperabilita. Geografická lokalita, kde dochází ke zpracování, ukládání a zálohování dat, musí být jasně uvedena včetně identifikace států nebo regionů, kde jsou klientská data uchovávána nebo kam jsou přenášena. Smlouvy musí také upravovat požadavky na dodržování pravidel EU v oblasti ochrany osobních údajů a lokalizace dat a povinnost zveřejnit všechny datové servery a jurisdikce subdodavatelů zapojených do zpracování.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b) Úroveň služeb a výkonnostní standardy (SLA)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Každá smlouva musí obsahovat detailní dohodu o úrovni služeb (SLA), která stanoví minimální požadované dostupnosti, reakční a obnovovací časy a postupy eskalace v případě zhoršení kvality služby. SLA musí být měřitelné a vymahatelné, a to včetně smluvních sankcí za jejich nedodržení, jako jsou slevy z ceny služby, právo na ukončení smlouvy nebo povinnost provést analýzu příčin incidentu.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c) Právo na audit a kontrolu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Smlouvy musí Společnosti a jejím pověřeným interním či externím auditorům zaručovat právo na provádění auditů a inspekcí, včetně případných fyzických kontrol, pokud to situace odůvodňuje. Zajištěn musí být přístup k relevantní dokumentaci, systémům, záznamům i pracovníkům poskytovatele. Stejná práva musí být přiznána i příslušným dozorovým orgánům (např. ČNB, ESMA, EBA), a to včetně možnosti neohlášené inspekce a přístupu k subdodavatelům či prostředí, kde probíhá zpracování dat.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d) Podmínky subdodávek a řízení změn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Poskytovatelé IKT služeb jsou povinni předem získat písemný souhlas Společnosti před tím, než zadají subdodavateli jakoukoliv část kritické nebo významné služby. Smlouva jim zároveň ukládá povinnost předem informovat o každé zásadní změně, například ve vlastnické struktuře, řízení nebo nastavení zpracování dat. Subdodavatelé musí být smluvně vázáni k plnění rovnocenných závazků jako hlavní poskytovatel a jejich povinnosti musí být smluvně přeneseny bez oslabujících výjimek.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e) Práva na ukončení a závazky v oblasti kontinuity provozu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Každá smlouva musí Společnosti zaručit jednostranné právo ukončit smluvní vztah v případě závažného porušení smlouvy, systémového rizika nebo na základě regulatorních požadavků. Smlouva rovněž musí obsahovat výstupní strategii a přechodná opatření zajišťující hladký přenos dat a služeb při ukončení spolupráce. Povinnosti poskytovatele v oblasti plánování kontinuity provozu a obnovy po havárii musí být jasně popsány, včetně závazných cílů RTO/RPO, a pravidelně testovány za účasti Společnosti. Tyto povinnosti musí být zároveň integrovány do interního rámce řízení rizik poskytovatele.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lastRenderedPageBreak/>
        <w:t>f) Ohlašování incidentů a spolupráce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Poskytovatelé jsou povinni neprodleně informovat Společnost o každém incidentu v oblasti IKT, který by mohl mít dopad na důvěrnost, integritu nebo dostupnost dat a služeb. Dále jsou povinni spolupracovat při zpracování zpráv o incidentech v souladu s požadavky na hlášení dle článku 19 nařízení DORA a poskytnout přístup k důkazům z digitální forenzní analýzy a přijatým nápravným opatřením.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g) Právní a compliance dohled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Všechna výše uvedená smluvní ustanovení podléhají povinné kontrole ze strany Právního oddělení Společnosti, které zajišťuje jejich vymahatelnost, ochranu duševního vlastnictví a odpovědnostní ustanovení. Zároveň jsou přezkoumávána funkčně odpovědnou složkou pro compliance, která ověřuje soulad s regulatorními požadavky vyplývajícími z </w:t>
      </w:r>
      <w:proofErr w:type="gramStart"/>
      <w:r w:rsidRPr="00AD0D77">
        <w:rPr>
          <w:rFonts w:ascii="Athiti" w:eastAsia="Athiti" w:hAnsi="Athiti" w:cs="Athiti"/>
          <w:lang w:val="cs-CZ"/>
        </w:rPr>
        <w:t>DORA</w:t>
      </w:r>
      <w:proofErr w:type="gramEnd"/>
      <w:r w:rsidRPr="00AD0D77">
        <w:rPr>
          <w:rFonts w:ascii="Athiti" w:eastAsia="Athiti" w:hAnsi="Athiti" w:cs="Athiti"/>
          <w:lang w:val="cs-CZ"/>
        </w:rPr>
        <w:t>, GDPR a pravidel outsourcingu ve finančním sektoru. Konečné schválení smlouvy provádí Výbor pro řízení rizik v oblasti IKT nebo jiný příslušný orgán před podpisem smlouvy.</w:t>
      </w:r>
    </w:p>
    <w:p w:rsidR="00AD0D77" w:rsidRPr="00AD0D77" w:rsidRDefault="00AD0D77" w:rsidP="00AD0D77">
      <w:pPr>
        <w:pStyle w:val="Nadpis2"/>
        <w:spacing w:before="240" w:after="240" w:line="240" w:lineRule="auto"/>
        <w:rPr>
          <w:rFonts w:ascii="Athiti" w:eastAsia="Athiti" w:hAnsi="Athiti" w:cs="Athiti"/>
          <w:lang w:val="cs-CZ"/>
        </w:rPr>
      </w:pPr>
      <w:bookmarkStart w:id="4" w:name="_u8duypnp0q0m" w:colFirst="0" w:colLast="0"/>
      <w:bookmarkEnd w:id="4"/>
      <w:r w:rsidRPr="00AD0D77">
        <w:rPr>
          <w:rFonts w:ascii="Athiti" w:eastAsia="Athiti" w:hAnsi="Athiti" w:cs="Athiti"/>
          <w:lang w:val="cs-CZ"/>
        </w:rPr>
        <w:t>5. Povinnosti v oblasti evidence a přezkumu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lang w:val="cs-CZ"/>
        </w:rPr>
        <w:t>V souladu s článkem 29 nařízení DORA vede Společnost komplexní a aktuální registr všech smluvních ujednání s poskytovateli IKT služeb třetích stran, včetně těch, kteří zajišťují kritické nebo významné funkce. Tento registr představuje základní součást rámce pro řízení rizik souvisejících s IKT třetích stran a slouží jako jednotný zdroj informací pro potřeby dozorových auditů, přezkumů rizik a vnitřního řízení společnosti.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a) Struktura a obsah registru externě zajišťovaných IKT služeb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Registr je veden v zabezpečeném a centralizovaném systému a pro každé smluvní ujednání obsahuje alespoň základní identifikační údaje o službě, včetně jejího názvu, unikátního identifikátoru, popisu zajišťované IKT funkce, klasifikace její důležitosti (kritická, významná nebo nevýznamná) a přiřazeného odpovědného útvaru ve Společnosti. Dále obsahuje informace o poskytovateli služeb, včetně jeho úplného obchodního názvu, případné skupinové struktury, jurisdikce registrace, licenčních oprávnění a kontaktních osob pro operativní, právní a bezpečnostní záležitosti. U každé smlouvy jsou evidovány také klíčové smluvní parametry, jako je datum uzavření a ukončení smlouvy, podstatná ustanovení (např. SLA, výstupní doložky, auditní práva), plánované prodloužení nebo ukončení a případná výše plnění, pokud je relevantní pro hodnocení rizika.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lang w:val="cs-CZ"/>
        </w:rPr>
        <w:t>Součástí registru jsou rovněž údaje o hodnocení rizik, včetně počáteční i průběžné klasifikace (např. nízké, střední, vysoké), indikátorů koncentrace v oblasti IKT, systémové významnosti poskytovatele a posouzení možnosti jeho nahrazení včetně stavu výstupní strategie. Registr dále uchovává důkazy o provedených kontrolách a due diligence, zprávy o externích auditech (např. SOC 2, ISO/IEC 27001), nálezy a nápravná opatření z interních či externích auditů a záznamy o incidentech v oblasti IKT, včetně jejich dopadu a následných kroků.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b) Požadavky na údržbu a přezkum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Registr je každoročně přezkoumáván a ověřován týmy odpovědnými za řízení rizik a compliance v oblasti IKT. Je také bezodkladně aktualizován v případech uzavření nebo ukončení smlouvy na IKT službu, změny klasifikace její důležitosti, nebo při podstatných změnách smluvních podmínek či rizikového profilu poskytovatele. Přezkumné cykly jsou sladěny s ročním přehodnocením rizik třetích stran, s harmonogramem interních auditů a kontrolních testů a s aktualizacemi interních politik v oblasti outsourcingu a správy IKT.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c) Dostupnost pro dohledové orgány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Kompletní registr externích poskytovatelů IKT služeb musí být na žádost bez prodlení zpřístupněn příslušným dozorovým orgánům, jako jsou Česká národní banka, ESMA nebo ECB. Součástí poskytnuté </w:t>
      </w:r>
      <w:r w:rsidRPr="00AD0D77">
        <w:rPr>
          <w:rFonts w:ascii="Athiti" w:eastAsia="Athiti" w:hAnsi="Athiti" w:cs="Athiti"/>
          <w:lang w:val="cs-CZ"/>
        </w:rPr>
        <w:lastRenderedPageBreak/>
        <w:t>dokumentace musí být souhrny analýz rizik, příslušné smlouvy a související dokumenty k zajištění souladu a také odůvodnění klasifikace služeb jako kritických nebo významných. Společnost zároveň udržuje interní postupy, které umožňují prokázat soulad s článkem 28 (řízení outsourcingu) a článkem 30 (klíčová smluvní ustanovení) a doložit, že každé kritické IKT ujednání je řádně zdokumentováno, schváleno a pravidelně přezkoumáváno.</w:t>
      </w:r>
    </w:p>
    <w:p w:rsidR="00AD0D77" w:rsidRPr="00AD0D77" w:rsidRDefault="00AD0D77" w:rsidP="00AD0D77">
      <w:pPr>
        <w:pStyle w:val="Nadpis2"/>
        <w:spacing w:before="240" w:after="240" w:line="240" w:lineRule="auto"/>
        <w:rPr>
          <w:rFonts w:ascii="Athiti" w:eastAsia="Athiti" w:hAnsi="Athiti" w:cs="Athiti"/>
          <w:lang w:val="cs-CZ"/>
        </w:rPr>
      </w:pPr>
      <w:bookmarkStart w:id="5" w:name="_rulfv9aotqar" w:colFirst="0" w:colLast="0"/>
      <w:bookmarkEnd w:id="5"/>
      <w:r w:rsidRPr="00AD0D77">
        <w:rPr>
          <w:rFonts w:ascii="Athiti" w:eastAsia="Athiti" w:hAnsi="Athiti" w:cs="Athiti"/>
          <w:lang w:val="cs-CZ"/>
        </w:rPr>
        <w:t>6. Dokumentace systémů a protokolů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lang w:val="cs-CZ"/>
        </w:rPr>
        <w:t>Za účelem splnění povinností stanovených v článku 5 odst. 8, článku 15 odst. 3 a článku 28 odst. 9 nařízení DORA udržuje Společnost úplnou, strukturovanou a aktuální technickou dokumentaci, která pokrývá všechny systémy, služby a procesy považované za kritické nebo významné pro poskytování služeb souvisejících s kryptoaktivy a pro digitální provozní činnosti. Tato dokumentace je klíčová pro zajištění transparentnosti, auditovatelnosti, regulatorního souladu a provozní odolnosti.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a) Rozsah dokumentace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Společnost podrobně dokumentuje několik hlavních oblastí. V oblasti úschovy kryptoaktiv se jedná o architekturu a provozní návrh infrastruktury hot, warm a cold peněženek, procesy generování, uchovávání, zálohování a likvidace privátních klíčů, použití technologií typu multi-signature, MPC (Multi-Party Computation) nebo HSM (Hardware Security Modules) a dále opatření pro zmírnění rizik jako jsou whitelisty adres, omezení výběrů a časové zámky.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lang w:val="cs-CZ"/>
        </w:rPr>
        <w:t>V oblasti správy klíčů je dokumentována struktura HD peněženek, logika derivace klíčů, harmonogramy rotace, postupy pro odvolání a obnovení klíčů, jakož i přístupové kontroly a rozdělení odpovědností v rámci jejich správy.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lang w:val="cs-CZ"/>
        </w:rPr>
        <w:t>Co se týče síťové infrastruktury a toků dat, dokumentace obsahuje detailní topologie interních a externích sítí včetně firewallů, vyvažovačů zátěže, DMZ a VPN, jakož i znázornění koncových datových toků pokrývajících pohyb klientských dat, transakcí a kryptografických aktiv v systému. Zvláštní pozornost je věnována bodům vstupu a výstupu a souvisejícím bezpečnostním opatřením.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lang w:val="cs-CZ"/>
        </w:rPr>
        <w:t>V oblasti autentizace a řízení přístupů jsou popsány politiky RBAC (řízení přístupů podle rolí), princip minimálních oprávnění, nastavení vícefaktorové autentizace (MFA), konfigurace odhlašování relací a záznamy o přístupech a eskalacích oprávnění.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lang w:val="cs-CZ"/>
        </w:rPr>
        <w:t>Dokumentace vývojového a nasazovacího procesu zahrnuje metodiku SSDLC (Secure Software Development Lifecycle), strukturu repozitářů zdrojového kódu, nastavení CI/CD pipeline, pravidla pro peer-review a používané nástroje pro statickou a dynamickou analýzu kódu včetně workflow pro nápravu zranitelností.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lang w:val="cs-CZ"/>
        </w:rPr>
        <w:t>V oblasti řízení změn jsou popsány postupy pro řízení zásahů do produkčního prostředí, posouzení rizik před nasazením, plány pro obnovu původního stavu a schvalovací matice včetně evidence výjimek.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b) Standardy dokumentace a její údržba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Veškerá dokumentace podléhá řízení verzí a je uchovávána v centralizovaných úložištích (např. Git, Confluence). Je vytvářena a aktualizována v souladu s interně definovanými standardy dokumentace IKT a uložena s jasně nastavenými právy k přístupu a úpravám dle uživatelských rolí. Dokumentace se aktualizuje pravidelně čtvrtletně v rámci rutinních kontrol provozní odolnosti, dále bezodkladně při každé podstatné změně systémů, architektury nebo integrace třetích stran a také po výskytu významného incidentu, zjištění při auditu nebo poznatcích z nápravných opatření.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lastRenderedPageBreak/>
        <w:t>c) Přístup auditorů a regulačních orgánů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Společnost zajišťuje, že interní i externí auditoři mají na vyžádání přístup k veškeré relevantní dokumentaci za účelem ověření a poskytnutí ujištění. Dokumentace je rovněž kdykoli na vyžádání k dispozici příslušným dozorovým orgánům, v souladu s článkem 5 odst. 8 nařízení DORA. Současně Společnost vede centrální registr dokumentace, který eviduje typy dokumentů, odpovědné osoby, data poslední aktualizace a plánovaná data příštího přezkumu.</w:t>
      </w:r>
    </w:p>
    <w:p w:rsidR="00AD0D77" w:rsidRPr="00AD0D77" w:rsidRDefault="00AD0D77" w:rsidP="00AD0D77">
      <w:pPr>
        <w:pStyle w:val="Nadpis2"/>
        <w:spacing w:before="240" w:after="240" w:line="240" w:lineRule="auto"/>
        <w:rPr>
          <w:rFonts w:ascii="Athiti" w:eastAsia="Athiti" w:hAnsi="Athiti" w:cs="Athiti"/>
          <w:lang w:val="cs-CZ"/>
        </w:rPr>
      </w:pPr>
      <w:bookmarkStart w:id="6" w:name="_7j8kwqybc0f2" w:colFirst="0" w:colLast="0"/>
      <w:bookmarkEnd w:id="6"/>
      <w:r w:rsidRPr="00AD0D77">
        <w:rPr>
          <w:rFonts w:ascii="Athiti" w:eastAsia="Athiti" w:hAnsi="Athiti" w:cs="Athiti"/>
          <w:lang w:val="cs-CZ"/>
        </w:rPr>
        <w:t>7. Požadavky na rámec testování digitální odolnosti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lang w:val="cs-CZ"/>
        </w:rPr>
        <w:t>V souladu s články 24 až 27 nařízení DORA zavedla Společnost rámec testování digitální odolnosti (Digital Resilience Testing Framework – DRTF), jehož cílem je zajistit, aby všechny IKT systémy podporující kritické nebo významné služby související s kryptoaktivy byly důsledně testovány, vyhodnocovány a ověřovány z hlediska schopnosti odolat provozním a kybernetickým narušením. Tento rámec je sladěn s širším cyklem řízení rizik v oblasti IKT a přizpůsoben specifickým hrozbám spojeným s decentralizovanými technologiemi, modely úschovy a blockchainovými operacemi.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a) Rozsah a četnost testovacích aktivit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Každoroční testování odolnosti se vztahuje na všechny IKT systémy považované za kritické nebo významné – například infrastrukturu pro správu peněženek, obchodní rozhraní, systémy KYC nebo napojení na blockchainové uzly. Testování zahrnuje funkční testy, zátěžové scénáře (např. simulace rozsáhlých požadavků na výběr) a ověřování funkčnosti záložních mechanismů a obnovy provozu.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lang w:val="cs-CZ"/>
        </w:rPr>
        <w:t>Pro subjekty klasifikované podle DORA jako významné (na základě velikosti, systémového významu nebo přeshraniční činnosti) provádí Společnost nejméně jednou za tři roky testování typu TLPT (Threat-Led Penetration Testing). Tato testování probíhají formou řízených simulovaných útoků, inspirovaných reálnými hrozbami, a jsou prováděna certifikovanými externími testery v režimu přísné důvěrnosti a za dodržení pravidel hlášení regulátorům.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lang w:val="cs-CZ"/>
        </w:rPr>
        <w:t>Rámec rovněž umožňuje ad-hoc testování vyvolané významnými systémovými úpravami, změnami v architektuře, onboardingem nebo ukončením spolupráce s důležitými třetími stranami, případně na základě pokynu regulátora nebo varování o nově se objevujících hrozbách.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b) Testovací metodiky a scénáře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Všechny testy probíhají podle formálně stanovených metodik, které vycházejí z uznávaných standardů, jako jsou OWASP, MITRE ATT&amp;CK nebo rámce NIST, a zohledňují specifika blockchainového prostředí – například rizika útoků typu 51 %, zneužití smart kontraktů, nebo simulaci DDoS útoků na veřejná rozhraní. Testovací scénáře odrážejí reálné hrozby, známé zranitelnosti, slabiny v konfiguraci systémů i selhání dostupnosti nebo integrity dat u klíčových třetích stran.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c) Dokumentace a reporting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Ke každé testovací kampani musí být zpracován plán testování, včetně vymezení rozsahu, použitých nástrojů, zapojených systémů a osob. Zaznamenává se průběh testování, technická evidence, zjištěné nedostatky a jejich závažnost, stejně jako nápravná opatření, včetně termínů a odpovědných týmů. Výsledky jsou předloženy řídicímu orgánu nebo výboru pro řízení IKT k přezkoumání a schválení, následně jsou evidovány v registru IKT rizik až do jejich plného uzavření. Zjištění jsou dále využita při aktualizaci politik, v rámci zpětné vazby a při posilování kontrolních opatření.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d) Dohled a odpovědnost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Za plánování, koordinaci a dohled nad veškerými testovacími činnostmi odpovídá pracovník pro řízení rizik v oblasti IKT, který zajišťuje nezávislost, důvěrnost výsledků a koordinaci mezi interními i externími zúčastněnými stranami. Konečnou odpovědnost nese řídicí orgán, který schvaluje testovací </w:t>
      </w:r>
      <w:r w:rsidRPr="00AD0D77">
        <w:rPr>
          <w:rFonts w:ascii="Athiti" w:eastAsia="Athiti" w:hAnsi="Athiti" w:cs="Athiti"/>
          <w:lang w:val="cs-CZ"/>
        </w:rPr>
        <w:lastRenderedPageBreak/>
        <w:t>strategii a alokaci zdrojů, přezkoumává klíčové výsledky a sleduje realizaci nápravných opatření, včetně jejich přetestování.</w:t>
      </w:r>
    </w:p>
    <w:p w:rsidR="00AD0D77" w:rsidRPr="00AD0D77" w:rsidRDefault="00AD0D77" w:rsidP="00AD0D77">
      <w:pPr>
        <w:pStyle w:val="normal"/>
        <w:spacing w:before="240" w:after="240" w:line="240" w:lineRule="auto"/>
        <w:rPr>
          <w:rFonts w:ascii="Athiti" w:eastAsia="Athiti" w:hAnsi="Athiti" w:cs="Athiti"/>
          <w:lang w:val="cs-CZ"/>
        </w:rPr>
      </w:pPr>
      <w:r w:rsidRPr="00AD0D77">
        <w:rPr>
          <w:rFonts w:ascii="Athiti" w:eastAsia="Athiti" w:hAnsi="Athiti" w:cs="Athiti"/>
          <w:b/>
          <w:lang w:val="cs-CZ"/>
        </w:rPr>
        <w:t>e) Spolupráce s regulačními orgány</w:t>
      </w:r>
      <w:r w:rsidRPr="00AD0D77">
        <w:rPr>
          <w:rFonts w:ascii="Athiti" w:eastAsia="Athiti" w:hAnsi="Athiti" w:cs="Athiti"/>
          <w:b/>
          <w:lang w:val="cs-CZ"/>
        </w:rPr>
        <w:br/>
      </w:r>
      <w:r w:rsidRPr="00AD0D77">
        <w:rPr>
          <w:rFonts w:ascii="Athiti" w:eastAsia="Athiti" w:hAnsi="Athiti" w:cs="Athiti"/>
          <w:lang w:val="cs-CZ"/>
        </w:rPr>
        <w:t xml:space="preserve"> Pokud je to vyžadováno, Společnost informuje příslušné dozorové orgány předem o plánovaných testech typu TLPT v souladu s článkem 26 DORA. Dále poskytuje na vyžádání souhrny výsledků testování a přijatých nápravných opatření a prokazuje, že testovací rámec je v souladu s jednotnými pravidly TLPT na úrovni EU vypracovanými společně evropskými orgány dohledu (ESAs).</w:t>
      </w:r>
    </w:p>
    <w:p w:rsidR="00B06DB5" w:rsidRPr="00AD0D77" w:rsidRDefault="00B06DB5">
      <w:pPr>
        <w:rPr>
          <w:lang w:val="cs-CZ"/>
        </w:rPr>
      </w:pPr>
    </w:p>
    <w:sectPr w:rsidR="00B06DB5" w:rsidRPr="00AD0D77" w:rsidSect="00A544C7">
      <w:footerReference w:type="default" r:id="rId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hit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4C7" w:rsidRDefault="00466C14">
    <w:pPr>
      <w:pStyle w:val="normal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0D77"/>
    <w:rsid w:val="001F0902"/>
    <w:rsid w:val="00267770"/>
    <w:rsid w:val="00466C14"/>
    <w:rsid w:val="005811F2"/>
    <w:rsid w:val="009D0A5F"/>
    <w:rsid w:val="00AB1B8D"/>
    <w:rsid w:val="00AD0D77"/>
    <w:rsid w:val="00B01FD2"/>
    <w:rsid w:val="00B0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D77"/>
    <w:pPr>
      <w:spacing w:after="0"/>
    </w:pPr>
    <w:rPr>
      <w:rFonts w:ascii="Arial" w:eastAsia="Arial" w:hAnsi="Arial" w:cs="Arial"/>
      <w:lang/>
    </w:rPr>
  </w:style>
  <w:style w:type="paragraph" w:styleId="Nadpis2">
    <w:name w:val="heading 2"/>
    <w:basedOn w:val="normal"/>
    <w:next w:val="normal"/>
    <w:link w:val="Nadpis2Char"/>
    <w:rsid w:val="00AD0D77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D0D77"/>
    <w:rPr>
      <w:rFonts w:ascii="Arial" w:eastAsia="Arial" w:hAnsi="Arial" w:cs="Arial"/>
      <w:sz w:val="32"/>
      <w:szCs w:val="32"/>
      <w:lang/>
    </w:rPr>
  </w:style>
  <w:style w:type="paragraph" w:customStyle="1" w:styleId="normal">
    <w:name w:val="normal"/>
    <w:rsid w:val="00AD0D77"/>
    <w:pPr>
      <w:spacing w:after="0"/>
    </w:pPr>
    <w:rPr>
      <w:rFonts w:ascii="Arial" w:eastAsia="Arial" w:hAnsi="Arial" w:cs="Arial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3930</Words>
  <Characters>22402</Characters>
  <Application>Microsoft Office Word</Application>
  <DocSecurity>0</DocSecurity>
  <Lines>186</Lines>
  <Paragraphs>52</Paragraphs>
  <ScaleCrop>false</ScaleCrop>
  <Company/>
  <LinksUpToDate>false</LinksUpToDate>
  <CharactersWithSpaces>26280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Zman Kesef</dc:creator>
  <cp:lastModifiedBy>Zman Kesef</cp:lastModifiedBy>
  <cp:revision>2</cp:revision>
  <dcterms:created xsi:type="dcterms:W3CDTF">2025-07-28T22:45:00Z</dcterms:created>
  <dcterms:modified xsi:type="dcterms:W3CDTF">2025-07-28T22:50:00Z</dcterms:modified>
</cp:coreProperties>
</file>