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sz w:val="48"/>
          <w:szCs w:val="48"/>
          <w:lang w:val="cs-CZ"/>
        </w:rPr>
        <w:t>Strategický a řídicí rámec podle nařízení DORA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2769"/>
        <w:gridCol w:w="6591"/>
      </w:tblGrid>
      <w:tr w:rsidR="000B186D" w:rsidRPr="00397AB4" w:rsidTr="00E47F99">
        <w:trPr>
          <w:cantSplit/>
          <w:trHeight w:val="51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Termín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Definice</w:t>
            </w:r>
          </w:p>
        </w:tc>
      </w:tr>
      <w:tr w:rsidR="000B186D" w:rsidRPr="00397AB4" w:rsidTr="00E47F99">
        <w:trPr>
          <w:cantSplit/>
          <w:trHeight w:val="1070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Strategie digitální provozní odolnosti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Strategický dokument schválený vedením, který stanovuje cíle a klíčové ukazatele výkonnosti pro zajištění kontinuity, integrity a bezpečnosti ICT služeb.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Rámec řízení ICT rizik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Rámec pro identifikaci, hodnocení, mitigaci a monitorování ICT rizik napříč systémy, službami a dodavatelskými vztahy.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Analýza dopadů na podnikání (BIA)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Systematická metoda pro posouzení dopadů výpadků ICT služeb na klíčové procesy a pro stanovení RTO, RPO a MTD.</w:t>
            </w:r>
          </w:p>
        </w:tc>
      </w:tr>
      <w:tr w:rsidR="000B186D" w:rsidRPr="00397AB4" w:rsidTr="00E47F99">
        <w:trPr>
          <w:cantSplit/>
          <w:trHeight w:val="1070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Plány reakce a obnovy ICT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Sada plánů definujících kroky k detekci, izolaci, odstranění a obnově ICT služeb po bezpečnostním incidentu nebo selhání systému.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Plány kontinuity ICT a krizové komunikace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Plány zajišťující provoz a komunikaci během a po narušení služeb, včetně komunikace se zákazníky, regulátory a médii.</w:t>
            </w:r>
          </w:p>
        </w:tc>
      </w:tr>
      <w:tr w:rsidR="000B186D" w:rsidRPr="00397AB4" w:rsidTr="00E47F99">
        <w:trPr>
          <w:cantSplit/>
          <w:trHeight w:val="1070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Program školení a zvyšování povědomí o ICT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Školení přizpůsobená rolím zaměstnanců s cílem omezit rizika způsobená lidským faktorem a zajistit dodržování DORA, GDPR a MiCA.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Testování bezpečnosti a odolnosti ICT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Pravidelné penetrační testy, simulace útoků a testy obnovy zaměřené na odhalení slabin a ověření schopnosti reakce.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lastRenderedPageBreak/>
              <w:t>Třetí strany a řízení ICT outsourcingu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Postupy pro výběr, hodnocení a sledování externích poskytovatelů ICT služeb s důrazem na smluvní požadavky a právo na audit.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Kritické a důležité funkce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Funkce nebo služby, jejichž selhání by mělo významný dopad na dostupnost, důvěryhodnost nebo zákonnost poskytovaných služeb.</w:t>
            </w:r>
          </w:p>
        </w:tc>
      </w:tr>
      <w:tr w:rsidR="000B186D" w:rsidRPr="00397AB4" w:rsidTr="00E47F99">
        <w:trPr>
          <w:cantSplit/>
          <w:trHeight w:val="1070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Rámec pro kontinuální zlepšování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Proces pravidelného přezkumu a aktualizace politik, plánů a postupů na základě incidentů, testování, auditu nebo změn v rizikovém prostředí.</w:t>
            </w:r>
          </w:p>
        </w:tc>
      </w:tr>
    </w:tbl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0" w:name="_1zpp4bqdco52" w:colFirst="0" w:colLast="0"/>
      <w:bookmarkEnd w:id="0"/>
      <w:r w:rsidRPr="00397AB4">
        <w:rPr>
          <w:rFonts w:ascii="Athiti" w:eastAsia="Athiti" w:hAnsi="Athiti" w:cs="Athiti"/>
          <w:lang w:val="cs-CZ"/>
        </w:rPr>
        <w:t>1. Správa sítě a infrastruktury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Společnost musí udržovat bezpečnou, odolnou a škálovatelnou ICT infrastrukturu, která zajistí nepřerušený provoz, dostupnost a integritu jejích služeb v oblasti kryptoaktiv. Architektura sítě a infrastruktury musí být navržena a spravována v souladu s články 8 a 9 nařízení DORA a v souladu s normami ISO/IEC 27001 a NIST.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bookmarkStart w:id="1" w:name="_8pamiwrh52qm" w:colFirst="0" w:colLast="0"/>
      <w:bookmarkEnd w:id="1"/>
      <w:r w:rsidRPr="00397AB4">
        <w:rPr>
          <w:rFonts w:ascii="Athiti" w:eastAsia="Athiti" w:hAnsi="Athiti" w:cs="Athiti"/>
          <w:color w:val="000000"/>
          <w:sz w:val="22"/>
          <w:szCs w:val="22"/>
          <w:lang w:val="cs-CZ"/>
        </w:rPr>
        <w:t>Klíčové součásti tohoto rámce zahrnují: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Bezpečnostní architektura:</w:t>
      </w:r>
      <w:r w:rsidRPr="00397AB4">
        <w:rPr>
          <w:rFonts w:ascii="Athiti" w:eastAsia="Athiti" w:hAnsi="Athiti" w:cs="Athiti"/>
          <w:lang w:val="cs-CZ"/>
        </w:rPr>
        <w:br/>
        <w:t xml:space="preserve"> Všechny systémy musí být navrženy na principu vícevrstvé obrany (</w:t>
      </w:r>
      <w:r w:rsidRPr="00397AB4">
        <w:rPr>
          <w:rFonts w:ascii="Athiti" w:eastAsia="Athiti" w:hAnsi="Athiti" w:cs="Athiti"/>
          <w:i/>
          <w:lang w:val="cs-CZ"/>
        </w:rPr>
        <w:t>defence-in-depth</w:t>
      </w:r>
      <w:r w:rsidRPr="00397AB4">
        <w:rPr>
          <w:rFonts w:ascii="Athiti" w:eastAsia="Athiti" w:hAnsi="Athiti" w:cs="Athiti"/>
          <w:lang w:val="cs-CZ"/>
        </w:rPr>
        <w:t>), která zahrnuje několik úrovní bezpečnostních opatření napříč infrastrukturou. Musí být implementováno segmentování sítě za účelem oddělení kritických systémů, vývojových prostředí a externě dostupných služeb, což výrazně omezuje postranní pohyb v případě narušení.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Monitoring infrastruktury:</w:t>
      </w:r>
      <w:r w:rsidRPr="00397AB4">
        <w:rPr>
          <w:rFonts w:ascii="Athiti" w:eastAsia="Athiti" w:hAnsi="Athiti" w:cs="Athiti"/>
          <w:lang w:val="cs-CZ"/>
        </w:rPr>
        <w:br/>
        <w:t xml:space="preserve"> Nepřetržité sledování musí probíhat prostřednictvím automatizovaných systémů typu SIEM (Security Information and Event Management), IDPS (Intrusion Detection and Prevention Systems) a nástrojů pro analytiku výkonnosti. Monitoring se vztahuje na síťový provoz, využití zdrojů a bezpečnostní události v prostředí on-premise i v cloudu.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Řízení přístupů a ochrana dat:</w:t>
      </w:r>
      <w:r w:rsidRPr="00397AB4">
        <w:rPr>
          <w:rFonts w:ascii="Athiti" w:eastAsia="Athiti" w:hAnsi="Athiti" w:cs="Athiti"/>
          <w:lang w:val="cs-CZ"/>
        </w:rPr>
        <w:br/>
        <w:t xml:space="preserve"> Infrastruktura musí být chráněna před neoprávněným přístupem prostřednictvím:</w:t>
      </w:r>
    </w:p>
    <w:p w:rsidR="000B186D" w:rsidRPr="00397AB4" w:rsidRDefault="000B186D" w:rsidP="000B186D">
      <w:pPr>
        <w:pStyle w:val="normal"/>
        <w:numPr>
          <w:ilvl w:val="0"/>
          <w:numId w:val="25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Řízení přístupu na základě rolí (</w:t>
      </w:r>
      <w:r w:rsidRPr="00397AB4">
        <w:rPr>
          <w:rFonts w:ascii="Athiti" w:eastAsia="Athiti" w:hAnsi="Athiti" w:cs="Athiti"/>
          <w:i/>
          <w:lang w:val="cs-CZ"/>
        </w:rPr>
        <w:t>Role-Based Access Control – RBAC</w:t>
      </w:r>
      <w:r w:rsidRPr="00397AB4">
        <w:rPr>
          <w:rFonts w:ascii="Athiti" w:eastAsia="Athiti" w:hAnsi="Athiti" w:cs="Athiti"/>
          <w:lang w:val="cs-CZ"/>
        </w:rPr>
        <w:t>) s principem nejmenších oprávnění;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5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Vícefaktorového ověřování (</w:t>
      </w:r>
      <w:r w:rsidRPr="00397AB4">
        <w:rPr>
          <w:rFonts w:ascii="Athiti" w:eastAsia="Athiti" w:hAnsi="Athiti" w:cs="Athiti"/>
          <w:i/>
          <w:lang w:val="cs-CZ"/>
        </w:rPr>
        <w:t>Multi-Factor Authentication – MFA</w:t>
      </w:r>
      <w:r w:rsidRPr="00397AB4">
        <w:rPr>
          <w:rFonts w:ascii="Athiti" w:eastAsia="Athiti" w:hAnsi="Athiti" w:cs="Athiti"/>
          <w:lang w:val="cs-CZ"/>
        </w:rPr>
        <w:t>) pro administrátorský přístup;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5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lastRenderedPageBreak/>
        <w:t>Šifrování veškeré komunikace pomocí TLS 1.2+ a zabezpečených VPN připojení;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5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Nasazení firewallů, segmentačních bran a zabezpečených protokolů pro vzdálený přístup.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Správa konfigurací a aktualizací:</w:t>
      </w:r>
      <w:r w:rsidRPr="00397AB4">
        <w:rPr>
          <w:rFonts w:ascii="Athiti" w:eastAsia="Athiti" w:hAnsi="Athiti" w:cs="Athiti"/>
          <w:lang w:val="cs-CZ"/>
        </w:rPr>
        <w:br/>
        <w:t xml:space="preserve"> Všechny komponenty infrastruktury musí podléhat:</w:t>
      </w:r>
    </w:p>
    <w:p w:rsidR="000B186D" w:rsidRPr="00397AB4" w:rsidRDefault="000B186D" w:rsidP="000B186D">
      <w:pPr>
        <w:pStyle w:val="normal"/>
        <w:numPr>
          <w:ilvl w:val="0"/>
          <w:numId w:val="23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Pravidelným hodnocením zranitelností a cyklům jejich nápravy;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3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Automatizovanému nasazování záplat na vysoce rizikové zranitelnosti v rámci definovaných SLA;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3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Pravidelným přezkumům konfigurace podle standardizovaných šablon a CIS benchmarků.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Testování bezpečnosti a hardening:</w:t>
      </w:r>
      <w:r w:rsidRPr="00397AB4">
        <w:rPr>
          <w:rFonts w:ascii="Athiti" w:eastAsia="Athiti" w:hAnsi="Athiti" w:cs="Athiti"/>
          <w:lang w:val="cs-CZ"/>
        </w:rPr>
        <w:br/>
        <w:t xml:space="preserve"> Infrastruktura musí podstupovat:</w:t>
      </w:r>
    </w:p>
    <w:p w:rsidR="000B186D" w:rsidRPr="00397AB4" w:rsidRDefault="000B186D" w:rsidP="000B186D">
      <w:pPr>
        <w:pStyle w:val="normal"/>
        <w:numPr>
          <w:ilvl w:val="0"/>
          <w:numId w:val="18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Externí a interní penetrační testy minimálně jednou ročně;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Pravidelné red-teamingové nebo scénářové simulace útoků;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8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Zpevnění systémů (</w:t>
      </w:r>
      <w:r w:rsidRPr="00397AB4">
        <w:rPr>
          <w:rFonts w:ascii="Athiti" w:eastAsia="Athiti" w:hAnsi="Athiti" w:cs="Athiti"/>
          <w:i/>
          <w:lang w:val="cs-CZ"/>
        </w:rPr>
        <w:t>security hardening</w:t>
      </w:r>
      <w:r w:rsidRPr="00397AB4">
        <w:rPr>
          <w:rFonts w:ascii="Athiti" w:eastAsia="Athiti" w:hAnsi="Athiti" w:cs="Athiti"/>
          <w:lang w:val="cs-CZ"/>
        </w:rPr>
        <w:t>) na základě definovaných minimálních standardů a výsledků testování.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Řízení cloudové a hybridní infrastruktury:</w:t>
      </w:r>
      <w:r w:rsidRPr="00397AB4">
        <w:rPr>
          <w:rFonts w:ascii="Athiti" w:eastAsia="Athiti" w:hAnsi="Athiti" w:cs="Athiti"/>
          <w:lang w:val="cs-CZ"/>
        </w:rPr>
        <w:br/>
        <w:t xml:space="preserve"> V případech využití cloudových služeb musí společnost fungovat na základě jasného modelu sdílené odpovědnosti, který zajistí:</w:t>
      </w:r>
    </w:p>
    <w:p w:rsidR="000B186D" w:rsidRPr="00397AB4" w:rsidRDefault="000B186D" w:rsidP="000B186D">
      <w:pPr>
        <w:pStyle w:val="normal"/>
        <w:numPr>
          <w:ilvl w:val="0"/>
          <w:numId w:val="12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Jasné vymezení bezpečnostních a provozních povinností mezi poskytovatelem cloudu a společností, které jsou dokumentovány a pravidelně přezkoumávány;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2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Aktivaci cloudových bezpečnostních kontrol a jejich integraci s interním systémem monitoringu a alertingu;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2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Posouzení a schválení poskytovatelů cloudových služeb prostřednictvím interního postupu pro řízení rizik třetích stran.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Všechny změny v síti a infrastruktuře musí podléhat auditovatelnému procesu řízení změn a musí být posouzeny z hlediska rizik před jejich nasazením.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2" w:name="_jz7gh7rawjp4" w:colFirst="0" w:colLast="0"/>
      <w:bookmarkEnd w:id="2"/>
      <w:r w:rsidRPr="00397AB4">
        <w:rPr>
          <w:rFonts w:ascii="Athiti" w:eastAsia="Athiti" w:hAnsi="Athiti" w:cs="Athiti"/>
          <w:lang w:val="cs-CZ"/>
        </w:rPr>
        <w:lastRenderedPageBreak/>
        <w:t>2. Strategie digitální provozní odolnosti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Strategie digitální provozní odolnosti společnosti slouží jako hlavní rámec pro zajištění integrity a kontinuity poskytování služeb v oblasti kryptoaktiv za všech provozních podmínek. Tato strategie je formálně schvalována vrcholovým vedením a podléhá dohledu na úrovni představenstva v souladu s článkem 6 nařízení DORA.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3" w:name="_d1bvvzeda51t" w:colFirst="0" w:colLast="0"/>
      <w:bookmarkEnd w:id="3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Strategie: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Odpovídá rizikovému apetitu společnosti: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Je navržena v souladu s podnikovými limity tolerance rizik schválenými představenstvem a je sladěna s obchodními cíli, očekáváním zákazníků a platnými právními povinnostmi.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Stanovuje strategické cíle: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Definuje jasné cíle týkající se dostupnosti, integrity a bezpečnosti digitálního provozu, včetně minimálních úrovní služeb, limitů závislosti na ICT a cílů v oblasti odolnosti.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Zavádí klíčové ukazatele výkonnosti a rizik (KPI / KRI):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Strategie stanovuje konkrétní měřitelné ukazatele, například:</w:t>
      </w:r>
    </w:p>
    <w:p w:rsidR="000B186D" w:rsidRPr="00397AB4" w:rsidRDefault="000B186D" w:rsidP="000B186D">
      <w:pPr>
        <w:pStyle w:val="normal"/>
        <w:numPr>
          <w:ilvl w:val="0"/>
          <w:numId w:val="10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cílovou dostupnost služeb a systémů (uptime);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0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cílové časy obnovy systémů (RTO – </w:t>
      </w:r>
      <w:r w:rsidRPr="00397AB4">
        <w:rPr>
          <w:rFonts w:ascii="Athiti" w:eastAsia="Athiti" w:hAnsi="Athiti" w:cs="Athiti"/>
          <w:i/>
          <w:lang w:val="cs-CZ"/>
        </w:rPr>
        <w:t>Recovery Time Objective</w:t>
      </w:r>
      <w:r w:rsidRPr="00397AB4">
        <w:rPr>
          <w:rFonts w:ascii="Athiti" w:eastAsia="Athiti" w:hAnsi="Athiti" w:cs="Athiti"/>
          <w:lang w:val="cs-CZ"/>
        </w:rPr>
        <w:t xml:space="preserve">) a obnovitelnosti dat (RPO – </w:t>
      </w:r>
      <w:r w:rsidRPr="00397AB4">
        <w:rPr>
          <w:rFonts w:ascii="Athiti" w:eastAsia="Athiti" w:hAnsi="Athiti" w:cs="Athiti"/>
          <w:i/>
          <w:lang w:val="cs-CZ"/>
        </w:rPr>
        <w:t>Recovery Point Objective</w:t>
      </w:r>
      <w:r w:rsidRPr="00397AB4">
        <w:rPr>
          <w:rFonts w:ascii="Athiti" w:eastAsia="Athiti" w:hAnsi="Athiti" w:cs="Athiti"/>
          <w:lang w:val="cs-CZ"/>
        </w:rPr>
        <w:t>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0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počet a dopad závažných incidentů souvisejících s ICT;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0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časy detekce a řešení bezpečnostních incidentů.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Je integrována do rámce správy a řízení (governance):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Strategie je propojena s rámcem řízení ICT rizik, registrem outsourcingu a řízením kontinuity podnikání, čímž je zajištěn jednotný přístup k provozní odolnosti.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Vyžaduje pravidelný přezkum a aktualizaci: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Strategie je přezkoumávána a aktualizována minimálně jednou ročně, případně častěji v reakci na:</w:t>
      </w:r>
    </w:p>
    <w:p w:rsidR="000B186D" w:rsidRPr="00397AB4" w:rsidRDefault="000B186D" w:rsidP="000B186D">
      <w:pPr>
        <w:pStyle w:val="normal"/>
        <w:numPr>
          <w:ilvl w:val="0"/>
          <w:numId w:val="9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významné provozní nebo technologické změny;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9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zavedení nových služeb nebo infrastruktury;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9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poučení z ICT incidentů nebo zpětné vazby od regulátorů.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lastRenderedPageBreak/>
        <w:t>Tato strategie je sdělena všem relevantním zainteresovaným stranám a je součástí školení a programů zvyšování povědomí za účelem podpory celopodnikové kultury provozní odolnosti.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4" w:name="_4awvz9l3h96s" w:colFirst="0" w:colLast="0"/>
      <w:bookmarkEnd w:id="4"/>
      <w:r w:rsidRPr="00397AB4">
        <w:rPr>
          <w:rFonts w:ascii="Athiti" w:eastAsia="Athiti" w:hAnsi="Athiti" w:cs="Athiti"/>
          <w:lang w:val="cs-CZ"/>
        </w:rPr>
        <w:t>3. Rámec řízení ICT rizik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Společnost zavádí robustní a dynamický rámec řízení ICT rizik v plném souladu s články 5 až 9 nařízení DORA. Tento rámec zajišťuje identifikaci, posouzení, zmírnění a průběžné sledování všech ICT rizik v celém životním cyklu služeb v oblasti kryptoaktiv.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5" w:name="_u8pqjuiwgpuo" w:colFirst="0" w:colLast="0"/>
      <w:bookmarkEnd w:id="5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Klíčové prvky rámce: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Komplexní identifikace rizik: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ICT rizika jsou identifikována napříč všemi obchodními liniemi, procesy a podpůrnými technologiemi, včetně on-premise infrastruktury, cloudových platforem, API, mobilních aplikací a poskytovatelů služeb třetích stran. Identifikace zahrnuje také nově vznikající hrozby, jako jsou </w:t>
      </w:r>
      <w:r w:rsidRPr="00397AB4">
        <w:rPr>
          <w:rFonts w:ascii="Athiti" w:eastAsia="Athiti" w:hAnsi="Athiti" w:cs="Athiti"/>
          <w:b/>
          <w:lang w:val="cs-CZ"/>
        </w:rPr>
        <w:t>zero-day</w:t>
      </w:r>
      <w:r w:rsidR="00397AB4">
        <w:rPr>
          <w:rFonts w:ascii="Athiti" w:eastAsia="Athiti" w:hAnsi="Athiti" w:cs="Athiti"/>
          <w:b/>
          <w:lang w:val="cs-CZ"/>
        </w:rPr>
        <w:t xml:space="preserve"> </w:t>
      </w:r>
      <w:r w:rsidRPr="00397AB4">
        <w:rPr>
          <w:rFonts w:ascii="Athiti" w:eastAsia="Athiti" w:hAnsi="Athiti" w:cs="Athiti"/>
          <w:b/>
          <w:lang w:val="cs-CZ"/>
        </w:rPr>
        <w:t xml:space="preserve"> zranitelnosti</w:t>
      </w:r>
      <w:r w:rsidRPr="00397AB4">
        <w:rPr>
          <w:rFonts w:ascii="Athiti" w:eastAsia="Athiti" w:hAnsi="Athiti" w:cs="Athiti"/>
          <w:lang w:val="cs-CZ"/>
        </w:rPr>
        <w:t xml:space="preserve">, </w:t>
      </w:r>
      <w:r w:rsidRPr="00397AB4">
        <w:rPr>
          <w:rFonts w:ascii="Athiti" w:eastAsia="Athiti" w:hAnsi="Athiti" w:cs="Athiti"/>
          <w:b/>
          <w:lang w:val="cs-CZ"/>
        </w:rPr>
        <w:t>geopolitická rizika</w:t>
      </w:r>
      <w:r w:rsidRPr="00397AB4">
        <w:rPr>
          <w:rFonts w:ascii="Athiti" w:eastAsia="Athiti" w:hAnsi="Athiti" w:cs="Athiti"/>
          <w:lang w:val="cs-CZ"/>
        </w:rPr>
        <w:t xml:space="preserve"> a </w:t>
      </w:r>
      <w:r w:rsidRPr="00397AB4">
        <w:rPr>
          <w:rFonts w:ascii="Athiti" w:eastAsia="Athiti" w:hAnsi="Athiti" w:cs="Athiti"/>
          <w:b/>
          <w:lang w:val="cs-CZ"/>
        </w:rPr>
        <w:t>pokročilé perzistentní hrozby (APT)</w:t>
      </w:r>
      <w:r w:rsidRPr="00397AB4">
        <w:rPr>
          <w:rFonts w:ascii="Athiti" w:eastAsia="Athiti" w:hAnsi="Athiti" w:cs="Athiti"/>
          <w:lang w:val="cs-CZ"/>
        </w:rPr>
        <w:t>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Klasifikace a prioritizace rizik: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Identifikovaná rizika jsou hodnocena a klasifikována na základě jejich pravděpodobnosti a potenciálního dopadu. Klasifikace probíhá pomocí standardizované </w:t>
      </w:r>
      <w:r w:rsidRPr="00397AB4">
        <w:rPr>
          <w:rFonts w:ascii="Athiti" w:eastAsia="Athiti" w:hAnsi="Athiti" w:cs="Athiti"/>
          <w:b/>
          <w:lang w:val="cs-CZ"/>
        </w:rPr>
        <w:t>rizikové matice</w:t>
      </w:r>
      <w:r w:rsidRPr="00397AB4">
        <w:rPr>
          <w:rFonts w:ascii="Athiti" w:eastAsia="Athiti" w:hAnsi="Athiti" w:cs="Athiti"/>
          <w:lang w:val="cs-CZ"/>
        </w:rPr>
        <w:t xml:space="preserve"> a zohledňuje mimo jiné:</w:t>
      </w:r>
    </w:p>
    <w:p w:rsidR="000B186D" w:rsidRPr="00397AB4" w:rsidRDefault="000B186D" w:rsidP="000B186D">
      <w:pPr>
        <w:pStyle w:val="normal"/>
        <w:numPr>
          <w:ilvl w:val="0"/>
          <w:numId w:val="21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kritičnost služby,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1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možnost porušení regulatorních požadavků,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1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dopad na reputaci,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1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vliv na zákazníky.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Strategie řešení rizik: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Pro každé identifikované riziko je zvolen vhodný způsob ošetření:</w:t>
      </w:r>
    </w:p>
    <w:p w:rsidR="000B186D" w:rsidRPr="00397AB4" w:rsidRDefault="000B186D" w:rsidP="000B186D">
      <w:pPr>
        <w:pStyle w:val="normal"/>
        <w:numPr>
          <w:ilvl w:val="0"/>
          <w:numId w:val="13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Vyloučení (Avoidance):</w:t>
      </w:r>
      <w:r w:rsidRPr="00397AB4">
        <w:rPr>
          <w:rFonts w:ascii="Athiti" w:eastAsia="Athiti" w:hAnsi="Athiti" w:cs="Athiti"/>
          <w:lang w:val="cs-CZ"/>
        </w:rPr>
        <w:t xml:space="preserve"> Eliminace expozice ukončením nebo změnou činnosti;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3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Zmírnění (Mitigation):</w:t>
      </w:r>
      <w:r w:rsidRPr="00397AB4">
        <w:rPr>
          <w:rFonts w:ascii="Athiti" w:eastAsia="Athiti" w:hAnsi="Athiti" w:cs="Athiti"/>
          <w:lang w:val="cs-CZ"/>
        </w:rPr>
        <w:t xml:space="preserve"> Snížení rizika pomocí technických, procesních nebo organizačních opatření;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3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Přenos (Transfer):</w:t>
      </w:r>
      <w:r w:rsidRPr="00397AB4">
        <w:rPr>
          <w:rFonts w:ascii="Athiti" w:eastAsia="Athiti" w:hAnsi="Athiti" w:cs="Athiti"/>
          <w:lang w:val="cs-CZ"/>
        </w:rPr>
        <w:t xml:space="preserve"> Přenesení rizika formou pojištění nebo outsourcingu na kvalifikovaného poskytovatele;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3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Akceptace (Acceptance):</w:t>
      </w:r>
      <w:r w:rsidRPr="00397AB4">
        <w:rPr>
          <w:rFonts w:ascii="Athiti" w:eastAsia="Athiti" w:hAnsi="Athiti" w:cs="Athiti"/>
          <w:lang w:val="cs-CZ"/>
        </w:rPr>
        <w:t xml:space="preserve"> Akceptace nízké zbytkové úrovně rizika na základě analýzy nákladů a přínosů.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lastRenderedPageBreak/>
        <w:t>Přiřazení odpovědnosti a dokumentace: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Každému ICT riziku je přiřazen odpovědný vlastník, který zodpovídá za zavedení a sledování nápravných opatření. Všechna rizika jsou evidována v </w:t>
      </w:r>
      <w:r w:rsidRPr="00397AB4">
        <w:rPr>
          <w:rFonts w:ascii="Athiti" w:eastAsia="Athiti" w:hAnsi="Athiti" w:cs="Athiti"/>
          <w:b/>
          <w:lang w:val="cs-CZ"/>
        </w:rPr>
        <w:t>centrálním ICT registru rizik</w:t>
      </w:r>
      <w:r w:rsidRPr="00397AB4">
        <w:rPr>
          <w:rFonts w:ascii="Athiti" w:eastAsia="Athiti" w:hAnsi="Athiti" w:cs="Athiti"/>
          <w:lang w:val="cs-CZ"/>
        </w:rPr>
        <w:t>, který obsahuje:</w:t>
      </w:r>
    </w:p>
    <w:p w:rsidR="000B186D" w:rsidRPr="00397AB4" w:rsidRDefault="000B186D" w:rsidP="000B186D">
      <w:pPr>
        <w:pStyle w:val="normal"/>
        <w:numPr>
          <w:ilvl w:val="0"/>
          <w:numId w:val="20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popis rizika a jeho příčiny;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0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hodnocení rizika (vrozené a zbytkové);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0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kontrolní opatření a plánované zásahy;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0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frekvenci přezkumu a stav nápravy.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Integrace rizik třetích stran: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ICT rizika spojená s outsourcingem a závislostí na třetích stranách jsou výslovně pokryta. Všichni kritičtí a důležití poskytovatelé služeb podléhají pravidelnému přehodnocení, revizi smluvních záruk a bezpečnostní due diligence.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Monitoring a přehodnocování: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Expozice riziku je průběžně monitorována prostřednictvím:</w:t>
      </w:r>
    </w:p>
    <w:p w:rsidR="000B186D" w:rsidRPr="00397AB4" w:rsidRDefault="000B186D" w:rsidP="000B186D">
      <w:pPr>
        <w:pStyle w:val="normal"/>
        <w:numPr>
          <w:ilvl w:val="0"/>
          <w:numId w:val="4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automatizovaných nástrojů,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4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záznamů o incidentech,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4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řízení změn,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4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zdrojů hrozbové inteligence.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Formální přezkumy rizik probíhají minimálně </w:t>
      </w:r>
      <w:r w:rsidRPr="00397AB4">
        <w:rPr>
          <w:rFonts w:ascii="Athiti" w:eastAsia="Athiti" w:hAnsi="Athiti" w:cs="Athiti"/>
          <w:b/>
          <w:lang w:val="cs-CZ"/>
        </w:rPr>
        <w:t>čtvrtletně</w:t>
      </w:r>
      <w:r w:rsidRPr="00397AB4">
        <w:rPr>
          <w:rFonts w:ascii="Athiti" w:eastAsia="Athiti" w:hAnsi="Athiti" w:cs="Athiti"/>
          <w:lang w:val="cs-CZ"/>
        </w:rPr>
        <w:t>, nebo v reakci na:</w:t>
      </w:r>
    </w:p>
    <w:p w:rsidR="000B186D" w:rsidRPr="00397AB4" w:rsidRDefault="000B186D" w:rsidP="000B186D">
      <w:pPr>
        <w:pStyle w:val="normal"/>
        <w:numPr>
          <w:ilvl w:val="0"/>
          <w:numId w:val="27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závažné ICT incidenty,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7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významné změny v infrastruktuře nebo dodavatelském řetězci,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7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zjištění z auditů nebo doporučení regulátorů.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Řízení a reportování: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Závažná ICT rizika jsou eskalována vedení společnosti a představenstvu prostřednictvím strukturovaných </w:t>
      </w:r>
      <w:r w:rsidRPr="00397AB4">
        <w:rPr>
          <w:rFonts w:ascii="Athiti" w:eastAsia="Athiti" w:hAnsi="Athiti" w:cs="Athiti"/>
          <w:b/>
          <w:lang w:val="cs-CZ"/>
        </w:rPr>
        <w:t>zpráv o rizicích</w:t>
      </w:r>
      <w:r w:rsidRPr="00397AB4">
        <w:rPr>
          <w:rFonts w:ascii="Athiti" w:eastAsia="Athiti" w:hAnsi="Athiti" w:cs="Athiti"/>
          <w:lang w:val="cs-CZ"/>
        </w:rPr>
        <w:t xml:space="preserve">, </w:t>
      </w:r>
      <w:r w:rsidRPr="00397AB4">
        <w:rPr>
          <w:rFonts w:ascii="Athiti" w:eastAsia="Athiti" w:hAnsi="Athiti" w:cs="Athiti"/>
          <w:b/>
          <w:lang w:val="cs-CZ"/>
        </w:rPr>
        <w:t>dashboardů</w:t>
      </w:r>
      <w:r w:rsidRPr="00397AB4">
        <w:rPr>
          <w:rFonts w:ascii="Athiti" w:eastAsia="Athiti" w:hAnsi="Athiti" w:cs="Athiti"/>
          <w:lang w:val="cs-CZ"/>
        </w:rPr>
        <w:t xml:space="preserve"> a jednání </w:t>
      </w:r>
      <w:r w:rsidRPr="00397AB4">
        <w:rPr>
          <w:rFonts w:ascii="Athiti" w:eastAsia="Athiti" w:hAnsi="Athiti" w:cs="Athiti"/>
          <w:b/>
          <w:lang w:val="cs-CZ"/>
        </w:rPr>
        <w:t>rizikového výboru</w:t>
      </w:r>
      <w:r w:rsidRPr="00397AB4">
        <w:rPr>
          <w:rFonts w:ascii="Athiti" w:eastAsia="Athiti" w:hAnsi="Athiti" w:cs="Athiti"/>
          <w:lang w:val="cs-CZ"/>
        </w:rPr>
        <w:t>. Jakékoli překročení předem stanovené úrovně rizikového apetitu podléhá okamžitému plánu nápravy a dohledu.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6" w:name="_pifa90g3kgq0" w:colFirst="0" w:colLast="0"/>
      <w:bookmarkEnd w:id="6"/>
      <w:r w:rsidRPr="00397AB4">
        <w:rPr>
          <w:rFonts w:ascii="Athiti" w:eastAsia="Athiti" w:hAnsi="Athiti" w:cs="Athiti"/>
          <w:lang w:val="cs-CZ"/>
        </w:rPr>
        <w:lastRenderedPageBreak/>
        <w:t>4. Analýza dopadů na podnikání (Business Impact Analysis – BIA)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Společnost provádí formální analýzu dopadů na podnikání (BIA), jejímž cílem je identifikovat a vyhodnotit možné důsledky významných ICT výpadků na poskytování služeb v oblasti kryptoaktiv. Tento proces představuje klíčový základ pro plánování provozní odolnosti a kontinuity činností podle článku 10 nařízení DORA.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7" w:name="_6caafj3ca2jg" w:colFirst="0" w:colLast="0"/>
      <w:bookmarkEnd w:id="7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Metodika BIA zahrnuje následující klíčové prvky: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Identifikace kritických funkcí a systémů: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BIA identifikuje klíčové obchodní funkce, zásadní služby, podpůrné systémy a jejich vzájemné závislosti. To zahrnuje jak interní systémy (např. infrastruktura peněženek, zpracování transakcí), tak externě řízené služby (např. cloudové API, třetí strany poskytující úschovu kryptoaktiv).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Hodnocení dopadů: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Pro každou kritickou funkci BIA vyhodnocuje dopady výpadku napříč následujícími oblastmi:</w:t>
      </w:r>
    </w:p>
    <w:p w:rsidR="000B186D" w:rsidRPr="00397AB4" w:rsidRDefault="000B186D" w:rsidP="000B186D">
      <w:pPr>
        <w:pStyle w:val="normal"/>
        <w:numPr>
          <w:ilvl w:val="0"/>
          <w:numId w:val="2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Provozní dopad:</w:t>
      </w:r>
      <w:r w:rsidRPr="00397AB4">
        <w:rPr>
          <w:rFonts w:ascii="Athiti" w:eastAsia="Athiti" w:hAnsi="Athiti" w:cs="Athiti"/>
          <w:lang w:val="cs-CZ"/>
        </w:rPr>
        <w:t xml:space="preserve"> Neschopnost realizovat nebo vypořádávat transakce s kryptoaktivy;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Dopad na klienty:</w:t>
      </w:r>
      <w:r w:rsidRPr="00397AB4">
        <w:rPr>
          <w:rFonts w:ascii="Athiti" w:eastAsia="Athiti" w:hAnsi="Athiti" w:cs="Athiti"/>
          <w:lang w:val="cs-CZ"/>
        </w:rPr>
        <w:t xml:space="preserve"> Zpoždění, finanční ztráty nebo oslabení důvěry zákazníků;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Regulatorní a právní dopad:</w:t>
      </w:r>
      <w:r w:rsidRPr="00397AB4">
        <w:rPr>
          <w:rFonts w:ascii="Athiti" w:eastAsia="Athiti" w:hAnsi="Athiti" w:cs="Athiti"/>
          <w:lang w:val="cs-CZ"/>
        </w:rPr>
        <w:t xml:space="preserve"> Porušení smluvních nebo zákonných povinností;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Reputační dopad:</w:t>
      </w:r>
      <w:r w:rsidRPr="00397AB4">
        <w:rPr>
          <w:rFonts w:ascii="Athiti" w:eastAsia="Athiti" w:hAnsi="Athiti" w:cs="Athiti"/>
          <w:lang w:val="cs-CZ"/>
        </w:rPr>
        <w:t xml:space="preserve"> Poškození značky a důvěry trhu.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Hranice provozní odolnosti:</w:t>
      </w:r>
    </w:p>
    <w:p w:rsidR="000B186D" w:rsidRPr="00397AB4" w:rsidRDefault="000B186D" w:rsidP="000B186D">
      <w:pPr>
        <w:pStyle w:val="normal"/>
        <w:numPr>
          <w:ilvl w:val="0"/>
          <w:numId w:val="3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Maximálně tolerovatelná doba výpadku (MTD):</w:t>
      </w:r>
      <w:r w:rsidRPr="00397AB4">
        <w:rPr>
          <w:rFonts w:ascii="Athiti" w:eastAsia="Athiti" w:hAnsi="Athiti" w:cs="Athiti"/>
          <w:lang w:val="cs-CZ"/>
        </w:rPr>
        <w:t xml:space="preserve"> Nejdelší možná doba, po kterou může být funkce nedostupná, aniž by to mělo nepřijatelné následky;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3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Cílová doba obnovy (RTO):</w:t>
      </w:r>
      <w:r w:rsidRPr="00397AB4">
        <w:rPr>
          <w:rFonts w:ascii="Athiti" w:eastAsia="Athiti" w:hAnsi="Athiti" w:cs="Athiti"/>
          <w:lang w:val="cs-CZ"/>
        </w:rPr>
        <w:t xml:space="preserve"> Cílový čas, za který má být funkce obnovena po výpadku;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3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Cílový bod obnovy (RPO):</w:t>
      </w:r>
      <w:r w:rsidRPr="00397AB4">
        <w:rPr>
          <w:rFonts w:ascii="Athiti" w:eastAsia="Athiti" w:hAnsi="Athiti" w:cs="Athiti"/>
          <w:lang w:val="cs-CZ"/>
        </w:rPr>
        <w:t xml:space="preserve"> Maximální tolerovatelný interval ztráty dat v případě poruchy systému.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Plánování zdrojů a investic: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Na základě vyhodnocení dopadů BIA podporuje </w:t>
      </w:r>
      <w:r w:rsidR="00397AB4" w:rsidRPr="00397AB4">
        <w:rPr>
          <w:rFonts w:ascii="Athiti" w:eastAsia="Athiti" w:hAnsi="Athiti" w:cs="Athiti"/>
          <w:lang w:val="cs-CZ"/>
        </w:rPr>
        <w:t>prioritizace</w:t>
      </w:r>
      <w:r w:rsidRPr="00397AB4">
        <w:rPr>
          <w:rFonts w:ascii="Athiti" w:eastAsia="Athiti" w:hAnsi="Athiti" w:cs="Athiti"/>
          <w:lang w:val="cs-CZ"/>
        </w:rPr>
        <w:t xml:space="preserve"> investic do provozní odolnosti, jako je:</w:t>
      </w:r>
    </w:p>
    <w:p w:rsidR="000B186D" w:rsidRPr="00397AB4" w:rsidRDefault="000B186D" w:rsidP="000B186D">
      <w:pPr>
        <w:pStyle w:val="normal"/>
        <w:numPr>
          <w:ilvl w:val="0"/>
          <w:numId w:val="1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vysoce dostupná infrastruktura,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lastRenderedPageBreak/>
        <w:t>redundantní systémy,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záložní lokality,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posílené kapacity pro reakci na incidenty.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Dokumentace a odpovědnost: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Výsledky BIA jsou zdokumentovány a uloženy v centrálním úložišti a obsahují:</w:t>
      </w:r>
    </w:p>
    <w:p w:rsidR="000B186D" w:rsidRPr="00397AB4" w:rsidRDefault="000B186D" w:rsidP="000B186D">
      <w:pPr>
        <w:pStyle w:val="normal"/>
        <w:numPr>
          <w:ilvl w:val="0"/>
          <w:numId w:val="17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klasifikaci služeb podle úrovně kritičnosti;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7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stanovené hodnoty MTD / RTO / RPO;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7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závislosti na třetích stranách nebo infrastrukturních komponentech;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7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doporučené strategie zmírnění rizik.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Přezkum a údržba: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BIA je přezkoumávána minimálně jednou ročně, případně častěji v případě, že:</w:t>
      </w:r>
    </w:p>
    <w:p w:rsidR="000B186D" w:rsidRPr="00397AB4" w:rsidRDefault="000B186D" w:rsidP="000B186D">
      <w:pPr>
        <w:pStyle w:val="normal"/>
        <w:numPr>
          <w:ilvl w:val="0"/>
          <w:numId w:val="22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dojde k významným změnám v procesech, službách nebo infrastruktuře;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2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dojde ke změně regulatorních požadavků nebo prahových hodnot rizikového apetitu;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2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se objeví nové hrozby nebo poznatky z předchozích incidentů.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BIA je schvalována vrcholovým vedením a přímo ovlivňuje ICT strategii společnosti v oblasti reakce, obnovy a zajištění kontinuity provozu.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8" w:name="_b1myj0obvzuu" w:colFirst="0" w:colLast="0"/>
      <w:bookmarkEnd w:id="8"/>
      <w:r w:rsidRPr="00397AB4">
        <w:rPr>
          <w:rFonts w:ascii="Athiti" w:eastAsia="Athiti" w:hAnsi="Athiti" w:cs="Athiti"/>
          <w:lang w:val="cs-CZ"/>
        </w:rPr>
        <w:t>5. Plány reakce a obnovy ICT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V souladu s články 10 až 13 nařízení DORA společnost udržuje a pravidelně aktualizuje komplexní </w:t>
      </w:r>
      <w:r w:rsidRPr="00397AB4">
        <w:rPr>
          <w:rFonts w:ascii="Athiti" w:eastAsia="Athiti" w:hAnsi="Athiti" w:cs="Athiti"/>
          <w:b/>
          <w:lang w:val="cs-CZ"/>
        </w:rPr>
        <w:t>plány reakce a obnovy ICT</w:t>
      </w:r>
      <w:r w:rsidRPr="00397AB4">
        <w:rPr>
          <w:rFonts w:ascii="Athiti" w:eastAsia="Athiti" w:hAnsi="Athiti" w:cs="Athiti"/>
          <w:lang w:val="cs-CZ"/>
        </w:rPr>
        <w:t>. Tyto plány slouží k zajištění včasné reakce na narušení a k obnově provozu po přerušení poskytování služeb v oblasti kryptoaktiv.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9" w:name="_tf82ps51syde" w:colFirst="0" w:colLast="0"/>
      <w:bookmarkEnd w:id="9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Hlavní prvky plánů reakce a obnovy: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Definované role a eskalační cesty: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jasně určují role a odpovědnosti zapojených osob při reakci na incident, včetně eskalačních cest směrem k vrcholovému vedení, pracovníkům compliance, externím poskytovatelům služeb a dozorovým orgánům. Určené týmy jsou pravidelně školeny k rychlé a koordinované reakci při výpadcích ICT.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lastRenderedPageBreak/>
        <w:t>Pokrytí celého životního cyklu incidentu: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se vztahují na všechny fáze životního cyklu incidentu:</w:t>
      </w:r>
    </w:p>
    <w:p w:rsidR="000B186D" w:rsidRPr="00397AB4" w:rsidRDefault="000B186D" w:rsidP="000B186D">
      <w:pPr>
        <w:pStyle w:val="normal"/>
        <w:numPr>
          <w:ilvl w:val="0"/>
          <w:numId w:val="28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Detekce:</w:t>
      </w:r>
      <w:r w:rsidRPr="00397AB4">
        <w:rPr>
          <w:rFonts w:ascii="Athiti" w:eastAsia="Athiti" w:hAnsi="Athiti" w:cs="Athiti"/>
          <w:lang w:val="cs-CZ"/>
        </w:rPr>
        <w:t xml:space="preserve"> Využití nástrojů pro monitorování v reálném čase, detekci narušení a identifikaci anomálií;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Izolace:</w:t>
      </w:r>
      <w:r w:rsidRPr="00397AB4">
        <w:rPr>
          <w:rFonts w:ascii="Athiti" w:eastAsia="Athiti" w:hAnsi="Athiti" w:cs="Athiti"/>
          <w:lang w:val="cs-CZ"/>
        </w:rPr>
        <w:t xml:space="preserve"> Postupy k oddělení postižených systémů a prevenci šíření incidentu nebo úniku dat;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Odstranění:</w:t>
      </w:r>
      <w:r w:rsidRPr="00397AB4">
        <w:rPr>
          <w:rFonts w:ascii="Athiti" w:eastAsia="Athiti" w:hAnsi="Athiti" w:cs="Athiti"/>
          <w:lang w:val="cs-CZ"/>
        </w:rPr>
        <w:t xml:space="preserve"> Kroky k eliminaci hrozeb, malwaru nebo zranitelností z napadeného prostředí;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Obnova:</w:t>
      </w:r>
      <w:r w:rsidRPr="00397AB4">
        <w:rPr>
          <w:rFonts w:ascii="Athiti" w:eastAsia="Athiti" w:hAnsi="Athiti" w:cs="Athiti"/>
          <w:lang w:val="cs-CZ"/>
        </w:rPr>
        <w:t xml:space="preserve"> Opatření k obnovení provozu, včetně obnovy dat, opětovného ověření systémů a testování;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8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Analýza po incidentu:</w:t>
      </w:r>
      <w:r w:rsidRPr="00397AB4">
        <w:rPr>
          <w:rFonts w:ascii="Athiti" w:eastAsia="Athiti" w:hAnsi="Athiti" w:cs="Athiti"/>
          <w:lang w:val="cs-CZ"/>
        </w:rPr>
        <w:t xml:space="preserve"> Zjištění hlavní příčiny, poučení a plánování nápravných opatření.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Zaměření na interní i externí hrozby: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pokrývají široké spektrum incidentů, včetně:</w:t>
      </w:r>
    </w:p>
    <w:p w:rsidR="000B186D" w:rsidRPr="00397AB4" w:rsidRDefault="000B186D" w:rsidP="000B186D">
      <w:pPr>
        <w:pStyle w:val="normal"/>
        <w:numPr>
          <w:ilvl w:val="0"/>
          <w:numId w:val="19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Interních selhání systémů</w:t>
      </w:r>
      <w:r w:rsidRPr="00397AB4">
        <w:rPr>
          <w:rFonts w:ascii="Athiti" w:eastAsia="Athiti" w:hAnsi="Athiti" w:cs="Athiti"/>
          <w:lang w:val="cs-CZ"/>
        </w:rPr>
        <w:t xml:space="preserve"> (např. poškození databáze, chybné konfigurace);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9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Externích hrozeb</w:t>
      </w:r>
      <w:r w:rsidRPr="00397AB4">
        <w:rPr>
          <w:rFonts w:ascii="Athiti" w:eastAsia="Athiti" w:hAnsi="Athiti" w:cs="Athiti"/>
          <w:lang w:val="cs-CZ"/>
        </w:rPr>
        <w:t xml:space="preserve"> (např. DDoS útoky, ransomware, kompromitace dodavatelského řetězce);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9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Výpadků nebo narušení služeb třetích stran.</w:t>
      </w:r>
      <w:r w:rsidRPr="00397AB4">
        <w:rPr>
          <w:rFonts w:ascii="Athiti" w:eastAsia="Athiti" w:hAnsi="Athiti" w:cs="Athiti"/>
          <w:b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Soulad s regulatorním oznamováním: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zajišťují plnění povinnosti oznamování závažných ICT incidentů dle článku 19 DORA. Interní pracovní postupy odpovídají požadovaným lhůtám a formátům předkládání zpráv.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Integrace s řízením kontinuity a krizovou komunikací: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reakce a obnovy ICT jsou plně propojeny s širším plánováním kontinuity činností a krizovou komunikací společnosti, čímž je zajištěna koordinace technických i netechnických oblastí.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Testování a ověřování účinnosti: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Účinnost plánů je ověřována minimálně </w:t>
      </w:r>
      <w:r w:rsidRPr="00397AB4">
        <w:rPr>
          <w:rFonts w:ascii="Athiti" w:eastAsia="Athiti" w:hAnsi="Athiti" w:cs="Athiti"/>
          <w:b/>
          <w:lang w:val="cs-CZ"/>
        </w:rPr>
        <w:t>dvakrát ročně</w:t>
      </w:r>
      <w:r w:rsidRPr="00397AB4">
        <w:rPr>
          <w:rFonts w:ascii="Athiti" w:eastAsia="Athiti" w:hAnsi="Athiti" w:cs="Athiti"/>
          <w:lang w:val="cs-CZ"/>
        </w:rPr>
        <w:t xml:space="preserve"> prostřednictvím:</w:t>
      </w:r>
    </w:p>
    <w:p w:rsidR="000B186D" w:rsidRPr="00397AB4" w:rsidRDefault="000B186D" w:rsidP="000B186D">
      <w:pPr>
        <w:pStyle w:val="normal"/>
        <w:numPr>
          <w:ilvl w:val="0"/>
          <w:numId w:val="24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Simulačních cvičení typu tabletop</w:t>
      </w:r>
      <w:r w:rsidRPr="00397AB4">
        <w:rPr>
          <w:rFonts w:ascii="Athiti" w:eastAsia="Athiti" w:hAnsi="Athiti" w:cs="Athiti"/>
          <w:lang w:val="cs-CZ"/>
        </w:rPr>
        <w:t xml:space="preserve"> (nácvik kybernetických incidentů a výpadků);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4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Technických cvičení obnovy</w:t>
      </w:r>
      <w:r w:rsidRPr="00397AB4">
        <w:rPr>
          <w:rFonts w:ascii="Athiti" w:eastAsia="Athiti" w:hAnsi="Athiti" w:cs="Athiti"/>
          <w:lang w:val="cs-CZ"/>
        </w:rPr>
        <w:t>, včetně obnovy ze záloh a aktivace záložních systémů;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4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Zapojení zainteresovaných stran</w:t>
      </w:r>
      <w:r w:rsidRPr="00397AB4">
        <w:rPr>
          <w:rFonts w:ascii="Athiti" w:eastAsia="Athiti" w:hAnsi="Athiti" w:cs="Athiti"/>
          <w:lang w:val="cs-CZ"/>
        </w:rPr>
        <w:t xml:space="preserve"> a vyhodnocení zpětné vazby po simulacích.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lastRenderedPageBreak/>
        <w:t>Průběžné zlepšování: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jsou aktualizovány po každém testu, významném incidentu nebo zásadní změně infrastruktury či služeb. Poznatky jsou formálně zaznamenány a schvalovány funkcí řízení ICT rizik.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10" w:name="_cm8zc53qjy6u" w:colFirst="0" w:colLast="0"/>
      <w:bookmarkEnd w:id="10"/>
      <w:r w:rsidRPr="00397AB4">
        <w:rPr>
          <w:rFonts w:ascii="Athiti" w:eastAsia="Athiti" w:hAnsi="Athiti" w:cs="Athiti"/>
          <w:lang w:val="cs-CZ"/>
        </w:rPr>
        <w:t>6. Plány kontinuity ICT provozu a krizové komunikace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Společnost zavedla a udržuje robustní </w:t>
      </w:r>
      <w:r w:rsidRPr="00397AB4">
        <w:rPr>
          <w:rFonts w:ascii="Athiti" w:eastAsia="Athiti" w:hAnsi="Athiti" w:cs="Athiti"/>
          <w:b/>
          <w:lang w:val="cs-CZ"/>
        </w:rPr>
        <w:t>plány kontinuity ICT provozu (BCP)</w:t>
      </w:r>
      <w:r w:rsidRPr="00397AB4">
        <w:rPr>
          <w:rFonts w:ascii="Athiti" w:eastAsia="Athiti" w:hAnsi="Athiti" w:cs="Athiti"/>
          <w:lang w:val="cs-CZ"/>
        </w:rPr>
        <w:t xml:space="preserve"> a </w:t>
      </w:r>
      <w:r w:rsidRPr="00397AB4">
        <w:rPr>
          <w:rFonts w:ascii="Athiti" w:eastAsia="Athiti" w:hAnsi="Athiti" w:cs="Athiti"/>
          <w:b/>
          <w:lang w:val="cs-CZ"/>
        </w:rPr>
        <w:t>plány krizové komunikace</w:t>
      </w:r>
      <w:r w:rsidRPr="00397AB4">
        <w:rPr>
          <w:rFonts w:ascii="Athiti" w:eastAsia="Athiti" w:hAnsi="Athiti" w:cs="Athiti"/>
          <w:lang w:val="cs-CZ"/>
        </w:rPr>
        <w:t xml:space="preserve"> v souladu s články 10 a 13 nařízení DORA. Tyto plány zajišťují, že společnost dokáže během a po narušení ICT infrastruktury udržet nebo obnovit poskytování klíčových služeb v oblasti kryptoaktiv a zároveň komunikovat transparentně a efektivně s interními i externími partnery.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11" w:name="_ipyqgjxwufzz" w:colFirst="0" w:colLast="0"/>
      <w:bookmarkEnd w:id="11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Hlavní komponenty těchto plánů zahrnují: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Scénáře narušení a pokrytí rizik: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BCP jsou navrženy tak, aby pokrývaly různorodé scénáře narušení, včetně:</w:t>
      </w:r>
    </w:p>
    <w:p w:rsidR="000B186D" w:rsidRPr="00397AB4" w:rsidRDefault="000B186D" w:rsidP="000B186D">
      <w:pPr>
        <w:pStyle w:val="normal"/>
        <w:numPr>
          <w:ilvl w:val="0"/>
          <w:numId w:val="14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úplné nebo částečné ztráty přístupu k ICT systémům, sítím nebo datům;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4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poškození nebo zničení kritických informačních aktiv;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4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výpadků u poskytovatelů služeb třetích stran nebo cloudových řešení;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4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rozsáhlých kybernetických útoků nebo koordinovaných hrozeb.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Komunikační protokoly:</w:t>
      </w:r>
    </w:p>
    <w:p w:rsidR="000B186D" w:rsidRPr="00397AB4" w:rsidRDefault="000B186D" w:rsidP="000B186D">
      <w:pPr>
        <w:pStyle w:val="normal"/>
        <w:numPr>
          <w:ilvl w:val="0"/>
          <w:numId w:val="5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Jasně definované interní komunikační postupy, včetně pravidel eskalace a úrovní pravomocí pro spuštění plánů kontinuity a krizového řízení;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5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Postupy externí komunikace přizpůsobené pro klienty, regulátory, finanční partnery a média;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5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Šablony a kontrolní seznamy pro urgentní oznámení, regulatorní hlášení a zákaznickou komunikaci v souladu s </w:t>
      </w:r>
      <w:r w:rsidRPr="00397AB4">
        <w:rPr>
          <w:rFonts w:ascii="Athiti" w:eastAsia="Athiti" w:hAnsi="Athiti" w:cs="Athiti"/>
          <w:b/>
          <w:lang w:val="cs-CZ"/>
        </w:rPr>
        <w:t>GDPR</w:t>
      </w:r>
      <w:r w:rsidRPr="00397AB4">
        <w:rPr>
          <w:rFonts w:ascii="Athiti" w:eastAsia="Athiti" w:hAnsi="Athiti" w:cs="Athiti"/>
          <w:lang w:val="cs-CZ"/>
        </w:rPr>
        <w:t xml:space="preserve">, </w:t>
      </w:r>
      <w:r w:rsidRPr="00397AB4">
        <w:rPr>
          <w:rFonts w:ascii="Athiti" w:eastAsia="Athiti" w:hAnsi="Athiti" w:cs="Athiti"/>
          <w:b/>
          <w:lang w:val="cs-CZ"/>
        </w:rPr>
        <w:t>MiCA</w:t>
      </w:r>
      <w:r w:rsidRPr="00397AB4">
        <w:rPr>
          <w:rFonts w:ascii="Athiti" w:eastAsia="Athiti" w:hAnsi="Athiti" w:cs="Athiti"/>
          <w:lang w:val="cs-CZ"/>
        </w:rPr>
        <w:t xml:space="preserve"> a </w:t>
      </w:r>
      <w:r w:rsidRPr="00397AB4">
        <w:rPr>
          <w:rFonts w:ascii="Athiti" w:eastAsia="Athiti" w:hAnsi="Athiti" w:cs="Athiti"/>
          <w:b/>
          <w:lang w:val="cs-CZ"/>
        </w:rPr>
        <w:t>DORA</w:t>
      </w:r>
      <w:r w:rsidRPr="00397AB4">
        <w:rPr>
          <w:rFonts w:ascii="Athiti" w:eastAsia="Athiti" w:hAnsi="Athiti" w:cs="Athiti"/>
          <w:lang w:val="cs-CZ"/>
        </w:rPr>
        <w:t>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Redundance a záložní řešení:</w:t>
      </w:r>
    </w:p>
    <w:p w:rsidR="000B186D" w:rsidRPr="00397AB4" w:rsidRDefault="000B186D" w:rsidP="000B186D">
      <w:pPr>
        <w:pStyle w:val="normal"/>
        <w:numPr>
          <w:ilvl w:val="0"/>
          <w:numId w:val="11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Určení alternativních zpracovatelských míst, záložní infrastruktury a předem dohodnutých komunikačních nástrojů pro krizové situace;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1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Redundantní cloudové plány s mechanismy failover a geografickou replikací kritických dat;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1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Pravidelné ověřování integrity záloh a spolehlivosti externího úložiště.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lastRenderedPageBreak/>
        <w:t>Integrace s celopodnikovým systémem řízení kontinuity (BCMS):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ICT BCP jsou začleněny do širšího </w:t>
      </w:r>
      <w:r w:rsidRPr="00397AB4">
        <w:rPr>
          <w:rFonts w:ascii="Athiti" w:eastAsia="Athiti" w:hAnsi="Athiti" w:cs="Athiti"/>
          <w:b/>
          <w:lang w:val="cs-CZ"/>
        </w:rPr>
        <w:t>systému řízení kontinuity činností (BCMS)</w:t>
      </w:r>
      <w:r w:rsidRPr="00397AB4">
        <w:rPr>
          <w:rFonts w:ascii="Athiti" w:eastAsia="Athiti" w:hAnsi="Athiti" w:cs="Athiti"/>
          <w:lang w:val="cs-CZ"/>
        </w:rPr>
        <w:t>, aby byla zajištěna koordinovaná reakce napříč obchodními, technickými a podpůrnými jednotkami.</w:t>
      </w:r>
      <w:r w:rsidRPr="00397AB4">
        <w:rPr>
          <w:rFonts w:ascii="Athiti" w:eastAsia="Athiti" w:hAnsi="Athiti" w:cs="Athiti"/>
          <w:lang w:val="cs-CZ"/>
        </w:rPr>
        <w:br/>
        <w:t xml:space="preserve"> Jsou určeni a školeni členové krizového týmu a koordinátoři kontinuity činností.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Testování, školení a údržba:</w:t>
      </w:r>
    </w:p>
    <w:p w:rsidR="000B186D" w:rsidRPr="00397AB4" w:rsidRDefault="000B186D" w:rsidP="000B186D">
      <w:pPr>
        <w:pStyle w:val="normal"/>
        <w:numPr>
          <w:ilvl w:val="0"/>
          <w:numId w:val="15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Plány BCP a krizové komunikace jsou testovány </w:t>
      </w:r>
      <w:r w:rsidRPr="00397AB4">
        <w:rPr>
          <w:rFonts w:ascii="Athiti" w:eastAsia="Athiti" w:hAnsi="Athiti" w:cs="Athiti"/>
          <w:b/>
          <w:lang w:val="cs-CZ"/>
        </w:rPr>
        <w:t>minimálně jednou ročně</w:t>
      </w:r>
      <w:r w:rsidRPr="00397AB4">
        <w:rPr>
          <w:rFonts w:ascii="Athiti" w:eastAsia="Athiti" w:hAnsi="Athiti" w:cs="Athiti"/>
          <w:lang w:val="cs-CZ"/>
        </w:rPr>
        <w:t xml:space="preserve"> prostřednictvím simulačních cvičení, průchodů scénáři a blackout testů;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5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Zjištěné poznatky jsou dokumentovány a použity k úpravám postupů;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5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Plány jsou přezkoumávány a aktualizovány po významných obchodních změnách, modernizaci infrastruktury nebo reálném výskytu incidentů.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Tyto plány zajišťují, že společnost je schopna </w:t>
      </w:r>
      <w:r w:rsidRPr="00397AB4">
        <w:rPr>
          <w:rFonts w:ascii="Athiti" w:eastAsia="Athiti" w:hAnsi="Athiti" w:cs="Athiti"/>
          <w:b/>
          <w:lang w:val="cs-CZ"/>
        </w:rPr>
        <w:t>udržet důvěru zákazníků, plnit regulatorní povinnosti a obnovit provoz v rámci stanovených prahových hodnot provozní odolnosti</w:t>
      </w:r>
      <w:r w:rsidRPr="00397AB4">
        <w:rPr>
          <w:rFonts w:ascii="Athiti" w:eastAsia="Athiti" w:hAnsi="Athiti" w:cs="Athiti"/>
          <w:lang w:val="cs-CZ"/>
        </w:rPr>
        <w:t>, i za nepříznivých podmínek.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12" w:name="_7wtcfzfslq1p" w:colFirst="0" w:colLast="0"/>
      <w:bookmarkEnd w:id="12"/>
      <w:r w:rsidRPr="00397AB4">
        <w:rPr>
          <w:rFonts w:ascii="Athiti" w:eastAsia="Athiti" w:hAnsi="Athiti" w:cs="Athiti"/>
          <w:lang w:val="cs-CZ"/>
        </w:rPr>
        <w:t>7. Programy zvyšování povědomí o bezpečnosti ICT a školení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Společnost zavádí strukturované </w:t>
      </w:r>
      <w:r w:rsidRPr="00397AB4">
        <w:rPr>
          <w:rFonts w:ascii="Athiti" w:eastAsia="Athiti" w:hAnsi="Athiti" w:cs="Athiti"/>
          <w:b/>
          <w:lang w:val="cs-CZ"/>
        </w:rPr>
        <w:t>programy zvyšování povědomí o bezpečnosti ICT a školení</w:t>
      </w:r>
      <w:r w:rsidRPr="00397AB4">
        <w:rPr>
          <w:rFonts w:ascii="Athiti" w:eastAsia="Athiti" w:hAnsi="Athiti" w:cs="Athiti"/>
          <w:lang w:val="cs-CZ"/>
        </w:rPr>
        <w:t>, jejichž cílem je podpořit kulturu bezpečnosti, zajistit soulad s nařízením DORA a omezit rizika incidentů způsobených lidským faktorem.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13" w:name="_1f5th2i8p719" w:colFirst="0" w:colLast="0"/>
      <w:bookmarkEnd w:id="13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Klíčové charakteristiky školení: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Přizpůsobení podle rolí: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Školící moduly jsou upraveny podle pracovní role a míry vystavení rizikům:</w:t>
      </w:r>
    </w:p>
    <w:p w:rsidR="000B186D" w:rsidRPr="00397AB4" w:rsidRDefault="000B186D" w:rsidP="000B186D">
      <w:pPr>
        <w:pStyle w:val="normal"/>
        <w:numPr>
          <w:ilvl w:val="0"/>
          <w:numId w:val="7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Obecní uživatelé:</w:t>
      </w:r>
      <w:r w:rsidRPr="00397AB4">
        <w:rPr>
          <w:rFonts w:ascii="Athiti" w:eastAsia="Athiti" w:hAnsi="Athiti" w:cs="Athiti"/>
          <w:lang w:val="cs-CZ"/>
        </w:rPr>
        <w:t xml:space="preserve"> Základy bezpečnosti – bezpečné heslo, bezpečné chování na internetu, ochrana soukromí;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7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Privilegovaní uživatelé:</w:t>
      </w:r>
      <w:r w:rsidRPr="00397AB4">
        <w:rPr>
          <w:rFonts w:ascii="Athiti" w:eastAsia="Athiti" w:hAnsi="Athiti" w:cs="Athiti"/>
          <w:lang w:val="cs-CZ"/>
        </w:rPr>
        <w:t xml:space="preserve"> Pokročilé moduly – zabezpečení systémů, řízení přístupu, administrativní kontrolní mechanismy;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7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Vývojáři:</w:t>
      </w:r>
      <w:r w:rsidRPr="00397AB4">
        <w:rPr>
          <w:rFonts w:ascii="Athiti" w:eastAsia="Athiti" w:hAnsi="Athiti" w:cs="Athiti"/>
          <w:lang w:val="cs-CZ"/>
        </w:rPr>
        <w:t xml:space="preserve"> Bezpečný vývojový cyklus softwaru (SSDLC), bezpečné programovací praktiky, řízení zranitelností;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7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Compliance a management:</w:t>
      </w:r>
      <w:r w:rsidRPr="00397AB4">
        <w:rPr>
          <w:rFonts w:ascii="Athiti" w:eastAsia="Athiti" w:hAnsi="Athiti" w:cs="Athiti"/>
          <w:lang w:val="cs-CZ"/>
        </w:rPr>
        <w:t xml:space="preserve"> Regulační požadavky dle DORA, role v oblasti governance, povinnosti při reakci na incidenty.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lastRenderedPageBreak/>
        <w:t>Oblasti obsahu: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Výukový plán pokrývá klíčová témata včetně:</w:t>
      </w:r>
    </w:p>
    <w:p w:rsidR="000B186D" w:rsidRPr="00397AB4" w:rsidRDefault="000B186D" w:rsidP="000B186D">
      <w:pPr>
        <w:pStyle w:val="normal"/>
        <w:numPr>
          <w:ilvl w:val="0"/>
          <w:numId w:val="8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Rozpoznání phishingu a spear phishingu;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Taktiky sociálního inženýrství a preventivní chování;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Bezpečné používání vzdáleného přístupu a mobilních zařízení;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Regulační povinnosti dle DORA, GDPR a MiCA;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8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Interní postupy pro hlášení podezřelých aktivit nebo incidentů.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Frekvence a forma školení:</w:t>
      </w:r>
    </w:p>
    <w:p w:rsidR="000B186D" w:rsidRPr="00397AB4" w:rsidRDefault="000B186D" w:rsidP="000B186D">
      <w:pPr>
        <w:pStyle w:val="normal"/>
        <w:numPr>
          <w:ilvl w:val="0"/>
          <w:numId w:val="16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Při nástupu – povinné školení pro všechny nové zaměstnance;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6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Každoroční povinné školení pro všechny pracovníky;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6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Ad hoc školení v návaznosti na incidenty, změny hrozeb nebo aktualizace regulací.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Simulace a kampaně:</w:t>
      </w:r>
    </w:p>
    <w:p w:rsidR="000B186D" w:rsidRPr="00397AB4" w:rsidRDefault="000B186D" w:rsidP="000B186D">
      <w:pPr>
        <w:pStyle w:val="normal"/>
        <w:numPr>
          <w:ilvl w:val="0"/>
          <w:numId w:val="6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Pravidelné phishingové simulace cílené na různé typy uživatelů;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6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Průběžné kampaně zvyšující povědomí prostřednictvím e-mailů, intranetu, plakátů a interaktivních výzev;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6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„Capture-the-flag“ (CTF) cvičení pro technické týmy.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Měření efektivity:</w:t>
      </w:r>
    </w:p>
    <w:p w:rsidR="000B186D" w:rsidRPr="00397AB4" w:rsidRDefault="000B186D" w:rsidP="000B186D">
      <w:pPr>
        <w:pStyle w:val="normal"/>
        <w:numPr>
          <w:ilvl w:val="0"/>
          <w:numId w:val="26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Testy a kvízy po školení;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6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Analýza míry prokliků ve phishingových simulacích a chování při hlášení incidentů;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6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Metriky přisuzující incidenty chybám nebo neznalosti uživatelů;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6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Evidence účasti a statistik dokončených školení.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lastRenderedPageBreak/>
        <w:t xml:space="preserve">Záznamy o školeních jsou uloženy v centrálním </w:t>
      </w:r>
      <w:r w:rsidRPr="00397AB4">
        <w:rPr>
          <w:rFonts w:ascii="Athiti" w:eastAsia="Athiti" w:hAnsi="Athiti" w:cs="Athiti"/>
          <w:b/>
          <w:lang w:val="cs-CZ"/>
        </w:rPr>
        <w:t>systému řízení vzdělávání (LMS)</w:t>
      </w:r>
      <w:r w:rsidRPr="00397AB4">
        <w:rPr>
          <w:rFonts w:ascii="Athiti" w:eastAsia="Athiti" w:hAnsi="Athiti" w:cs="Athiti"/>
          <w:lang w:val="cs-CZ"/>
        </w:rPr>
        <w:t xml:space="preserve"> a celková efektivita programu je čtvrtletně přezkoumávána </w:t>
      </w:r>
      <w:r w:rsidRPr="00397AB4">
        <w:rPr>
          <w:rFonts w:ascii="Athiti" w:eastAsia="Athiti" w:hAnsi="Athiti" w:cs="Athiti"/>
          <w:b/>
          <w:lang w:val="cs-CZ"/>
        </w:rPr>
        <w:t>vedoucím bezpečnosti informací (ISO)</w:t>
      </w:r>
      <w:r w:rsidRPr="00397AB4">
        <w:rPr>
          <w:rFonts w:ascii="Athiti" w:eastAsia="Athiti" w:hAnsi="Athiti" w:cs="Athiti"/>
          <w:lang w:val="cs-CZ"/>
        </w:rPr>
        <w:t xml:space="preserve"> a </w:t>
      </w:r>
      <w:r w:rsidRPr="00397AB4">
        <w:rPr>
          <w:rFonts w:ascii="Athiti" w:eastAsia="Athiti" w:hAnsi="Athiti" w:cs="Athiti"/>
          <w:b/>
          <w:lang w:val="cs-CZ"/>
        </w:rPr>
        <w:t>odpovědnou osobou za compliance</w:t>
      </w:r>
      <w:r w:rsidRPr="00397AB4">
        <w:rPr>
          <w:rFonts w:ascii="Athiti" w:eastAsia="Athiti" w:hAnsi="Athiti" w:cs="Athiti"/>
          <w:lang w:val="cs-CZ"/>
        </w:rPr>
        <w:t>.</w:t>
      </w:r>
    </w:p>
    <w:p w:rsidR="000B186D" w:rsidRPr="00397AB4" w:rsidRDefault="000B186D" w:rsidP="000B186D">
      <w:pPr>
        <w:pStyle w:val="normal"/>
        <w:rPr>
          <w:rFonts w:ascii="Athiti" w:eastAsia="Athiti" w:hAnsi="Athiti" w:cs="Athiti"/>
          <w:lang w:val="cs-CZ"/>
        </w:rPr>
      </w:pPr>
    </w:p>
    <w:p w:rsidR="00570BD6" w:rsidRPr="00397AB4" w:rsidRDefault="00570BD6"/>
    <w:sectPr w:rsidR="00570BD6" w:rsidRPr="00397AB4" w:rsidSect="005A1878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C87" w:rsidRDefault="00906C87" w:rsidP="001A1BDD">
      <w:pPr>
        <w:spacing w:line="240" w:lineRule="auto"/>
      </w:pPr>
      <w:r>
        <w:separator/>
      </w:r>
    </w:p>
  </w:endnote>
  <w:endnote w:type="continuationSeparator" w:id="1">
    <w:p w:rsidR="00906C87" w:rsidRDefault="00906C87" w:rsidP="001A1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78" w:rsidRDefault="003C603E">
    <w:pPr>
      <w:pStyle w:val="normal"/>
      <w:jc w:val="right"/>
    </w:pPr>
    <w:r>
      <w:fldChar w:fldCharType="begin"/>
    </w:r>
    <w:r w:rsidR="000B186D">
      <w:instrText>PAGE</w:instrText>
    </w:r>
    <w:r>
      <w:fldChar w:fldCharType="separate"/>
    </w:r>
    <w:r w:rsidR="00B374FD">
      <w:rPr>
        <w:noProof/>
      </w:rPr>
      <w:t>12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C87" w:rsidRDefault="00906C87" w:rsidP="001A1BDD">
      <w:pPr>
        <w:spacing w:line="240" w:lineRule="auto"/>
      </w:pPr>
      <w:r>
        <w:separator/>
      </w:r>
    </w:p>
  </w:footnote>
  <w:footnote w:type="continuationSeparator" w:id="1">
    <w:p w:rsidR="00906C87" w:rsidRDefault="00906C87" w:rsidP="001A1B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F3D"/>
    <w:multiLevelType w:val="multilevel"/>
    <w:tmpl w:val="B54A7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F723D8"/>
    <w:multiLevelType w:val="multilevel"/>
    <w:tmpl w:val="76C4D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1F518FF"/>
    <w:multiLevelType w:val="multilevel"/>
    <w:tmpl w:val="2332A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4041391"/>
    <w:multiLevelType w:val="multilevel"/>
    <w:tmpl w:val="9BF23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5AF1B1F"/>
    <w:multiLevelType w:val="multilevel"/>
    <w:tmpl w:val="500C3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BC46AF8"/>
    <w:multiLevelType w:val="multilevel"/>
    <w:tmpl w:val="03728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E443C60"/>
    <w:multiLevelType w:val="multilevel"/>
    <w:tmpl w:val="FFB09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04A6EF2"/>
    <w:multiLevelType w:val="multilevel"/>
    <w:tmpl w:val="1A966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6E1411D"/>
    <w:multiLevelType w:val="multilevel"/>
    <w:tmpl w:val="6470BB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0A445CF"/>
    <w:multiLevelType w:val="multilevel"/>
    <w:tmpl w:val="ADA8A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0B605A5"/>
    <w:multiLevelType w:val="multilevel"/>
    <w:tmpl w:val="748CA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28C7024"/>
    <w:multiLevelType w:val="multilevel"/>
    <w:tmpl w:val="B1B4D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FE32EB9"/>
    <w:multiLevelType w:val="multilevel"/>
    <w:tmpl w:val="31BE8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EF674A"/>
    <w:multiLevelType w:val="multilevel"/>
    <w:tmpl w:val="BF6C1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C866BE3"/>
    <w:multiLevelType w:val="multilevel"/>
    <w:tmpl w:val="6AEC4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DC70041"/>
    <w:multiLevelType w:val="multilevel"/>
    <w:tmpl w:val="F2461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03A0D16"/>
    <w:multiLevelType w:val="multilevel"/>
    <w:tmpl w:val="58A88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50673FA4"/>
    <w:multiLevelType w:val="multilevel"/>
    <w:tmpl w:val="7A1CF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13639EB"/>
    <w:multiLevelType w:val="multilevel"/>
    <w:tmpl w:val="769E0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4DC4B63"/>
    <w:multiLevelType w:val="multilevel"/>
    <w:tmpl w:val="AE625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CD778CC"/>
    <w:multiLevelType w:val="multilevel"/>
    <w:tmpl w:val="EA2E6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37555B9"/>
    <w:multiLevelType w:val="multilevel"/>
    <w:tmpl w:val="A1828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7DE0B11"/>
    <w:multiLevelType w:val="multilevel"/>
    <w:tmpl w:val="6BCC0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3637C38"/>
    <w:multiLevelType w:val="multilevel"/>
    <w:tmpl w:val="72C0C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75C422E3"/>
    <w:multiLevelType w:val="multilevel"/>
    <w:tmpl w:val="4860F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75C973FB"/>
    <w:multiLevelType w:val="multilevel"/>
    <w:tmpl w:val="45D69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7B3C0EEC"/>
    <w:multiLevelType w:val="multilevel"/>
    <w:tmpl w:val="3D486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7B4B3EF2"/>
    <w:multiLevelType w:val="multilevel"/>
    <w:tmpl w:val="33CA3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6"/>
  </w:num>
  <w:num w:numId="3">
    <w:abstractNumId w:val="1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18"/>
  </w:num>
  <w:num w:numId="9">
    <w:abstractNumId w:val="8"/>
  </w:num>
  <w:num w:numId="10">
    <w:abstractNumId w:val="26"/>
  </w:num>
  <w:num w:numId="11">
    <w:abstractNumId w:val="7"/>
  </w:num>
  <w:num w:numId="12">
    <w:abstractNumId w:val="9"/>
  </w:num>
  <w:num w:numId="13">
    <w:abstractNumId w:val="17"/>
  </w:num>
  <w:num w:numId="14">
    <w:abstractNumId w:val="15"/>
  </w:num>
  <w:num w:numId="15">
    <w:abstractNumId w:val="24"/>
  </w:num>
  <w:num w:numId="16">
    <w:abstractNumId w:val="22"/>
  </w:num>
  <w:num w:numId="17">
    <w:abstractNumId w:val="0"/>
  </w:num>
  <w:num w:numId="18">
    <w:abstractNumId w:val="4"/>
  </w:num>
  <w:num w:numId="19">
    <w:abstractNumId w:val="12"/>
  </w:num>
  <w:num w:numId="20">
    <w:abstractNumId w:val="14"/>
  </w:num>
  <w:num w:numId="21">
    <w:abstractNumId w:val="19"/>
  </w:num>
  <w:num w:numId="22">
    <w:abstractNumId w:val="25"/>
  </w:num>
  <w:num w:numId="23">
    <w:abstractNumId w:val="21"/>
  </w:num>
  <w:num w:numId="24">
    <w:abstractNumId w:val="27"/>
  </w:num>
  <w:num w:numId="25">
    <w:abstractNumId w:val="2"/>
  </w:num>
  <w:num w:numId="26">
    <w:abstractNumId w:val="3"/>
  </w:num>
  <w:num w:numId="27">
    <w:abstractNumId w:val="16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86D"/>
    <w:rsid w:val="000B186D"/>
    <w:rsid w:val="001A1BDD"/>
    <w:rsid w:val="00397AB4"/>
    <w:rsid w:val="003C603E"/>
    <w:rsid w:val="00570BD6"/>
    <w:rsid w:val="00906C87"/>
    <w:rsid w:val="00A86A1D"/>
    <w:rsid w:val="00B3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86D"/>
    <w:pPr>
      <w:spacing w:after="0"/>
    </w:pPr>
    <w:rPr>
      <w:rFonts w:ascii="Arial" w:eastAsia="Arial" w:hAnsi="Arial" w:cs="Arial"/>
      <w:lang w:val="cs-CZ"/>
    </w:rPr>
  </w:style>
  <w:style w:type="paragraph" w:styleId="Nadpis1">
    <w:name w:val="heading 1"/>
    <w:basedOn w:val="normal"/>
    <w:next w:val="normal"/>
    <w:link w:val="Nadpis1Char"/>
    <w:rsid w:val="000B18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4">
    <w:name w:val="heading 4"/>
    <w:basedOn w:val="normal"/>
    <w:next w:val="normal"/>
    <w:link w:val="Nadpis4Char"/>
    <w:rsid w:val="000B18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186D"/>
    <w:rPr>
      <w:rFonts w:ascii="Arial" w:eastAsia="Arial" w:hAnsi="Arial" w:cs="Arial"/>
      <w:sz w:val="40"/>
      <w:szCs w:val="40"/>
    </w:rPr>
  </w:style>
  <w:style w:type="character" w:customStyle="1" w:styleId="Nadpis4Char">
    <w:name w:val="Nadpis 4 Char"/>
    <w:basedOn w:val="Standardnpsmoodstavce"/>
    <w:link w:val="Nadpis4"/>
    <w:rsid w:val="000B186D"/>
    <w:rPr>
      <w:rFonts w:ascii="Arial" w:eastAsia="Arial" w:hAnsi="Arial" w:cs="Arial"/>
      <w:color w:val="666666"/>
      <w:sz w:val="24"/>
      <w:szCs w:val="24"/>
    </w:rPr>
  </w:style>
  <w:style w:type="paragraph" w:customStyle="1" w:styleId="normal">
    <w:name w:val="normal"/>
    <w:rsid w:val="000B186D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2817</Words>
  <Characters>16057</Characters>
  <Application>Microsoft Office Word</Application>
  <DocSecurity>0</DocSecurity>
  <Lines>133</Lines>
  <Paragraphs>37</Paragraphs>
  <ScaleCrop>false</ScaleCrop>
  <Company/>
  <LinksUpToDate>false</LinksUpToDate>
  <CharactersWithSpaces>18837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3</cp:revision>
  <dcterms:created xsi:type="dcterms:W3CDTF">2025-07-24T23:05:00Z</dcterms:created>
  <dcterms:modified xsi:type="dcterms:W3CDTF">2025-07-24T23:24:00Z</dcterms:modified>
</cp:coreProperties>
</file>