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5A" w:rsidRDefault="00B80B5A" w:rsidP="00B80B5A">
      <w:pPr>
        <w:pStyle w:val="normal"/>
        <w:rPr>
          <w:rFonts w:ascii="Athiti" w:eastAsia="Athiti" w:hAnsi="Athiti" w:cs="Athiti"/>
          <w:b/>
          <w:color w:val="44546A"/>
          <w:sz w:val="48"/>
          <w:szCs w:val="48"/>
        </w:rPr>
      </w:pPr>
      <w:bookmarkStart w:id="0" w:name="_heading=h.wylg3ze3biv" w:colFirst="0" w:colLast="0"/>
      <w:bookmarkEnd w:id="0"/>
    </w:p>
    <w:p w:rsidR="00B80B5A" w:rsidRDefault="00B80B5A" w:rsidP="00B80B5A">
      <w:pPr>
        <w:pStyle w:val="normal"/>
        <w:rPr>
          <w:rFonts w:ascii="Athiti" w:eastAsia="Athiti" w:hAnsi="Athiti" w:cs="Athiti"/>
          <w:b/>
          <w:color w:val="44546A"/>
          <w:sz w:val="48"/>
          <w:szCs w:val="48"/>
        </w:rPr>
      </w:pPr>
    </w:p>
    <w:p w:rsidR="00B80B5A" w:rsidRDefault="00B80B5A" w:rsidP="00B80B5A">
      <w:pPr>
        <w:pStyle w:val="normal"/>
        <w:rPr>
          <w:rFonts w:ascii="Athiti" w:eastAsia="Athiti" w:hAnsi="Athiti" w:cs="Athiti"/>
          <w:b/>
          <w:color w:val="44546A"/>
          <w:sz w:val="48"/>
          <w:szCs w:val="48"/>
        </w:rPr>
      </w:pPr>
    </w:p>
    <w:p w:rsidR="00B80B5A" w:rsidRDefault="00B80B5A" w:rsidP="00B80B5A">
      <w:pPr>
        <w:pStyle w:val="normal"/>
        <w:rPr>
          <w:rFonts w:ascii="Athiti" w:eastAsia="Athiti" w:hAnsi="Athiti" w:cs="Athiti"/>
          <w:b/>
          <w:color w:val="44546A"/>
          <w:sz w:val="48"/>
          <w:szCs w:val="48"/>
        </w:rPr>
      </w:pPr>
    </w:p>
    <w:p w:rsidR="00B80B5A" w:rsidRDefault="00B80B5A" w:rsidP="00B80B5A">
      <w:pPr>
        <w:pStyle w:val="normal"/>
        <w:rPr>
          <w:rFonts w:ascii="Athiti" w:eastAsia="Athiti" w:hAnsi="Athiti" w:cs="Athiti"/>
          <w:b/>
          <w:color w:val="44546A"/>
          <w:sz w:val="48"/>
          <w:szCs w:val="48"/>
        </w:rPr>
      </w:pPr>
    </w:p>
    <w:p w:rsidR="00B80B5A" w:rsidRDefault="00B80B5A" w:rsidP="00B80B5A">
      <w:pPr>
        <w:pStyle w:val="normal"/>
        <w:rPr>
          <w:rFonts w:ascii="Athiti" w:eastAsia="Athiti" w:hAnsi="Athiti" w:cs="Athiti"/>
          <w:b/>
          <w:color w:val="44546A"/>
          <w:sz w:val="48"/>
          <w:szCs w:val="48"/>
        </w:rPr>
      </w:pPr>
      <w:bookmarkStart w:id="1" w:name="_heading=h.ouid73zgovp1" w:colFirst="0" w:colLast="0"/>
      <w:bookmarkEnd w:id="1"/>
    </w:p>
    <w:p w:rsidR="00B80B5A" w:rsidRPr="00B80B5A" w:rsidRDefault="00B80B5A" w:rsidP="00B80B5A">
      <w:pPr>
        <w:pStyle w:val="normal"/>
        <w:jc w:val="center"/>
        <w:rPr>
          <w:rFonts w:ascii="Athiti" w:eastAsia="Athiti" w:hAnsi="Athiti" w:cs="Athiti"/>
          <w:b/>
          <w:sz w:val="48"/>
          <w:szCs w:val="48"/>
          <w:lang w:val="cs-CZ"/>
        </w:rPr>
      </w:pPr>
      <w:r w:rsidRPr="00B80B5A">
        <w:rPr>
          <w:rFonts w:ascii="Athiti" w:eastAsia="Athiti" w:hAnsi="Athiti" w:cs="Athiti"/>
          <w:b/>
          <w:sz w:val="48"/>
          <w:szCs w:val="48"/>
          <w:lang w:val="cs-CZ"/>
        </w:rPr>
        <w:t>Zásady Řízení Rizik</w:t>
      </w:r>
    </w:p>
    <w:p w:rsidR="00B80B5A" w:rsidRDefault="00B80B5A" w:rsidP="00B80B5A">
      <w:pPr>
        <w:pStyle w:val="normal"/>
        <w:jc w:val="center"/>
        <w:rPr>
          <w:rFonts w:ascii="Athiti" w:eastAsia="Athiti" w:hAnsi="Athiti" w:cs="Athiti"/>
          <w:b/>
          <w:sz w:val="48"/>
          <w:szCs w:val="48"/>
        </w:rPr>
      </w:pPr>
    </w:p>
    <w:p w:rsidR="00B80B5A" w:rsidRDefault="00B80B5A" w:rsidP="00B80B5A">
      <w:pPr>
        <w:pStyle w:val="normal"/>
        <w:jc w:val="left"/>
        <w:rPr>
          <w:rFonts w:ascii="Athiti" w:eastAsia="Athiti" w:hAnsi="Athiti" w:cs="Athiti"/>
          <w:b/>
          <w:sz w:val="48"/>
          <w:szCs w:val="48"/>
        </w:rPr>
      </w:pPr>
    </w:p>
    <w:p w:rsidR="00B80B5A" w:rsidRDefault="00B80B5A" w:rsidP="00B80B5A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18"/>
          <w:szCs w:val="18"/>
        </w:rPr>
      </w:pPr>
    </w:p>
    <w:p w:rsidR="00B80B5A" w:rsidRDefault="00B80B5A" w:rsidP="00B80B5A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18"/>
          <w:szCs w:val="18"/>
        </w:rPr>
      </w:pPr>
    </w:p>
    <w:p w:rsidR="00B80B5A" w:rsidRDefault="00B80B5A" w:rsidP="00B80B5A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18"/>
          <w:szCs w:val="18"/>
        </w:rPr>
      </w:pPr>
    </w:p>
    <w:tbl>
      <w:tblPr>
        <w:tblW w:w="5895" w:type="dxa"/>
        <w:tblInd w:w="3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49"/>
        <w:gridCol w:w="2746"/>
      </w:tblGrid>
      <w:tr w:rsidR="00B80B5A" w:rsidTr="000744DC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B80B5A" w:rsidRPr="009B3407" w:rsidRDefault="00B80B5A" w:rsidP="000744DC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9B3407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Verze:</w:t>
            </w:r>
          </w:p>
        </w:tc>
        <w:tc>
          <w:tcPr>
            <w:tcW w:w="2746" w:type="dxa"/>
          </w:tcPr>
          <w:p w:rsidR="00B80B5A" w:rsidRPr="009B3407" w:rsidRDefault="00B80B5A" w:rsidP="000744DC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9B3407">
              <w:rPr>
                <w:rFonts w:ascii="Athiti" w:eastAsia="Athiti" w:hAnsi="Athiti" w:cs="Athiti"/>
                <w:sz w:val="20"/>
                <w:szCs w:val="20"/>
                <w:lang w:val="cs-CZ"/>
              </w:rPr>
              <w:t>1.0</w:t>
            </w:r>
          </w:p>
        </w:tc>
      </w:tr>
      <w:tr w:rsidR="00B80B5A" w:rsidTr="000744DC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B80B5A" w:rsidRPr="009B3407" w:rsidRDefault="00B80B5A" w:rsidP="000744DC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9B3407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dne:</w:t>
            </w:r>
          </w:p>
        </w:tc>
        <w:tc>
          <w:tcPr>
            <w:tcW w:w="2746" w:type="dxa"/>
          </w:tcPr>
          <w:p w:rsidR="00B80B5A" w:rsidRPr="009B3407" w:rsidRDefault="00B80B5A" w:rsidP="000744DC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9B3407">
              <w:rPr>
                <w:rFonts w:ascii="Athiti" w:eastAsia="Athiti" w:hAnsi="Athiti" w:cs="Athiti"/>
                <w:sz w:val="20"/>
                <w:szCs w:val="20"/>
                <w:lang w:val="cs-CZ"/>
              </w:rPr>
              <w:t>2</w:t>
            </w:r>
            <w:r w:rsidR="009B3407">
              <w:rPr>
                <w:rFonts w:ascii="Athiti" w:eastAsia="Athiti" w:hAnsi="Athiti" w:cs="Athiti"/>
                <w:sz w:val="20"/>
                <w:szCs w:val="20"/>
                <w:lang w:val="cs-CZ"/>
              </w:rPr>
              <w:t>5.07.2025</w:t>
            </w:r>
          </w:p>
        </w:tc>
      </w:tr>
      <w:tr w:rsidR="00B80B5A" w:rsidTr="000744DC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B80B5A" w:rsidRPr="009B3407" w:rsidRDefault="00B80B5A" w:rsidP="000744DC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9B3407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oddělením:</w:t>
            </w:r>
          </w:p>
        </w:tc>
        <w:tc>
          <w:tcPr>
            <w:tcW w:w="2746" w:type="dxa"/>
          </w:tcPr>
          <w:p w:rsidR="00B80B5A" w:rsidRPr="009B3407" w:rsidRDefault="00B80B5A" w:rsidP="000744DC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9B3407">
              <w:rPr>
                <w:rFonts w:ascii="Athiti" w:eastAsia="Athiti" w:hAnsi="Athiti" w:cs="Athiti"/>
                <w:sz w:val="20"/>
                <w:szCs w:val="20"/>
                <w:lang w:val="cs-CZ"/>
              </w:rPr>
              <w:t>Compliance</w:t>
            </w:r>
          </w:p>
        </w:tc>
      </w:tr>
      <w:tr w:rsidR="00B80B5A" w:rsidTr="000744DC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B80B5A" w:rsidRPr="009B3407" w:rsidRDefault="00B80B5A" w:rsidP="000744DC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9B3407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Naposledy aktualizováno:</w:t>
            </w:r>
          </w:p>
        </w:tc>
        <w:tc>
          <w:tcPr>
            <w:tcW w:w="2746" w:type="dxa"/>
          </w:tcPr>
          <w:p w:rsidR="00B80B5A" w:rsidRPr="009B3407" w:rsidRDefault="009B3407" w:rsidP="000744DC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</w:tbl>
    <w:p w:rsidR="00B80B5A" w:rsidRDefault="00B80B5A" w:rsidP="00B80B5A">
      <w:pPr>
        <w:pStyle w:val="normal"/>
        <w:jc w:val="left"/>
        <w:rPr>
          <w:rFonts w:ascii="Athiti" w:eastAsia="Athiti" w:hAnsi="Athiti" w:cs="Athiti"/>
          <w:color w:val="725DD9"/>
        </w:rPr>
      </w:pPr>
      <w:r>
        <w:br w:type="page"/>
      </w:r>
    </w:p>
    <w:p w:rsidR="00B80B5A" w:rsidRPr="00B80B5A" w:rsidRDefault="00B80B5A" w:rsidP="00B80B5A">
      <w:pPr>
        <w:pStyle w:val="normal"/>
        <w:keepNext/>
        <w:keepLines/>
        <w:spacing w:before="360" w:after="240"/>
        <w:jc w:val="left"/>
        <w:rPr>
          <w:rFonts w:ascii="Athiti" w:eastAsia="Athiti" w:hAnsi="Athiti" w:cs="Athiti"/>
          <w:b/>
          <w:sz w:val="36"/>
          <w:szCs w:val="36"/>
          <w:lang w:val="cs-CZ"/>
        </w:rPr>
      </w:pPr>
      <w:r w:rsidRPr="00B80B5A">
        <w:rPr>
          <w:rFonts w:ascii="Athiti" w:eastAsia="Athiti" w:hAnsi="Athiti" w:cs="Athiti"/>
          <w:b/>
          <w:sz w:val="36"/>
          <w:szCs w:val="36"/>
          <w:lang w:val="cs-CZ"/>
        </w:rPr>
        <w:lastRenderedPageBreak/>
        <w:t>Obsah</w:t>
      </w:r>
    </w:p>
    <w:sdt>
      <w:sdtPr>
        <w:rPr>
          <w:lang w:val="cs-CZ"/>
        </w:rPr>
        <w:id w:val="254626970"/>
        <w:docPartObj>
          <w:docPartGallery w:val="Table of Contents"/>
          <w:docPartUnique/>
        </w:docPartObj>
      </w:sdtPr>
      <w:sdtContent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rial" w:eastAsia="Arial" w:hAnsi="Arial" w:cs="Arial"/>
              <w:b/>
              <w:color w:val="000000"/>
              <w:sz w:val="22"/>
              <w:szCs w:val="22"/>
              <w:lang w:val="cs-CZ"/>
            </w:rPr>
          </w:pPr>
          <w:r w:rsidRPr="00B80B5A">
            <w:rPr>
              <w:lang w:val="cs-CZ"/>
            </w:rPr>
            <w:fldChar w:fldCharType="begin"/>
          </w:r>
          <w:r w:rsidR="00B80B5A" w:rsidRPr="00B80B5A">
            <w:rPr>
              <w:lang w:val="cs-CZ"/>
            </w:rPr>
            <w:instrText xml:space="preserve"> TOC \h \u \z \t "Heading 1,1,Heading 2,2,Heading 3,3,"</w:instrText>
          </w:r>
          <w:r w:rsidRPr="00B80B5A">
            <w:rPr>
              <w:lang w:val="cs-CZ"/>
            </w:rPr>
            <w:fldChar w:fldCharType="separate"/>
          </w:r>
          <w:hyperlink w:anchor="_heading=h.9rjii7rpa9xa">
            <w:r w:rsidR="00B80B5A" w:rsidRPr="00B80B5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s-CZ"/>
              </w:rPr>
              <w:t>Pojmy a definice</w:t>
            </w:r>
            <w:r w:rsidR="00B80B5A" w:rsidRPr="00B80B5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s-CZ"/>
              </w:rPr>
              <w:tab/>
              <w:t>2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rial" w:eastAsia="Arial" w:hAnsi="Arial" w:cs="Arial"/>
              <w:b/>
              <w:color w:val="000000"/>
              <w:sz w:val="22"/>
              <w:szCs w:val="22"/>
              <w:lang w:val="cs-CZ"/>
            </w:rPr>
          </w:pPr>
          <w:hyperlink w:anchor="_heading=h.d4sq3rq783g1">
            <w:r w:rsidR="00B80B5A" w:rsidRPr="00B80B5A">
              <w:rPr>
                <w:rFonts w:ascii="Athiti" w:eastAsia="Athiti" w:hAnsi="Athiti" w:cs="Athiti"/>
                <w:b/>
                <w:color w:val="000000"/>
                <w:lang w:val="cs-CZ"/>
              </w:rPr>
              <w:t>1 Úvod</w:t>
            </w:r>
            <w:r w:rsidR="00B80B5A" w:rsidRPr="00B80B5A">
              <w:rPr>
                <w:rFonts w:ascii="Athiti" w:eastAsia="Athiti" w:hAnsi="Athiti" w:cs="Athiti"/>
                <w:b/>
                <w:color w:val="000000"/>
                <w:lang w:val="cs-CZ"/>
              </w:rPr>
              <w:tab/>
              <w:t>2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rial" w:eastAsia="Arial" w:hAnsi="Arial" w:cs="Arial"/>
              <w:b/>
              <w:color w:val="000000"/>
              <w:sz w:val="22"/>
              <w:szCs w:val="22"/>
              <w:lang w:val="cs-CZ"/>
            </w:rPr>
          </w:pPr>
          <w:hyperlink w:anchor="_heading=h.o5esgsv7f5bo">
            <w:r w:rsidR="00B80B5A" w:rsidRPr="00B80B5A">
              <w:rPr>
                <w:rFonts w:ascii="Athiti" w:eastAsia="Athiti" w:hAnsi="Athiti" w:cs="Athiti"/>
                <w:b/>
                <w:color w:val="000000"/>
                <w:lang w:val="cs-CZ"/>
              </w:rPr>
              <w:t>2 Obecná prohlášení</w:t>
            </w:r>
            <w:r w:rsidR="00B80B5A" w:rsidRPr="00B80B5A">
              <w:rPr>
                <w:rFonts w:ascii="Athiti" w:eastAsia="Athiti" w:hAnsi="Athiti" w:cs="Athiti"/>
                <w:b/>
                <w:color w:val="000000"/>
                <w:lang w:val="cs-CZ"/>
              </w:rPr>
              <w:tab/>
              <w:t>4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98esdzyf99ze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2.1 Rozsah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4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ksye9iluvmxo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2.2 Revize politiky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4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9iufnrzhs2wf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2.3 Komunikace politiky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5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rujsy0vsqtlr">
            <w:r w:rsidR="00B80B5A" w:rsidRPr="00B80B5A">
              <w:rPr>
                <w:rFonts w:ascii="Arial" w:eastAsia="Arial" w:hAnsi="Arial" w:cs="Arial"/>
                <w:color w:val="000000"/>
                <w:sz w:val="22"/>
                <w:szCs w:val="22"/>
                <w:lang w:val="cs-CZ"/>
              </w:rPr>
              <w:t>2.4 Zásady odpovědnosti a povinnosti zaměstnanců</w:t>
            </w:r>
            <w:r w:rsidR="00B80B5A" w:rsidRPr="00B80B5A">
              <w:rPr>
                <w:rFonts w:ascii="Arial" w:eastAsia="Arial" w:hAnsi="Arial" w:cs="Arial"/>
                <w:color w:val="000000"/>
                <w:sz w:val="22"/>
                <w:szCs w:val="22"/>
                <w:lang w:val="cs-CZ"/>
              </w:rPr>
              <w:tab/>
              <w:t>5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rial" w:eastAsia="Arial" w:hAnsi="Arial" w:cs="Arial"/>
              <w:b/>
              <w:color w:val="000000"/>
              <w:sz w:val="22"/>
              <w:szCs w:val="22"/>
              <w:lang w:val="cs-CZ"/>
            </w:rPr>
          </w:pPr>
          <w:hyperlink w:anchor="_heading=h.semj6uqsvjei">
            <w:r w:rsidR="00B80B5A" w:rsidRPr="00B80B5A">
              <w:rPr>
                <w:rFonts w:ascii="Athiti" w:eastAsia="Athiti" w:hAnsi="Athiti" w:cs="Athiti"/>
                <w:b/>
                <w:color w:val="000000"/>
                <w:lang w:val="cs-CZ"/>
              </w:rPr>
              <w:t>3 Metodika hodnocení a řešení rizik</w:t>
            </w:r>
            <w:r w:rsidR="00B80B5A" w:rsidRPr="00B80B5A">
              <w:rPr>
                <w:rFonts w:ascii="Athiti" w:eastAsia="Athiti" w:hAnsi="Athiti" w:cs="Athiti"/>
                <w:b/>
                <w:color w:val="000000"/>
                <w:lang w:val="cs-CZ"/>
              </w:rPr>
              <w:tab/>
              <w:t>6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r4lv7x48bnt4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3.1 Hodnocení rizik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6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jkojp3sl7t0g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3.1.1 Správa aktiv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7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felsij2d8acf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3.1.2 Hrozby a zranitelnosti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8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54oqhk3zsygd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3.1.3 Vlastnictví rizika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9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dx399swr3skg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3.1.4 Analýza a klasifikace rizik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9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mo3q3anwg5dv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3.2 Řešení rizik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12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jqdkf6h5zqd3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3.2.1 Kritéria přijetí rizik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13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l3ntxobinoh1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3.2.2 Možnosti řešení rizik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14</w:t>
            </w:r>
          </w:hyperlink>
        </w:p>
        <w:p w:rsidR="00B80B5A" w:rsidRP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rial" w:eastAsia="Arial" w:hAnsi="Arial" w:cs="Arial"/>
              <w:color w:val="000000"/>
              <w:sz w:val="22"/>
              <w:szCs w:val="22"/>
              <w:lang w:val="cs-CZ"/>
            </w:rPr>
          </w:pPr>
          <w:hyperlink w:anchor="_heading=h.xm7t6nvqc5ss"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>3.3 Monitorování a revize rizik</w:t>
            </w:r>
            <w:r w:rsidR="00B80B5A" w:rsidRPr="00B80B5A">
              <w:rPr>
                <w:rFonts w:ascii="Athiti" w:eastAsia="Athiti" w:hAnsi="Athiti" w:cs="Athiti"/>
                <w:color w:val="000000"/>
                <w:lang w:val="cs-CZ"/>
              </w:rPr>
              <w:tab/>
              <w:t>14</w:t>
            </w:r>
          </w:hyperlink>
        </w:p>
        <w:p w:rsidR="00B80B5A" w:rsidRDefault="00753493" w:rsidP="00B80B5A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hyperlink w:anchor="_heading=h.6wdc31ep6u1">
            <w:r w:rsidR="00B80B5A" w:rsidRPr="00B80B5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s-CZ"/>
              </w:rPr>
              <w:t>4 Závěrečná ustanovení</w:t>
            </w:r>
            <w:r w:rsidR="00B80B5A" w:rsidRPr="00B80B5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cs-CZ"/>
              </w:rPr>
              <w:tab/>
              <w:t>16</w:t>
            </w:r>
          </w:hyperlink>
          <w:r w:rsidRPr="00B80B5A">
            <w:rPr>
              <w:lang w:val="cs-CZ"/>
            </w:rPr>
            <w:fldChar w:fldCharType="end"/>
          </w:r>
        </w:p>
      </w:sdtContent>
    </w:sdt>
    <w:p w:rsidR="00B80B5A" w:rsidRDefault="00B80B5A" w:rsidP="00B80B5A">
      <w:pPr>
        <w:pStyle w:val="normal"/>
        <w:rPr>
          <w:rFonts w:ascii="Athiti" w:eastAsia="Athiti" w:hAnsi="Athiti" w:cs="Athiti"/>
          <w:color w:val="44546A"/>
          <w:sz w:val="32"/>
          <w:szCs w:val="32"/>
        </w:rPr>
      </w:pPr>
      <w:r>
        <w:br w:type="page"/>
      </w:r>
    </w:p>
    <w:p w:rsidR="00B80B5A" w:rsidRPr="00B80B5A" w:rsidRDefault="00B80B5A" w:rsidP="00B80B5A">
      <w:pPr>
        <w:pStyle w:val="Nadpis1"/>
        <w:keepNext w:val="0"/>
        <w:keepLines w:val="0"/>
        <w:widowControl w:val="0"/>
        <w:spacing w:before="0" w:after="0" w:line="240" w:lineRule="auto"/>
        <w:ind w:left="392" w:hanging="293"/>
        <w:rPr>
          <w:rFonts w:ascii="Athiti" w:eastAsia="Athiti" w:hAnsi="Athiti" w:cs="Athiti"/>
          <w:sz w:val="28"/>
          <w:szCs w:val="28"/>
          <w:lang w:val="cs-CZ"/>
        </w:rPr>
      </w:pPr>
      <w:bookmarkStart w:id="2" w:name="_heading=h.9rjii7rpa9xa" w:colFirst="0" w:colLast="0"/>
      <w:bookmarkEnd w:id="2"/>
      <w:r w:rsidRPr="00B80B5A">
        <w:rPr>
          <w:rFonts w:ascii="Athiti" w:eastAsia="Athiti" w:hAnsi="Athiti" w:cs="Athiti"/>
          <w:sz w:val="28"/>
          <w:szCs w:val="28"/>
          <w:lang w:val="cs-CZ"/>
        </w:rPr>
        <w:lastRenderedPageBreak/>
        <w:t>Pojmy a definice</w:t>
      </w:r>
    </w:p>
    <w:p w:rsidR="00B80B5A" w:rsidRPr="00B80B5A" w:rsidRDefault="00B80B5A" w:rsidP="00B80B5A">
      <w:pPr>
        <w:pStyle w:val="normal"/>
        <w:rPr>
          <w:rFonts w:ascii="Athiti" w:eastAsia="Athiti" w:hAnsi="Athiti" w:cs="Athiti"/>
          <w:lang w:val="cs-CZ"/>
        </w:rPr>
      </w:pPr>
    </w:p>
    <w:tbl>
      <w:tblPr>
        <w:tblW w:w="944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600"/>
      </w:tblPr>
      <w:tblGrid>
        <w:gridCol w:w="1790"/>
        <w:gridCol w:w="7655"/>
      </w:tblGrid>
      <w:tr w:rsidR="00B80B5A" w:rsidRPr="00B80B5A" w:rsidTr="000744DC">
        <w:trPr>
          <w:cantSplit/>
          <w:trHeight w:val="51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Pojem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Definice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ČNB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lang w:val="cs-CZ"/>
              </w:rPr>
              <w:t>Česká národní banka – ústřední banka ČR, dohled nad finančním trhem, příslušný orgán pro CASP dle MiCA.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EBA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lang w:val="cs-CZ"/>
              </w:rPr>
              <w:t>Evropský orgán pro bankovnictví – dohled nad bankovnictvím v EU, tvorba standardů a doporučení.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ESMA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lang w:val="cs-CZ"/>
              </w:rPr>
              <w:t>Evropský orgán pro cenné papíry a trhy – dohled nad trhy, tvorba RTS a pokynů, sídlo v Paříži.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MiCA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lang w:val="cs-CZ"/>
              </w:rPr>
              <w:t>Nařízení (EU) 2023/1114 o trzích kryptoaktiv – pravidla pro vydávání, nabízení a obchodování s kryptoaktivy v EU.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RTS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lang w:val="cs-CZ"/>
              </w:rPr>
              <w:t>Regulační technické normy – závazné technické předpisy vydávané ESMA k upřesnění požadavků MiCA.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GDPR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lang w:val="cs-CZ"/>
              </w:rPr>
              <w:t>Nařízení (EU) 2016/679 o ochraně osobních údajů – stanovuje pravidla pro zpracování a ochranu osobních údajů fyzických osob.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DORA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lang w:val="cs-CZ"/>
              </w:rPr>
              <w:t>Nařízení (EU) 2022/2554 o digitální provozní odolnosti finančního sektoru – pravidla pro odolnost vůči kybernetickým a IT rizikům.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Společnost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980AC0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980AC0">
              <w:rPr>
                <w:rFonts w:ascii="Athiti" w:eastAsia="Athiti" w:hAnsi="Athiti" w:cs="Athiti"/>
                <w:lang w:val="cs-CZ"/>
              </w:rPr>
              <w:t>Sídlo: Na Kopečku 108, Vodochody, Hoštice</w:t>
            </w:r>
          </w:p>
          <w:p w:rsidR="00B80B5A" w:rsidRPr="00980AC0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980AC0">
              <w:rPr>
                <w:rFonts w:ascii="Athiti" w:eastAsia="Athiti" w:hAnsi="Athiti" w:cs="Athiti"/>
                <w:lang w:val="cs-CZ"/>
              </w:rPr>
              <w:t>Identifikační číslo: 27169731</w:t>
            </w:r>
          </w:p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highlight w:val="yellow"/>
                <w:lang w:val="cs-CZ"/>
              </w:rPr>
            </w:pPr>
            <w:r w:rsidRPr="00980AC0">
              <w:rPr>
                <w:rFonts w:ascii="Athiti" w:eastAsia="Athiti" w:hAnsi="Athiti" w:cs="Athiti"/>
                <w:lang w:val="cs-CZ"/>
              </w:rPr>
              <w:t>Právní forma: Společnost s ručením omezeným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Zásady / Předpis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lang w:val="cs-CZ"/>
              </w:rPr>
              <w:t>Tento interní předpis a jakékoliv přílohy, dodatky a změny k němu.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Kryptoaktiva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lang w:val="cs-CZ"/>
              </w:rPr>
              <w:t>Digitální reprezentace hodnoty nebo práv, přenositelná a uchovávatelná elektronicky, např. BTC, ETH, stablecoiny.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179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CASP</w:t>
            </w:r>
          </w:p>
        </w:tc>
        <w:tc>
          <w:tcPr>
            <w:tcW w:w="765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B80B5A">
              <w:rPr>
                <w:rFonts w:ascii="Athiti" w:eastAsia="Athiti" w:hAnsi="Athiti" w:cs="Athiti"/>
                <w:lang w:val="cs-CZ"/>
              </w:rPr>
              <w:t>Poskytovatel služeb souvisejících s kryptoaktivy (Crypto-Asset Service Provider) – právnická osoba s povolením podle MiCA.</w:t>
            </w:r>
          </w:p>
        </w:tc>
      </w:tr>
    </w:tbl>
    <w:p w:rsidR="00B80B5A" w:rsidRPr="00B80B5A" w:rsidRDefault="00B80B5A" w:rsidP="00B80B5A">
      <w:pPr>
        <w:pStyle w:val="Nadpis1"/>
        <w:rPr>
          <w:rFonts w:ascii="Athiti" w:eastAsia="Athiti" w:hAnsi="Athiti" w:cs="Athiti"/>
          <w:lang w:val="cs-CZ"/>
        </w:rPr>
      </w:pPr>
      <w:bookmarkStart w:id="3" w:name="_heading=h.d4sq3rq783g1" w:colFirst="0" w:colLast="0"/>
      <w:bookmarkEnd w:id="3"/>
      <w:r w:rsidRPr="00B80B5A">
        <w:rPr>
          <w:rFonts w:ascii="Athiti" w:eastAsia="Athiti" w:hAnsi="Athiti" w:cs="Athiti"/>
          <w:lang w:val="cs-CZ"/>
        </w:rPr>
        <w:lastRenderedPageBreak/>
        <w:t>1 Úvod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Společnost si plně uvědomuje svou odpovědnost za efektivní a systematické řízení rizik jako základního prvku své činnosti. Správné nastavení procesů řízení rizik je nezbytné pro ochranu aktiv a závazků společnosti, zajištění integrity a bezpečnosti informací, ochranu zaměstnanců, dodavatelů a klientů, a v neposlední řadě i pro udržení reputace a důvěryhodnosti na trhu s kryptoaktivy.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Řízení rizik je nedílnou součástí celkové strategie společnosti a je chápáno jako klíčový nástroj pro:</w:t>
      </w:r>
    </w:p>
    <w:p w:rsidR="00B80B5A" w:rsidRPr="00B80B5A" w:rsidRDefault="00B80B5A" w:rsidP="00B80B5A">
      <w:pPr>
        <w:pStyle w:val="normal"/>
        <w:numPr>
          <w:ilvl w:val="0"/>
          <w:numId w:val="5"/>
        </w:numPr>
        <w:spacing w:before="240" w:after="0"/>
        <w:jc w:val="left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Identifikaci a kontrolu potenciálních hrozeb, které mohou ohrozit dosažení cílů společnosti.</w:t>
      </w:r>
    </w:p>
    <w:p w:rsidR="00B80B5A" w:rsidRPr="00B80B5A" w:rsidRDefault="00B80B5A" w:rsidP="00B80B5A">
      <w:pPr>
        <w:pStyle w:val="normal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Minimalizaci nejistoty a podporu odpovědného rozhodování na všech úrovních řízení.</w:t>
      </w:r>
    </w:p>
    <w:p w:rsidR="00B80B5A" w:rsidRPr="00B80B5A" w:rsidRDefault="00B80B5A" w:rsidP="00B80B5A">
      <w:pPr>
        <w:pStyle w:val="normal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Posílení odolnosti společnosti vůči vnějším a vnitřním faktorům, které mohou negativně ovlivnit její činnost.</w:t>
      </w:r>
    </w:p>
    <w:p w:rsidR="00B80B5A" w:rsidRPr="00B80B5A" w:rsidRDefault="00B80B5A" w:rsidP="00B80B5A">
      <w:pPr>
        <w:pStyle w:val="normal"/>
        <w:numPr>
          <w:ilvl w:val="0"/>
          <w:numId w:val="5"/>
        </w:numPr>
        <w:spacing w:after="240"/>
        <w:jc w:val="left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Maximalizaci příležitostí k efektivnímu růstu, zvyšování konkurenceschopnosti a plnění strategické vize společnosti.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 xml:space="preserve">Tato politika stanovuje rámec, metodiku a odpovědnosti v oblasti hodnocení, řízení a mitigaci rizik, se zvláštním důrazem na </w:t>
      </w:r>
      <w:r w:rsidRPr="00B80B5A">
        <w:rPr>
          <w:rFonts w:ascii="Athiti" w:eastAsia="Athiti" w:hAnsi="Athiti" w:cs="Athiti"/>
          <w:b/>
          <w:color w:val="444444"/>
          <w:highlight w:val="white"/>
          <w:lang w:val="cs-CZ"/>
        </w:rPr>
        <w:t>řízení rizik informační bezpečnosti</w:t>
      </w: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 xml:space="preserve"> a </w:t>
      </w:r>
      <w:r w:rsidRPr="00B80B5A">
        <w:rPr>
          <w:rFonts w:ascii="Athiti" w:eastAsia="Athiti" w:hAnsi="Athiti" w:cs="Athiti"/>
          <w:b/>
          <w:color w:val="444444"/>
          <w:highlight w:val="white"/>
          <w:lang w:val="cs-CZ"/>
        </w:rPr>
        <w:t>soulad s požadavky regulatorního rámce</w:t>
      </w: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, včetně nařízení (EU) 2023/1114 (MiCA) a souvisejících předpisů.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Součástí této politiky je definice:</w:t>
      </w:r>
    </w:p>
    <w:p w:rsidR="00B80B5A" w:rsidRPr="00B80B5A" w:rsidRDefault="00B80B5A" w:rsidP="00B80B5A">
      <w:pPr>
        <w:pStyle w:val="normal"/>
        <w:numPr>
          <w:ilvl w:val="0"/>
          <w:numId w:val="13"/>
        </w:numPr>
        <w:spacing w:before="240" w:after="0"/>
        <w:jc w:val="left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b/>
          <w:color w:val="444444"/>
          <w:highlight w:val="white"/>
          <w:lang w:val="cs-CZ"/>
        </w:rPr>
        <w:t>Postupů pro identifikaci rizik</w:t>
      </w: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, které mohou ohrozit činnost společnosti nebo její klienty.</w:t>
      </w:r>
    </w:p>
    <w:p w:rsidR="00B80B5A" w:rsidRPr="00B80B5A" w:rsidRDefault="00B80B5A" w:rsidP="00B80B5A">
      <w:pPr>
        <w:pStyle w:val="normal"/>
        <w:numPr>
          <w:ilvl w:val="0"/>
          <w:numId w:val="13"/>
        </w:numPr>
        <w:spacing w:after="0"/>
        <w:jc w:val="left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b/>
          <w:color w:val="444444"/>
          <w:highlight w:val="white"/>
          <w:lang w:val="cs-CZ"/>
        </w:rPr>
        <w:t>Kritérií pro hodnocení rizik</w:t>
      </w: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 xml:space="preserve"> a určení jejich dopadu a pravděpodobnosti.</w:t>
      </w:r>
    </w:p>
    <w:p w:rsidR="00B80B5A" w:rsidRPr="00B80B5A" w:rsidRDefault="00B80B5A" w:rsidP="00B80B5A">
      <w:pPr>
        <w:pStyle w:val="normal"/>
        <w:numPr>
          <w:ilvl w:val="0"/>
          <w:numId w:val="13"/>
        </w:numPr>
        <w:spacing w:after="240"/>
        <w:jc w:val="left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b/>
          <w:color w:val="444444"/>
          <w:highlight w:val="white"/>
          <w:lang w:val="cs-CZ"/>
        </w:rPr>
        <w:t>Opatření pro mitigaci a monitorování rizik</w:t>
      </w: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.</w:t>
      </w:r>
      <w:r w:rsidRPr="00B80B5A">
        <w:rPr>
          <w:rFonts w:ascii="Athiti" w:eastAsia="Athiti" w:hAnsi="Athiti" w:cs="Athiti"/>
          <w:color w:val="444444"/>
          <w:highlight w:val="white"/>
          <w:lang w:val="cs-CZ"/>
        </w:rPr>
        <w:br/>
      </w:r>
      <w:r w:rsidRPr="00B80B5A">
        <w:rPr>
          <w:rFonts w:ascii="Athiti" w:eastAsia="Athiti" w:hAnsi="Athiti" w:cs="Athiti"/>
          <w:b/>
          <w:color w:val="444444"/>
          <w:highlight w:val="white"/>
          <w:lang w:val="cs-CZ"/>
        </w:rPr>
        <w:t>Stanovení přijatelné úrovně rizika (risk appetite)</w:t>
      </w: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, kterou je společnost ochotna akceptovat při své činnosti.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highlight w:val="white"/>
          <w:lang w:val="cs-CZ"/>
        </w:rPr>
      </w:pPr>
      <w:r w:rsidRPr="00B80B5A">
        <w:rPr>
          <w:rFonts w:ascii="Athiti" w:eastAsia="Athiti" w:hAnsi="Athiti" w:cs="Athiti"/>
          <w:color w:val="444444"/>
          <w:highlight w:val="white"/>
          <w:lang w:val="cs-CZ"/>
        </w:rPr>
        <w:t>Společnost se zavazuje, že tato politika bude pravidelně revidována, aktualizována a přizpůsobována měnícímu se prostředí a aktuálním potřebám společnosti, a to minimálně jednou ročně nebo při zásadních změnách v právních předpisech, technologickém prostředí nebo organizační struktuře společnosti.</w:t>
      </w:r>
    </w:p>
    <w:p w:rsidR="00B80B5A" w:rsidRDefault="00B80B5A" w:rsidP="00B80B5A">
      <w:pPr>
        <w:pStyle w:val="normal"/>
        <w:spacing w:before="240" w:after="240"/>
        <w:rPr>
          <w:rFonts w:ascii="Athiti" w:eastAsia="Athiti" w:hAnsi="Athiti" w:cs="Athiti"/>
          <w:b/>
          <w:color w:val="44546A"/>
          <w:sz w:val="32"/>
          <w:szCs w:val="32"/>
        </w:rPr>
      </w:pPr>
      <w:r w:rsidRPr="00B80B5A">
        <w:rPr>
          <w:lang w:val="cs-CZ"/>
        </w:rPr>
        <w:br w:type="page"/>
      </w:r>
    </w:p>
    <w:p w:rsidR="00B80B5A" w:rsidRPr="00B80B5A" w:rsidRDefault="00B80B5A" w:rsidP="00B80B5A">
      <w:pPr>
        <w:pStyle w:val="Nadpis1"/>
        <w:rPr>
          <w:rFonts w:ascii="Athiti" w:eastAsia="Athiti" w:hAnsi="Athiti" w:cs="Athiti"/>
          <w:lang w:val="cs-CZ"/>
        </w:rPr>
      </w:pPr>
      <w:bookmarkStart w:id="4" w:name="_heading=h.o5esgsv7f5bo" w:colFirst="0" w:colLast="0"/>
      <w:bookmarkEnd w:id="4"/>
      <w:r w:rsidRPr="00B80B5A">
        <w:rPr>
          <w:rFonts w:ascii="Athiti" w:eastAsia="Athiti" w:hAnsi="Athiti" w:cs="Athiti"/>
          <w:lang w:val="cs-CZ"/>
        </w:rPr>
        <w:lastRenderedPageBreak/>
        <w:t>2 Obecná prohlášení</w:t>
      </w:r>
    </w:p>
    <w:p w:rsidR="00B80B5A" w:rsidRPr="00B80B5A" w:rsidRDefault="00B80B5A" w:rsidP="00B80B5A">
      <w:pPr>
        <w:pStyle w:val="Nadpis2"/>
        <w:rPr>
          <w:rFonts w:ascii="Athiti" w:eastAsia="Athiti" w:hAnsi="Athiti" w:cs="Athiti"/>
          <w:lang w:val="cs-CZ"/>
        </w:rPr>
      </w:pPr>
      <w:bookmarkStart w:id="5" w:name="_heading=h.98esdzyf99ze" w:colFirst="0" w:colLast="0"/>
      <w:bookmarkEnd w:id="5"/>
      <w:r w:rsidRPr="00B80B5A">
        <w:rPr>
          <w:rFonts w:ascii="Athiti" w:eastAsia="Athiti" w:hAnsi="Athiti" w:cs="Athiti"/>
          <w:lang w:val="cs-CZ"/>
        </w:rPr>
        <w:t>2.1 Rozsah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Hodnocení a řešení rizik se vztahuje na veškerá aktiva, která jsou využívána společností, bez ohledu na jejich vlastnictví, umístění nebo technickou povahu. To zahrnuje fyzická i digitální aktiva, jako jsou informační systémy, servery, datové úložiště, síťová infrastruktura, hardware, software, komunikační prostředky a citlivá data, a dále i aktiva třetích stran, pokud jsou zapojena do obchodních procesů společnosti.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Politika se vztahuje na všechny obchodní procesy společnosti, které mají přímý nebo nepřímý dopad na informační bezpečnost, ochranu dat, dodržování právních předpisů, provozní kontinuitu a důvěru klientů.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Společnost chápe riziko jako kombinaci pravděpodobnosti výskytu hrozby a jejího dopadu na cíle společnosti a přijímá zásadu, že efektivní řízení rizik je klíčem k zajištění ochrany aktiv a stability činnosti.</w:t>
      </w:r>
    </w:p>
    <w:p w:rsidR="00B80B5A" w:rsidRPr="00B80B5A" w:rsidRDefault="00B80B5A" w:rsidP="00B80B5A">
      <w:pPr>
        <w:pStyle w:val="Nadpis2"/>
        <w:rPr>
          <w:rFonts w:ascii="Athiti" w:eastAsia="Athiti" w:hAnsi="Athiti" w:cs="Athiti"/>
          <w:lang w:val="cs-CZ"/>
        </w:rPr>
      </w:pPr>
      <w:bookmarkStart w:id="6" w:name="_heading=h.ksye9iluvmxo" w:colFirst="0" w:colLast="0"/>
      <w:bookmarkEnd w:id="6"/>
      <w:r w:rsidRPr="00B80B5A">
        <w:rPr>
          <w:rFonts w:ascii="Athiti" w:eastAsia="Athiti" w:hAnsi="Athiti" w:cs="Athiti"/>
          <w:lang w:val="cs-CZ"/>
        </w:rPr>
        <w:t>2.2 Revize politiky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Vlastníkem tohoto dokumentu je vedoucí oddělení informační bezpečnosti (CISO), který nese odpovědnost za udržování dokumentu v aktuálním stavu. CISO je povinen provést přezkum této politiky minimálně jednou ročně, případně dříve v případě zásadních změn v technologickém prostředí, obchodních procesech, organizační struktuře nebo platné legislativě.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Veškeré změny této politiky musí být zaznamenány v části „Historie revizí“, včetně stručného popisu změn, data provedení a osoby zodpovědné za aktualizaci. Každá revize dokumentu musí být projednána a schválena Výborem pro informační bezpečnost, který zajišťuje odborný dohled nad oblastí bezpečnosti. Finální verze dokumentu podléhá schválení vrcholového vedení společnosti.</w:t>
      </w:r>
    </w:p>
    <w:p w:rsidR="00B80B5A" w:rsidRPr="00B80B5A" w:rsidRDefault="00B80B5A" w:rsidP="00B80B5A">
      <w:pPr>
        <w:pStyle w:val="Nadpis2"/>
        <w:rPr>
          <w:rFonts w:ascii="Athiti" w:eastAsia="Athiti" w:hAnsi="Athiti" w:cs="Athiti"/>
          <w:lang w:val="cs-CZ"/>
        </w:rPr>
      </w:pPr>
      <w:bookmarkStart w:id="7" w:name="_heading=h.9iufnrzhs2wf" w:colFirst="0" w:colLast="0"/>
      <w:bookmarkEnd w:id="7"/>
      <w:r w:rsidRPr="00B80B5A">
        <w:rPr>
          <w:rFonts w:ascii="Athiti" w:eastAsia="Athiti" w:hAnsi="Athiti" w:cs="Athiti"/>
          <w:lang w:val="cs-CZ"/>
        </w:rPr>
        <w:t>2.3 Komunikace politiky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Nejnovější schválená verze této politiky je interně zpřístupněna všem zaměstnancům společnosti prostřednictvím interního úložiště dokumentace, a to v aktuální a snadno přístupné formě. Politika je dále dostupná relevantním dodavatelům a externím partnerům, kteří se podílejí na činnostech v oblasti řízení rizik a informační bezpečnosti.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Společnost zajišťuje, aby zaměstnanci i dodavatelé byli s politikou a jejími aktualizacemi prokazatelně seznámeni. Komunikace aktualizací probíhá prostřednictvím:</w:t>
      </w:r>
    </w:p>
    <w:p w:rsidR="00B80B5A" w:rsidRPr="00B80B5A" w:rsidRDefault="00B80B5A" w:rsidP="00B80B5A">
      <w:pPr>
        <w:pStyle w:val="normal"/>
        <w:numPr>
          <w:ilvl w:val="0"/>
          <w:numId w:val="4"/>
        </w:numPr>
        <w:spacing w:before="240" w:after="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Pravidelných školení a workshopů zaměřených na povědomí o bezpečnosti a řízení rizik,</w:t>
      </w:r>
    </w:p>
    <w:p w:rsidR="00B80B5A" w:rsidRPr="00B80B5A" w:rsidRDefault="00B80B5A" w:rsidP="00B80B5A">
      <w:pPr>
        <w:pStyle w:val="normal"/>
        <w:numPr>
          <w:ilvl w:val="0"/>
          <w:numId w:val="4"/>
        </w:numPr>
        <w:spacing w:after="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Interních oznámení v elektronické podobě (e-mail, intranet),</w:t>
      </w:r>
    </w:p>
    <w:p w:rsidR="00B80B5A" w:rsidRPr="00B80B5A" w:rsidRDefault="00B80B5A" w:rsidP="00B80B5A">
      <w:pPr>
        <w:pStyle w:val="normal"/>
        <w:numPr>
          <w:ilvl w:val="0"/>
          <w:numId w:val="4"/>
        </w:numPr>
        <w:spacing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Přímých konzultací s týmem informační bezpečnosti, pokud to vyžaduje povaha změny.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 xml:space="preserve">Dotazy týkající se obsahu nebo aplikace politiky informační bezpečnosti by měly být směřovány na tým informační bezpečnosti prostřednictvím </w:t>
      </w:r>
      <w:r>
        <w:rPr>
          <w:rFonts w:ascii="Athiti" w:eastAsia="Athiti" w:hAnsi="Athiti" w:cs="Athiti"/>
          <w:color w:val="444444"/>
          <w:lang w:val="cs-CZ"/>
        </w:rPr>
        <w:t>e-mailu: security@zman</w:t>
      </w:r>
      <w:r w:rsidR="009B3407">
        <w:rPr>
          <w:rFonts w:ascii="Athiti" w:eastAsia="Athiti" w:hAnsi="Athiti" w:cs="Athiti"/>
          <w:color w:val="444444"/>
          <w:lang w:val="cs-CZ"/>
        </w:rPr>
        <w:t>-</w:t>
      </w:r>
      <w:r>
        <w:rPr>
          <w:rFonts w:ascii="Athiti" w:eastAsia="Athiti" w:hAnsi="Athiti" w:cs="Athiti"/>
          <w:color w:val="444444"/>
          <w:lang w:val="cs-CZ"/>
        </w:rPr>
        <w:t>kesef.eu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. Tým informační </w:t>
      </w:r>
      <w:r w:rsidRPr="00B80B5A">
        <w:rPr>
          <w:rFonts w:ascii="Athiti" w:eastAsia="Athiti" w:hAnsi="Athiti" w:cs="Athiti"/>
          <w:color w:val="444444"/>
          <w:lang w:val="cs-CZ"/>
        </w:rPr>
        <w:lastRenderedPageBreak/>
        <w:t xml:space="preserve">bezpečnosti poskytne odpověď, případně zajistí potřebnou součinnost při objasnění konkrétních ustanovení této politiky. </w:t>
      </w:r>
    </w:p>
    <w:p w:rsidR="00B80B5A" w:rsidRPr="00B80B5A" w:rsidRDefault="00B80B5A" w:rsidP="00B80B5A">
      <w:pPr>
        <w:pStyle w:val="Nadpis2"/>
        <w:rPr>
          <w:rFonts w:ascii="Athiti" w:eastAsia="Athiti" w:hAnsi="Athiti" w:cs="Athiti"/>
          <w:lang w:val="cs-CZ"/>
        </w:rPr>
      </w:pPr>
      <w:bookmarkStart w:id="8" w:name="_heading=h.rujsy0vsqtlr" w:colFirst="0" w:colLast="0"/>
      <w:bookmarkEnd w:id="8"/>
      <w:r w:rsidRPr="00B80B5A">
        <w:rPr>
          <w:rFonts w:ascii="Athiti" w:eastAsia="Athiti" w:hAnsi="Athiti" w:cs="Athiti"/>
          <w:lang w:val="cs-CZ"/>
        </w:rPr>
        <w:t>2.4 Zásady odpovědnosti a povinnosti zaměstnanců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Společnost klade důraz na to, aby každý zaměstnanec a dodavatel, který má přístup k informacím, systémům a procesům společnosti, plně chápal svou roli a odpovědnost při dodržování zásad informační bezpečnosti a řízení rizik.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Každý zaměstnanec společnosti je povinen:</w:t>
      </w:r>
    </w:p>
    <w:p w:rsidR="00B80B5A" w:rsidRPr="00B80B5A" w:rsidRDefault="00B80B5A" w:rsidP="00B80B5A">
      <w:pPr>
        <w:pStyle w:val="normal"/>
        <w:numPr>
          <w:ilvl w:val="0"/>
          <w:numId w:val="1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Seznámit se s touto politikou a dalšími relevantními interními dokumenty v oblasti informační bezpečnosti.</w:t>
      </w:r>
    </w:p>
    <w:p w:rsidR="00B80B5A" w:rsidRPr="00B80B5A" w:rsidRDefault="00B80B5A" w:rsidP="00B80B5A">
      <w:pPr>
        <w:pStyle w:val="normal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Dodržovat stanovené zásady a postupy při své každodenní práci a hlásit jakékoli podezření na porušení bezpečnostních pravidel nebo výskyt bezpečnostních incidentů.</w:t>
      </w:r>
    </w:p>
    <w:p w:rsidR="00B80B5A" w:rsidRPr="00B80B5A" w:rsidRDefault="00B80B5A" w:rsidP="00B80B5A">
      <w:pPr>
        <w:pStyle w:val="normal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Účastnit se pravidelných školení a vzdělávacích aktivit zaměřených na bezpečnostní povědomí.</w:t>
      </w:r>
    </w:p>
    <w:p w:rsidR="00B80B5A" w:rsidRPr="00B80B5A" w:rsidRDefault="00B80B5A" w:rsidP="00B80B5A">
      <w:pPr>
        <w:pStyle w:val="normal"/>
        <w:numPr>
          <w:ilvl w:val="0"/>
          <w:numId w:val="1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Chránit přístupové údaje, zařízení a citlivé informace, které jsou mu svěřeny v souvislosti s výkonem jeho pracovní role.</w:t>
      </w:r>
    </w:p>
    <w:p w:rsidR="00B80B5A" w:rsidRPr="00B80B5A" w:rsidRDefault="00B80B5A" w:rsidP="00B80B5A">
      <w:pPr>
        <w:pStyle w:val="normal"/>
        <w:spacing w:before="240" w:after="240"/>
        <w:rPr>
          <w:lang w:val="cs-CZ"/>
        </w:rPr>
      </w:pPr>
      <w:r w:rsidRPr="00B80B5A">
        <w:rPr>
          <w:rFonts w:ascii="Athiti" w:eastAsia="Athiti" w:hAnsi="Athiti" w:cs="Athiti"/>
          <w:lang w:val="cs-CZ"/>
        </w:rPr>
        <w:t>Vedoucí pracovníci nesou odpovědnost za to, aby jejich týmy měly přístup k aktuálním verzím politiky, rozuměly svým povinnostem a měly dostatečné zdroje pro dodržování zásad bezpečnosti.</w:t>
      </w:r>
      <w:r w:rsidRPr="00B80B5A">
        <w:rPr>
          <w:rFonts w:ascii="Athiti" w:eastAsia="Athiti" w:hAnsi="Athiti" w:cs="Athiti"/>
          <w:lang w:val="cs-CZ"/>
        </w:rPr>
        <w:br/>
        <w:t xml:space="preserve"> Tým informační bezpečnosti společnosti poskytuje podporu, konzultace a metodické vedení všem zaměstnancům při aplikaci této politiky v praxi.</w:t>
      </w:r>
    </w:p>
    <w:p w:rsidR="00B80B5A" w:rsidRPr="00B80B5A" w:rsidRDefault="00B80B5A" w:rsidP="00B80B5A">
      <w:pPr>
        <w:pStyle w:val="Nadpis1"/>
        <w:rPr>
          <w:rFonts w:ascii="Athiti" w:eastAsia="Athiti" w:hAnsi="Athiti" w:cs="Athiti"/>
          <w:lang w:val="cs-CZ"/>
        </w:rPr>
      </w:pPr>
      <w:bookmarkStart w:id="9" w:name="_heading=h.semj6uqsvjei" w:colFirst="0" w:colLast="0"/>
      <w:bookmarkEnd w:id="9"/>
      <w:r w:rsidRPr="00B80B5A">
        <w:rPr>
          <w:rFonts w:ascii="Athiti" w:eastAsia="Athiti" w:hAnsi="Athiti" w:cs="Athiti"/>
          <w:lang w:val="cs-CZ"/>
        </w:rPr>
        <w:t>3 Metodika hodnocení a řešení rizik</w:t>
      </w:r>
    </w:p>
    <w:p w:rsidR="00B80B5A" w:rsidRPr="00B80B5A" w:rsidRDefault="00B80B5A" w:rsidP="00B80B5A">
      <w:pPr>
        <w:pStyle w:val="normal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Společnost uplatňuje systematický přístup k hodnocení a řešení rizik prostřednictvím registru rizik informační bezpečnosti, který slouží jako centrální nástroj pro evidenci, sledování a řízení rizik spojených s informačními systémy, daty, procesy a technologiemi.</w:t>
      </w:r>
    </w:p>
    <w:p w:rsidR="00B80B5A" w:rsidRPr="00B80B5A" w:rsidRDefault="00B80B5A" w:rsidP="00B80B5A">
      <w:pPr>
        <w:pStyle w:val="normal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Celý proces řízení rizik je řízen vedoucím oddělení informační bezpečnosti (CISO), který zodpovídá za koordinaci činností, metodologickou podporu a dohled nad průběhem hodnocení a mitigace rizik. Aktivní roli v tomto procesu hrají také vlastníci aktiv, kteří identifikují hrozby a zranitelnosti související s aktivy pod jejich správou, a vlastníci rizik, kteří posuzují potenciální následky a pravděpodobnost výskytu těchto rizik.</w:t>
      </w:r>
    </w:p>
    <w:p w:rsidR="00B80B5A" w:rsidRPr="00B80B5A" w:rsidRDefault="00B80B5A" w:rsidP="00B80B5A">
      <w:pPr>
        <w:pStyle w:val="normal"/>
        <w:spacing w:after="200" w:line="312" w:lineRule="auto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Cílem tohoto přístupu je zajistit, aby všechna rizika byla systematicky identifikována, objektivně hodnocena a včas řešena tak, aby byla minimalizována potenciální ohrožení pro činnost společnosti, její klienty a obchodní partnery.</w:t>
      </w:r>
    </w:p>
    <w:p w:rsidR="00B80B5A" w:rsidRPr="00B80B5A" w:rsidRDefault="00B80B5A" w:rsidP="00B80B5A">
      <w:pPr>
        <w:pStyle w:val="Nadpis2"/>
        <w:rPr>
          <w:rFonts w:ascii="Athiti" w:eastAsia="Athiti" w:hAnsi="Athiti" w:cs="Athiti"/>
          <w:lang w:val="cs-CZ"/>
        </w:rPr>
      </w:pPr>
      <w:bookmarkStart w:id="10" w:name="_heading=h.r4lv7x48bnt4" w:colFirst="0" w:colLast="0"/>
      <w:bookmarkEnd w:id="10"/>
      <w:r w:rsidRPr="00B80B5A">
        <w:rPr>
          <w:rFonts w:ascii="Athiti" w:eastAsia="Athiti" w:hAnsi="Athiti" w:cs="Athiti"/>
          <w:lang w:val="cs-CZ"/>
        </w:rPr>
        <w:t xml:space="preserve">3.1 Hodnocení rizik 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sz w:val="22"/>
          <w:szCs w:val="22"/>
          <w:lang w:val="cs-CZ"/>
        </w:rPr>
      </w:pPr>
      <w:r w:rsidRPr="00B80B5A">
        <w:rPr>
          <w:rFonts w:ascii="Athiti" w:eastAsia="Athiti" w:hAnsi="Athiti" w:cs="Athiti"/>
          <w:sz w:val="22"/>
          <w:szCs w:val="22"/>
          <w:lang w:val="cs-CZ"/>
        </w:rPr>
        <w:t>Proces hodnocení rizik je prováděn cyklicky a skládá se z několika na sebe navazujících kroků:</w:t>
      </w:r>
    </w:p>
    <w:p w:rsidR="00B80B5A" w:rsidRPr="00B80B5A" w:rsidRDefault="00B80B5A" w:rsidP="00B80B5A">
      <w:pPr>
        <w:pStyle w:val="normal"/>
        <w:numPr>
          <w:ilvl w:val="0"/>
          <w:numId w:val="9"/>
        </w:numPr>
        <w:spacing w:before="240" w:after="0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B80B5A">
        <w:rPr>
          <w:rFonts w:ascii="Athiti" w:eastAsia="Athiti" w:hAnsi="Athiti" w:cs="Athiti"/>
          <w:b/>
          <w:sz w:val="22"/>
          <w:szCs w:val="22"/>
          <w:lang w:val="cs-CZ"/>
        </w:rPr>
        <w:lastRenderedPageBreak/>
        <w:t>Inventarizace aktiv</w:t>
      </w:r>
      <w:r w:rsidRPr="00B80B5A">
        <w:rPr>
          <w:rFonts w:ascii="Athiti" w:eastAsia="Athiti" w:hAnsi="Athiti" w:cs="Athiti"/>
          <w:b/>
          <w:sz w:val="22"/>
          <w:szCs w:val="22"/>
          <w:lang w:val="cs-CZ"/>
        </w:rPr>
        <w:br/>
      </w:r>
      <w:r w:rsidRPr="00B80B5A">
        <w:rPr>
          <w:rFonts w:ascii="Athiti" w:eastAsia="Athiti" w:hAnsi="Athiti" w:cs="Athiti"/>
          <w:sz w:val="22"/>
          <w:szCs w:val="22"/>
          <w:lang w:val="cs-CZ"/>
        </w:rPr>
        <w:t xml:space="preserve"> Společnost pravidelně provádí aktualizaci seznamu aktiv, která jsou relevantní z pohledu informační bezpečnosti a provozu. Tento seznam zahrnuje fyzická i digitální aktiva, IT infrastrukturu, aplikace, data, procesy a klíčové obchodní funkce.</w:t>
      </w:r>
      <w:r w:rsidRPr="00B80B5A">
        <w:rPr>
          <w:rFonts w:ascii="Athiti" w:eastAsia="Athiti" w:hAnsi="Athiti" w:cs="Athiti"/>
          <w:sz w:val="22"/>
          <w:szCs w:val="22"/>
          <w:lang w:val="cs-CZ"/>
        </w:rPr>
        <w:br/>
      </w:r>
    </w:p>
    <w:p w:rsidR="00B80B5A" w:rsidRPr="00B80B5A" w:rsidRDefault="00B80B5A" w:rsidP="00B80B5A">
      <w:pPr>
        <w:pStyle w:val="normal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B80B5A">
        <w:rPr>
          <w:rFonts w:ascii="Athiti" w:eastAsia="Athiti" w:hAnsi="Athiti" w:cs="Athiti"/>
          <w:b/>
          <w:sz w:val="22"/>
          <w:szCs w:val="22"/>
          <w:lang w:val="cs-CZ"/>
        </w:rPr>
        <w:t>Identifikace potenciálních hrozeb a zranitelností</w:t>
      </w:r>
      <w:r w:rsidRPr="00B80B5A">
        <w:rPr>
          <w:rFonts w:ascii="Athiti" w:eastAsia="Athiti" w:hAnsi="Athiti" w:cs="Athiti"/>
          <w:b/>
          <w:sz w:val="22"/>
          <w:szCs w:val="22"/>
          <w:lang w:val="cs-CZ"/>
        </w:rPr>
        <w:br/>
      </w:r>
      <w:r w:rsidRPr="00B80B5A">
        <w:rPr>
          <w:rFonts w:ascii="Athiti" w:eastAsia="Athiti" w:hAnsi="Athiti" w:cs="Athiti"/>
          <w:sz w:val="22"/>
          <w:szCs w:val="22"/>
          <w:lang w:val="cs-CZ"/>
        </w:rPr>
        <w:t xml:space="preserve"> Pro každé aktivum jsou identifikovány možné hrozby (např. kybernetický útok, ztráta dat, selhání hardware) a zranitelnosti (např. nedostatečné šifrování, neaktuální software, nechráněné přístupové body). Vlastníci aktiv spolupracují s týmem informační bezpečnosti na mapování těchto rizikových faktorů.</w:t>
      </w:r>
      <w:r w:rsidRPr="00B80B5A">
        <w:rPr>
          <w:rFonts w:ascii="Athiti" w:eastAsia="Athiti" w:hAnsi="Athiti" w:cs="Athiti"/>
          <w:sz w:val="22"/>
          <w:szCs w:val="22"/>
          <w:lang w:val="cs-CZ"/>
        </w:rPr>
        <w:br/>
      </w:r>
    </w:p>
    <w:p w:rsidR="00B80B5A" w:rsidRPr="00B80B5A" w:rsidRDefault="00B80B5A" w:rsidP="00B80B5A">
      <w:pPr>
        <w:pStyle w:val="normal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B80B5A">
        <w:rPr>
          <w:rFonts w:ascii="Athiti" w:eastAsia="Athiti" w:hAnsi="Athiti" w:cs="Athiti"/>
          <w:b/>
          <w:sz w:val="22"/>
          <w:szCs w:val="22"/>
          <w:lang w:val="cs-CZ"/>
        </w:rPr>
        <w:t>Přiřazení vlastníků rizik</w:t>
      </w:r>
      <w:r w:rsidRPr="00B80B5A">
        <w:rPr>
          <w:rFonts w:ascii="Athiti" w:eastAsia="Athiti" w:hAnsi="Athiti" w:cs="Athiti"/>
          <w:b/>
          <w:sz w:val="22"/>
          <w:szCs w:val="22"/>
          <w:lang w:val="cs-CZ"/>
        </w:rPr>
        <w:br/>
      </w:r>
      <w:r w:rsidRPr="00B80B5A">
        <w:rPr>
          <w:rFonts w:ascii="Athiti" w:eastAsia="Athiti" w:hAnsi="Athiti" w:cs="Athiti"/>
          <w:sz w:val="22"/>
          <w:szCs w:val="22"/>
          <w:lang w:val="cs-CZ"/>
        </w:rPr>
        <w:t xml:space="preserve"> Každému identifikovanému riziku je přidělen odpovědný vlastník, který má odbornou způsobilost a pravomoc pro posouzení dopadů a návrh mitigace. Tento vlastník odpovídá za aktualizaci stavu rizika v registru a za návrh opatření ke snížení jeho dopadu a/nebo pravděpodobnosti.</w:t>
      </w:r>
      <w:r w:rsidRPr="00B80B5A">
        <w:rPr>
          <w:rFonts w:ascii="Athiti" w:eastAsia="Athiti" w:hAnsi="Athiti" w:cs="Athiti"/>
          <w:sz w:val="22"/>
          <w:szCs w:val="22"/>
          <w:lang w:val="cs-CZ"/>
        </w:rPr>
        <w:br/>
      </w:r>
    </w:p>
    <w:p w:rsidR="00B80B5A" w:rsidRPr="00B80B5A" w:rsidRDefault="00B80B5A" w:rsidP="00B80B5A">
      <w:pPr>
        <w:pStyle w:val="normal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B80B5A">
        <w:rPr>
          <w:rFonts w:ascii="Athiti" w:eastAsia="Athiti" w:hAnsi="Athiti" w:cs="Athiti"/>
          <w:b/>
          <w:sz w:val="22"/>
          <w:szCs w:val="22"/>
          <w:lang w:val="cs-CZ"/>
        </w:rPr>
        <w:t>Analýza a hodnocení rizik</w:t>
      </w:r>
      <w:r w:rsidRPr="00B80B5A">
        <w:rPr>
          <w:rFonts w:ascii="Athiti" w:eastAsia="Athiti" w:hAnsi="Athiti" w:cs="Athiti"/>
          <w:b/>
          <w:sz w:val="22"/>
          <w:szCs w:val="22"/>
          <w:lang w:val="cs-CZ"/>
        </w:rPr>
        <w:br/>
      </w:r>
      <w:r w:rsidRPr="00B80B5A">
        <w:rPr>
          <w:rFonts w:ascii="Athiti" w:eastAsia="Athiti" w:hAnsi="Athiti" w:cs="Athiti"/>
          <w:sz w:val="22"/>
          <w:szCs w:val="22"/>
          <w:lang w:val="cs-CZ"/>
        </w:rPr>
        <w:t xml:space="preserve"> Rizika jsou hodnocena podle standardizovaných kritérií:</w:t>
      </w:r>
    </w:p>
    <w:p w:rsidR="00B80B5A" w:rsidRPr="00B80B5A" w:rsidRDefault="00B80B5A" w:rsidP="00B80B5A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B80B5A">
        <w:rPr>
          <w:rFonts w:ascii="Athiti" w:eastAsia="Athiti" w:hAnsi="Athiti" w:cs="Athiti"/>
          <w:sz w:val="22"/>
          <w:szCs w:val="22"/>
          <w:lang w:val="cs-CZ"/>
        </w:rPr>
        <w:t>Pravděpodobnost výskytu (např. nízká, střední, vysoká)</w:t>
      </w:r>
    </w:p>
    <w:p w:rsidR="00B80B5A" w:rsidRPr="00B80B5A" w:rsidRDefault="00B80B5A" w:rsidP="00B80B5A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B80B5A">
        <w:rPr>
          <w:rFonts w:ascii="Athiti" w:eastAsia="Athiti" w:hAnsi="Athiti" w:cs="Athiti"/>
          <w:sz w:val="22"/>
          <w:szCs w:val="22"/>
          <w:lang w:val="cs-CZ"/>
        </w:rPr>
        <w:t>Dopad na činnost společnosti (např. omezený, významný, kritický)</w:t>
      </w:r>
      <w:r w:rsidRPr="00B80B5A">
        <w:rPr>
          <w:rFonts w:ascii="Athiti" w:eastAsia="Athiti" w:hAnsi="Athiti" w:cs="Athiti"/>
          <w:sz w:val="22"/>
          <w:szCs w:val="22"/>
          <w:lang w:val="cs-CZ"/>
        </w:rPr>
        <w:br/>
        <w:t xml:space="preserve"> Pro hodnocení je využívána </w:t>
      </w:r>
      <w:r w:rsidRPr="00B80B5A">
        <w:rPr>
          <w:rFonts w:ascii="Athiti" w:eastAsia="Athiti" w:hAnsi="Athiti" w:cs="Athiti"/>
          <w:b/>
          <w:sz w:val="22"/>
          <w:szCs w:val="22"/>
          <w:lang w:val="cs-CZ"/>
        </w:rPr>
        <w:t>matice rizik</w:t>
      </w:r>
      <w:r w:rsidRPr="00B80B5A">
        <w:rPr>
          <w:rFonts w:ascii="Athiti" w:eastAsia="Athiti" w:hAnsi="Athiti" w:cs="Athiti"/>
          <w:sz w:val="22"/>
          <w:szCs w:val="22"/>
          <w:lang w:val="cs-CZ"/>
        </w:rPr>
        <w:t>, která umožňuje vizuálně a objektivně zařadit každé riziko do příslušné kategorie (např. nízké, střední, vysoké).</w:t>
      </w:r>
      <w:r w:rsidRPr="00B80B5A">
        <w:rPr>
          <w:rFonts w:ascii="Athiti" w:eastAsia="Athiti" w:hAnsi="Athiti" w:cs="Athiti"/>
          <w:sz w:val="22"/>
          <w:szCs w:val="22"/>
          <w:lang w:val="cs-CZ"/>
        </w:rPr>
        <w:br/>
      </w:r>
    </w:p>
    <w:p w:rsidR="00B80B5A" w:rsidRPr="00B80B5A" w:rsidRDefault="00B80B5A" w:rsidP="00B80B5A">
      <w:pPr>
        <w:pStyle w:val="normal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B80B5A">
        <w:rPr>
          <w:rFonts w:ascii="Athiti" w:eastAsia="Athiti" w:hAnsi="Athiti" w:cs="Athiti"/>
          <w:b/>
          <w:sz w:val="22"/>
          <w:szCs w:val="22"/>
          <w:lang w:val="cs-CZ"/>
        </w:rPr>
        <w:t>Klasifikace rizik</w:t>
      </w:r>
      <w:r w:rsidRPr="00B80B5A">
        <w:rPr>
          <w:rFonts w:ascii="Athiti" w:eastAsia="Athiti" w:hAnsi="Athiti" w:cs="Athiti"/>
          <w:b/>
          <w:sz w:val="22"/>
          <w:szCs w:val="22"/>
          <w:lang w:val="cs-CZ"/>
        </w:rPr>
        <w:br/>
      </w:r>
      <w:r w:rsidRPr="00B80B5A">
        <w:rPr>
          <w:rFonts w:ascii="Athiti" w:eastAsia="Athiti" w:hAnsi="Athiti" w:cs="Athiti"/>
          <w:sz w:val="22"/>
          <w:szCs w:val="22"/>
          <w:lang w:val="cs-CZ"/>
        </w:rPr>
        <w:t xml:space="preserve"> Na základě výsledků hodnocení je každému riziku přiřazena úroveň priority:</w:t>
      </w:r>
    </w:p>
    <w:p w:rsidR="00B80B5A" w:rsidRPr="00B80B5A" w:rsidRDefault="00B80B5A" w:rsidP="00B80B5A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B80B5A">
        <w:rPr>
          <w:rFonts w:ascii="Athiti" w:eastAsia="Athiti" w:hAnsi="Athiti" w:cs="Athiti"/>
          <w:sz w:val="22"/>
          <w:szCs w:val="22"/>
          <w:lang w:val="cs-CZ"/>
        </w:rPr>
        <w:t>Přijatelné riziko (není nutná okamžitá akce, pouze monitoring)</w:t>
      </w:r>
    </w:p>
    <w:p w:rsidR="00B80B5A" w:rsidRPr="00B80B5A" w:rsidRDefault="00B80B5A" w:rsidP="00B80B5A">
      <w:pPr>
        <w:pStyle w:val="normal"/>
        <w:numPr>
          <w:ilvl w:val="1"/>
          <w:numId w:val="9"/>
        </w:numPr>
        <w:spacing w:after="0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B80B5A">
        <w:rPr>
          <w:rFonts w:ascii="Athiti" w:eastAsia="Athiti" w:hAnsi="Athiti" w:cs="Athiti"/>
          <w:sz w:val="22"/>
          <w:szCs w:val="22"/>
          <w:lang w:val="cs-CZ"/>
        </w:rPr>
        <w:t>Riziko vyžadující mitigaci (je nutné zavést konkrétní opatření v definovaném časovém horizontu)</w:t>
      </w:r>
    </w:p>
    <w:p w:rsidR="00B80B5A" w:rsidRPr="00B80B5A" w:rsidRDefault="00B80B5A" w:rsidP="00B80B5A">
      <w:pPr>
        <w:pStyle w:val="normal"/>
        <w:numPr>
          <w:ilvl w:val="1"/>
          <w:numId w:val="9"/>
        </w:numPr>
        <w:spacing w:after="240"/>
        <w:jc w:val="left"/>
        <w:rPr>
          <w:rFonts w:ascii="Athiti" w:eastAsia="Athiti" w:hAnsi="Athiti" w:cs="Athiti"/>
          <w:sz w:val="22"/>
          <w:szCs w:val="22"/>
          <w:lang w:val="cs-CZ"/>
        </w:rPr>
      </w:pPr>
      <w:r w:rsidRPr="00B80B5A">
        <w:rPr>
          <w:rFonts w:ascii="Athiti" w:eastAsia="Athiti" w:hAnsi="Athiti" w:cs="Athiti"/>
          <w:sz w:val="22"/>
          <w:szCs w:val="22"/>
          <w:lang w:val="cs-CZ"/>
        </w:rPr>
        <w:t>Kritické riziko (vyžaduje okamžité řešení a pravidelný dohled ze strany vedení společnosti).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sz w:val="22"/>
          <w:szCs w:val="22"/>
          <w:lang w:val="cs-CZ"/>
        </w:rPr>
        <w:t>Tento proces je dokumentován v registru rizik, který slouží jako centrální záznamový systém pro sledování stavu rizik, přijatých opatření a odpovědností.</w:t>
      </w:r>
    </w:p>
    <w:p w:rsidR="00B80B5A" w:rsidRPr="00B80B5A" w:rsidRDefault="00B80B5A" w:rsidP="00B80B5A">
      <w:pPr>
        <w:pStyle w:val="Nadpis3"/>
        <w:rPr>
          <w:rFonts w:ascii="Athiti" w:eastAsia="Athiti" w:hAnsi="Athiti" w:cs="Athiti"/>
          <w:lang w:val="cs-CZ"/>
        </w:rPr>
      </w:pPr>
      <w:bookmarkStart w:id="11" w:name="_heading=h.jkojp3sl7t0g" w:colFirst="0" w:colLast="0"/>
      <w:bookmarkEnd w:id="11"/>
      <w:r w:rsidRPr="00B80B5A">
        <w:rPr>
          <w:rFonts w:ascii="Athiti" w:eastAsia="Athiti" w:hAnsi="Athiti" w:cs="Athiti"/>
          <w:lang w:val="cs-CZ"/>
        </w:rPr>
        <w:t>3.1.1 Správa aktiv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 xml:space="preserve">Prvním krokem při hodnocení rizik je systematická </w:t>
      </w:r>
      <w:r w:rsidRPr="00B80B5A">
        <w:rPr>
          <w:rFonts w:ascii="Athiti" w:eastAsia="Athiti" w:hAnsi="Athiti" w:cs="Athiti"/>
          <w:b/>
          <w:color w:val="444444"/>
          <w:lang w:val="cs-CZ"/>
        </w:rPr>
        <w:t>identifikace všech aktiv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, která mohou ovlivnit </w:t>
      </w:r>
      <w:r w:rsidRPr="00B80B5A">
        <w:rPr>
          <w:rFonts w:ascii="Athiti" w:eastAsia="Athiti" w:hAnsi="Athiti" w:cs="Athiti"/>
          <w:b/>
          <w:color w:val="444444"/>
          <w:lang w:val="cs-CZ"/>
        </w:rPr>
        <w:t>důvěrnost, integritu a dostupnost informací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a tím přímo nebo nepřímo ovlivňovat činnost společnosti. Správa aktiv je klíčovým prvkem řízení informační bezpečnosti a základním předpokladem pro efektivní hodnocení a mitigaci rizik.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Společnost chápe aktiva v širším smyslu, tedy nejen jako fyzické nebo technologické prostředky, ale také jako součásti procesů, znalostí a vztahů, které jsou nezbytné pro její fungování. Proto se správa aktiv vztahuje na všechna aktiva, která jsou součástí ekosystému společnosti a mohou mít dopad na bezpečnost informací.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Každé aktivum musí být:</w:t>
      </w:r>
    </w:p>
    <w:p w:rsidR="00B80B5A" w:rsidRPr="00B80B5A" w:rsidRDefault="00B80B5A" w:rsidP="00B80B5A">
      <w:pPr>
        <w:pStyle w:val="normal"/>
        <w:numPr>
          <w:ilvl w:val="0"/>
          <w:numId w:val="12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Identifikováno a zaevidováno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v rámci registru aktiv informační bezpečnosti.</w:t>
      </w:r>
    </w:p>
    <w:p w:rsidR="00B80B5A" w:rsidRPr="00B80B5A" w:rsidRDefault="00B80B5A" w:rsidP="00B80B5A">
      <w:pPr>
        <w:pStyle w:val="normal"/>
        <w:numPr>
          <w:ilvl w:val="0"/>
          <w:numId w:val="12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lastRenderedPageBreak/>
        <w:t>Klasifikováno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podle jeho hodnoty, citlivosti a dopadu na obchodní procesy v případě ztráty, narušení nebo zneužití.</w:t>
      </w:r>
    </w:p>
    <w:p w:rsidR="00B80B5A" w:rsidRPr="00B80B5A" w:rsidRDefault="00B80B5A" w:rsidP="00B80B5A">
      <w:pPr>
        <w:pStyle w:val="normal"/>
        <w:numPr>
          <w:ilvl w:val="0"/>
          <w:numId w:val="12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 xml:space="preserve">Průběžně </w:t>
      </w:r>
      <w:r w:rsidRPr="00B80B5A">
        <w:rPr>
          <w:rFonts w:ascii="Athiti" w:eastAsia="Athiti" w:hAnsi="Athiti" w:cs="Athiti"/>
          <w:b/>
          <w:color w:val="444444"/>
          <w:lang w:val="cs-CZ"/>
        </w:rPr>
        <w:t>aktualizováno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při změnách v infrastruktuře, procesech nebo organizační struktuře.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Součástí evidence aktiv je zařazení do příslušné kategorie:</w:t>
      </w:r>
    </w:p>
    <w:p w:rsidR="00B80B5A" w:rsidRPr="00B80B5A" w:rsidRDefault="00B80B5A" w:rsidP="00B80B5A">
      <w:pPr>
        <w:pStyle w:val="normal"/>
        <w:numPr>
          <w:ilvl w:val="0"/>
          <w:numId w:val="16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Obchodní procesy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– klíčové procesy společnosti, které podporují plnění jejích cílů (např. proces zpracování transakcí, klientské služby).</w:t>
      </w:r>
    </w:p>
    <w:p w:rsidR="00B80B5A" w:rsidRPr="00B80B5A" w:rsidRDefault="00B80B5A" w:rsidP="00B80B5A">
      <w:pPr>
        <w:pStyle w:val="normal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Informační zdroje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– data, databáze, analytické výstupy a další informace, které mají hodnotu pro společnost.</w:t>
      </w:r>
    </w:p>
    <w:p w:rsidR="00B80B5A" w:rsidRPr="00B80B5A" w:rsidRDefault="00B80B5A" w:rsidP="00B80B5A">
      <w:pPr>
        <w:pStyle w:val="normal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Disky a složky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– fyzická a virtuální úložiště dat.</w:t>
      </w:r>
    </w:p>
    <w:p w:rsidR="00B80B5A" w:rsidRPr="00B80B5A" w:rsidRDefault="00B80B5A" w:rsidP="00B80B5A">
      <w:pPr>
        <w:pStyle w:val="normal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Aplikace a služby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– softwarové nástroje, online platformy a další služby používané společností.</w:t>
      </w:r>
    </w:p>
    <w:p w:rsidR="00B80B5A" w:rsidRPr="00B80B5A" w:rsidRDefault="00B80B5A" w:rsidP="00B80B5A">
      <w:pPr>
        <w:pStyle w:val="normal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Virtuální servery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– cloudové a on-premise servery, které podporují provoz IT systémů.</w:t>
      </w:r>
    </w:p>
    <w:p w:rsidR="00B80B5A" w:rsidRPr="00B80B5A" w:rsidRDefault="00B80B5A" w:rsidP="00B80B5A">
      <w:pPr>
        <w:pStyle w:val="normal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Budovy a místnosti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– fyzické prostory společnosti, které mohou obsahovat zařízení a citlivé informace.</w:t>
      </w:r>
    </w:p>
    <w:p w:rsidR="00B80B5A" w:rsidRPr="00B80B5A" w:rsidRDefault="00B80B5A" w:rsidP="00B80B5A">
      <w:pPr>
        <w:pStyle w:val="normal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Personál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– zaměstnanci, kteří mají přístup k informacím, systémům a procesům.</w:t>
      </w:r>
    </w:p>
    <w:p w:rsidR="00B80B5A" w:rsidRPr="00B80B5A" w:rsidRDefault="00B80B5A" w:rsidP="00B80B5A">
      <w:pPr>
        <w:pStyle w:val="normal"/>
        <w:numPr>
          <w:ilvl w:val="0"/>
          <w:numId w:val="16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Dodavatelé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– třetí strany, které poskytují služby, jež mohou mít dopad na bezpečnost informací společnosti.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 xml:space="preserve">Pro každé aktivum je nutné určit </w:t>
      </w:r>
      <w:r w:rsidRPr="00B80B5A">
        <w:rPr>
          <w:rFonts w:ascii="Athiti" w:eastAsia="Athiti" w:hAnsi="Athiti" w:cs="Athiti"/>
          <w:b/>
          <w:color w:val="444444"/>
          <w:lang w:val="cs-CZ"/>
        </w:rPr>
        <w:t>vlastníka aktiva</w:t>
      </w:r>
      <w:r w:rsidRPr="00B80B5A">
        <w:rPr>
          <w:rFonts w:ascii="Athiti" w:eastAsia="Athiti" w:hAnsi="Athiti" w:cs="Athiti"/>
          <w:color w:val="444444"/>
          <w:lang w:val="cs-CZ"/>
        </w:rPr>
        <w:t>, který je zodpovědný za jeho správu, evidenci, hodnocení hodnoty a dopadu na činnost společnosti. Vlastník aktiva také spolupracuje s týmem informační bezpečnosti při identifikaci a dokumentaci hrozeb a zranitelností spojených s daným aktivem. Vlastník aktiva musí zajistit, že veškeré změny, které mohou ovlivnit bezpečnostní profil aktiva, budou včas zaznamenány v Registru aktiv.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Správa aktiv je dynamický proces – každé aktivum je pravidelně přezkoumáváno, zejména při změnách v technologickém prostředí, procesech, legislativě nebo organizační struktuře společnosti. Tím je zajištěno, že společnost má vždy aktuální a ucelený přehled o svých aktivech, což je základní podmínkou pro efektivní řízení rizik a ochranu informační bezpečnosti.</w:t>
      </w:r>
    </w:p>
    <w:p w:rsidR="00B80B5A" w:rsidRPr="00B80B5A" w:rsidRDefault="00B80B5A" w:rsidP="00B80B5A">
      <w:pPr>
        <w:pStyle w:val="Nadpis3"/>
        <w:rPr>
          <w:rFonts w:ascii="Athiti" w:eastAsia="Athiti" w:hAnsi="Athiti" w:cs="Athiti"/>
          <w:lang w:val="cs-CZ"/>
        </w:rPr>
      </w:pPr>
      <w:bookmarkStart w:id="12" w:name="_heading=h.felsij2d8acf" w:colFirst="0" w:colLast="0"/>
      <w:bookmarkEnd w:id="12"/>
      <w:r w:rsidRPr="00B80B5A">
        <w:rPr>
          <w:rFonts w:ascii="Athiti" w:eastAsia="Athiti" w:hAnsi="Athiti" w:cs="Athiti"/>
          <w:lang w:val="cs-CZ"/>
        </w:rPr>
        <w:t xml:space="preserve">3.1.2 Hrozby a zranitelnosti 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Hrozby a zranitelnosti představují základní prvky v procesu hodnocení rizik a jsou klíčové pro správné pochopení, kde a jak mohou vznikat potenciální bezpečnostní incidenty nebo slabá místa v systému společnosti.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 xml:space="preserve">Společnost při identifikaci hrozeb a zranitelností využívá </w:t>
      </w:r>
      <w:r w:rsidRPr="00B80B5A">
        <w:rPr>
          <w:rFonts w:ascii="Athiti" w:eastAsia="Athiti" w:hAnsi="Athiti" w:cs="Athiti"/>
          <w:b/>
          <w:color w:val="444444"/>
          <w:lang w:val="cs-CZ"/>
        </w:rPr>
        <w:t>katalog obsažený v Registru rizik informační bezpečnosti</w:t>
      </w:r>
      <w:r w:rsidRPr="00B80B5A">
        <w:rPr>
          <w:rFonts w:ascii="Athiti" w:eastAsia="Athiti" w:hAnsi="Athiti" w:cs="Athiti"/>
          <w:color w:val="444444"/>
          <w:lang w:val="cs-CZ"/>
        </w:rPr>
        <w:t>, který slouží jako standardizovaný seznam typických hrozeb (např. kybernetické útoky, selhání technologií, lidské chyby, přírodní katastrofy) a souvisejících zranitelností (např. neaktuální software, slabá hesla, absence záloh, nedostatečné školení zaměstnanců). Tento katalog je pravidelně aktualizován v souladu s aktuálními trendy a doporučeními v oblasti kybernetické a provozní bezpečnosti.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lastRenderedPageBreak/>
        <w:t xml:space="preserve">Každé aktivum identifikované v rámci inventarizace může být spojeno s více typy hrozeb – například server může čelit riziku ztráty dat, kybernetického útoku, fyzické krádeže nebo selhání hardwaru. Každá z těchto hrozeb může být dále propojena s více zranitelnostmi – například riziko kybernetického útoku může být spojeno se </w:t>
      </w:r>
      <w:r w:rsidR="00C929D0" w:rsidRPr="00B80B5A">
        <w:rPr>
          <w:rFonts w:ascii="Athiti" w:eastAsia="Athiti" w:hAnsi="Athiti" w:cs="Athiti"/>
          <w:color w:val="444444"/>
          <w:lang w:val="cs-CZ"/>
        </w:rPr>
        <w:t>zranitelnostmi, jako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je slabé šifrování, nedostatečné řízení přístupových práv nebo absence vícefaktorové autentizace.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Cílem tohoto systematického přístupu je zajistit, aby žádná potenciální hrozba ani zranitelnost nebyla přehlédnuta a aby pro každé riziko bylo možné navrhnout efektivní mitigaci.</w:t>
      </w:r>
    </w:p>
    <w:p w:rsidR="00B80B5A" w:rsidRPr="00B80B5A" w:rsidRDefault="00B80B5A" w:rsidP="00B80B5A">
      <w:pPr>
        <w:pStyle w:val="Nadpis3"/>
        <w:rPr>
          <w:rFonts w:ascii="Athiti" w:eastAsia="Athiti" w:hAnsi="Athiti" w:cs="Athiti"/>
          <w:lang w:val="cs-CZ"/>
        </w:rPr>
      </w:pPr>
      <w:bookmarkStart w:id="13" w:name="_heading=h.54oqhk3zsygd" w:colFirst="0" w:colLast="0"/>
      <w:bookmarkEnd w:id="13"/>
      <w:r w:rsidRPr="00B80B5A">
        <w:rPr>
          <w:rFonts w:ascii="Athiti" w:eastAsia="Athiti" w:hAnsi="Athiti" w:cs="Athiti"/>
          <w:lang w:val="cs-CZ"/>
        </w:rPr>
        <w:t>3.1.3 Vlastnictví rizika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 xml:space="preserve">Každé identifikované riziko musí mít </w:t>
      </w:r>
      <w:r w:rsidRPr="00B80B5A">
        <w:rPr>
          <w:rFonts w:ascii="Athiti" w:eastAsia="Athiti" w:hAnsi="Athiti" w:cs="Athiti"/>
          <w:b/>
          <w:lang w:val="cs-CZ"/>
        </w:rPr>
        <w:t>určeného vlastníka rizika</w:t>
      </w:r>
      <w:r w:rsidRPr="00B80B5A">
        <w:rPr>
          <w:rFonts w:ascii="Athiti" w:eastAsia="Athiti" w:hAnsi="Athiti" w:cs="Athiti"/>
          <w:lang w:val="cs-CZ"/>
        </w:rPr>
        <w:t>, který je odpovědný za jeho řízení, sledování a návrh opatření pro jeho zmírnění. Vlastník rizika je obvykle osoba nebo organizační jednotka, která má největší znalosti o daném procesu nebo aktivu, případně největší schopnost a pravomoc přijmout opatření k mitigaci rizika.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 xml:space="preserve">Důležité je, že vlastník rizika </w:t>
      </w:r>
      <w:r w:rsidRPr="00B80B5A">
        <w:rPr>
          <w:rFonts w:ascii="Athiti" w:eastAsia="Athiti" w:hAnsi="Athiti" w:cs="Athiti"/>
          <w:b/>
          <w:lang w:val="cs-CZ"/>
        </w:rPr>
        <w:t>nemusí být totožný s vlastníkem aktiva</w:t>
      </w:r>
      <w:r w:rsidRPr="00B80B5A">
        <w:rPr>
          <w:rFonts w:ascii="Athiti" w:eastAsia="Athiti" w:hAnsi="Athiti" w:cs="Athiti"/>
          <w:lang w:val="cs-CZ"/>
        </w:rPr>
        <w:t xml:space="preserve"> – například aktivum (např. server) může mít za vlastníka IT oddělení, zatímco riziko spojené s nelegálním přístupem k datům uloženým na serveru může mít jako vlastníka Compliance &amp; Risk Director, protože se jedná o regulatorní a provozní riziko.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Úkolem vlastníka rizika je zejména:</w:t>
      </w:r>
    </w:p>
    <w:p w:rsidR="00B80B5A" w:rsidRPr="00B80B5A" w:rsidRDefault="00B80B5A" w:rsidP="00B80B5A">
      <w:pPr>
        <w:pStyle w:val="normal"/>
        <w:numPr>
          <w:ilvl w:val="0"/>
          <w:numId w:val="18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Posoudit dopady rizika na činnost společnosti.</w:t>
      </w:r>
    </w:p>
    <w:p w:rsidR="00B80B5A" w:rsidRPr="00B80B5A" w:rsidRDefault="00B80B5A" w:rsidP="00B80B5A">
      <w:pPr>
        <w:pStyle w:val="normal"/>
        <w:numPr>
          <w:ilvl w:val="0"/>
          <w:numId w:val="1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Stanovit prioritu a plán mitigace.</w:t>
      </w:r>
    </w:p>
    <w:p w:rsidR="00B80B5A" w:rsidRPr="00B80B5A" w:rsidRDefault="00B80B5A" w:rsidP="00B80B5A">
      <w:pPr>
        <w:pStyle w:val="normal"/>
        <w:numPr>
          <w:ilvl w:val="0"/>
          <w:numId w:val="1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Průběžně aktualizovat stav rizika v registru.</w:t>
      </w:r>
    </w:p>
    <w:p w:rsidR="00B80B5A" w:rsidRPr="00B80B5A" w:rsidRDefault="00B80B5A" w:rsidP="00B80B5A">
      <w:pPr>
        <w:pStyle w:val="normal"/>
        <w:numPr>
          <w:ilvl w:val="0"/>
          <w:numId w:val="1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Spolupracovat s ostatními odděleními při implementaci přijatých opatření.</w:t>
      </w:r>
    </w:p>
    <w:p w:rsidR="00B80B5A" w:rsidRPr="00B80B5A" w:rsidRDefault="00B80B5A" w:rsidP="00B80B5A">
      <w:pPr>
        <w:pStyle w:val="normal"/>
        <w:numPr>
          <w:ilvl w:val="0"/>
          <w:numId w:val="18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Informovat CISO o stavu rizika a hlásit případné změny.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lang w:val="cs-CZ"/>
        </w:rPr>
        <w:t>Tento princip odpovědnosti zajišťuje, že rizika nejsou „bez majitele“ a že za jejich řízení je vždy konkrétní odpovědná osoba nebo jednotka, která má jasně definovaný mandát k činnosti.</w:t>
      </w:r>
    </w:p>
    <w:p w:rsidR="00B80B5A" w:rsidRPr="00B80B5A" w:rsidRDefault="00B80B5A" w:rsidP="00B80B5A">
      <w:pPr>
        <w:pStyle w:val="Nadpis3"/>
        <w:rPr>
          <w:rFonts w:ascii="Athiti" w:eastAsia="Athiti" w:hAnsi="Athiti" w:cs="Athiti"/>
          <w:lang w:val="cs-CZ"/>
        </w:rPr>
      </w:pPr>
      <w:bookmarkStart w:id="14" w:name="_heading=h.dx399swr3skg" w:colFirst="0" w:colLast="0"/>
      <w:bookmarkEnd w:id="14"/>
      <w:r w:rsidRPr="00B80B5A">
        <w:rPr>
          <w:rFonts w:ascii="Athiti" w:eastAsia="Athiti" w:hAnsi="Athiti" w:cs="Athiti"/>
          <w:lang w:val="cs-CZ"/>
        </w:rPr>
        <w:t>3.1.4 Analýza a klasifikace rizik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 xml:space="preserve">Analýza rizik je klíčovou součástí procesu hodnocení a umožňuje společnosti objektivně posoudit závažnost jednotlivých rizik a nastavit priority pro jejich mitigaci. Tento proces vychází z principu, že </w:t>
      </w:r>
      <w:r w:rsidRPr="00B80B5A">
        <w:rPr>
          <w:rFonts w:ascii="Athiti" w:eastAsia="Athiti" w:hAnsi="Athiti" w:cs="Athiti"/>
          <w:b/>
          <w:color w:val="444444"/>
          <w:lang w:val="cs-CZ"/>
        </w:rPr>
        <w:t>riziko vzniká kombinací pravděpodobnosti výskytu hrozby a dopadu jejího naplnění prostřednictvím zranitelnosti příslušného aktiva</w:t>
      </w:r>
      <w:r w:rsidRPr="00B80B5A">
        <w:rPr>
          <w:rFonts w:ascii="Athiti" w:eastAsia="Athiti" w:hAnsi="Athiti" w:cs="Athiti"/>
          <w:color w:val="444444"/>
          <w:lang w:val="cs-CZ"/>
        </w:rPr>
        <w:t>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Každému riziku jsou přiřazeny dvě číselné hodnoty:</w:t>
      </w:r>
    </w:p>
    <w:p w:rsidR="00B80B5A" w:rsidRPr="00B80B5A" w:rsidRDefault="00B80B5A" w:rsidP="00B80B5A">
      <w:pPr>
        <w:pStyle w:val="normal"/>
        <w:numPr>
          <w:ilvl w:val="0"/>
          <w:numId w:val="3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Pravděpodobnost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(frekvence výskytu události)</w:t>
      </w:r>
    </w:p>
    <w:p w:rsidR="00B80B5A" w:rsidRPr="00B80B5A" w:rsidRDefault="00B80B5A" w:rsidP="00B80B5A">
      <w:pPr>
        <w:pStyle w:val="normal"/>
        <w:numPr>
          <w:ilvl w:val="0"/>
          <w:numId w:val="3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Dopad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(intenzita negativních následků pro společnost)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 xml:space="preserve">Tyto hodnoty jsou následně vynásobeny, čímž vzniká </w:t>
      </w:r>
      <w:r w:rsidRPr="00B80B5A">
        <w:rPr>
          <w:rFonts w:ascii="Athiti" w:eastAsia="Athiti" w:hAnsi="Athiti" w:cs="Athiti"/>
          <w:b/>
          <w:color w:val="444444"/>
          <w:lang w:val="cs-CZ"/>
        </w:rPr>
        <w:t>číslo rizika (risk score)</w:t>
      </w:r>
      <w:r w:rsidRPr="00B80B5A">
        <w:rPr>
          <w:rFonts w:ascii="Athiti" w:eastAsia="Athiti" w:hAnsi="Athiti" w:cs="Athiti"/>
          <w:color w:val="444444"/>
          <w:lang w:val="cs-CZ"/>
        </w:rPr>
        <w:t>, které určuje jeho klasifikační úroveň:</w:t>
      </w:r>
    </w:p>
    <w:p w:rsidR="00B80B5A" w:rsidRPr="00B80B5A" w:rsidRDefault="00B80B5A" w:rsidP="00B80B5A">
      <w:pPr>
        <w:pStyle w:val="normal"/>
        <w:numPr>
          <w:ilvl w:val="0"/>
          <w:numId w:val="15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lastRenderedPageBreak/>
        <w:t>Nízké riziko</w:t>
      </w:r>
    </w:p>
    <w:p w:rsidR="00B80B5A" w:rsidRPr="00B80B5A" w:rsidRDefault="00B80B5A" w:rsidP="00B80B5A">
      <w:pPr>
        <w:pStyle w:val="normal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Střední riziko</w:t>
      </w:r>
    </w:p>
    <w:p w:rsidR="00B80B5A" w:rsidRPr="00B80B5A" w:rsidRDefault="00B80B5A" w:rsidP="00B80B5A">
      <w:pPr>
        <w:pStyle w:val="normal"/>
        <w:numPr>
          <w:ilvl w:val="0"/>
          <w:numId w:val="15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Vysoké riziko</w:t>
      </w:r>
    </w:p>
    <w:tbl>
      <w:tblPr>
        <w:tblW w:w="9690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1890"/>
        <w:gridCol w:w="1650"/>
        <w:gridCol w:w="6150"/>
      </w:tblGrid>
      <w:tr w:rsidR="00B80B5A" w:rsidRPr="00B80B5A" w:rsidTr="000744DC">
        <w:trPr>
          <w:cantSplit/>
          <w:trHeight w:val="648"/>
          <w:tblHeader/>
        </w:trPr>
        <w:tc>
          <w:tcPr>
            <w:tcW w:w="1890" w:type="dxa"/>
            <w:shd w:val="clear" w:color="auto" w:fill="FFE599"/>
            <w:vAlign w:val="center"/>
          </w:tcPr>
          <w:p w:rsidR="00B80B5A" w:rsidRPr="00B80B5A" w:rsidRDefault="00B80B5A" w:rsidP="000744DC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ČETNOST VÝSKYTU</w:t>
            </w:r>
          </w:p>
        </w:tc>
        <w:tc>
          <w:tcPr>
            <w:tcW w:w="1650" w:type="dxa"/>
            <w:shd w:val="clear" w:color="auto" w:fill="FFE599"/>
            <w:vAlign w:val="center"/>
          </w:tcPr>
          <w:p w:rsidR="00B80B5A" w:rsidRPr="00B80B5A" w:rsidRDefault="00B80B5A" w:rsidP="000744DC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STUPEŇ</w:t>
            </w:r>
          </w:p>
        </w:tc>
        <w:tc>
          <w:tcPr>
            <w:tcW w:w="6150" w:type="dxa"/>
            <w:shd w:val="clear" w:color="auto" w:fill="FFE599"/>
            <w:vAlign w:val="center"/>
          </w:tcPr>
          <w:p w:rsidR="00B80B5A" w:rsidRPr="00B80B5A" w:rsidRDefault="00B80B5A" w:rsidP="000744DC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SHRNUTÍ</w:t>
            </w:r>
          </w:p>
        </w:tc>
      </w:tr>
      <w:tr w:rsidR="00B80B5A" w:rsidRPr="00B80B5A" w:rsidTr="000744DC">
        <w:trPr>
          <w:cantSplit/>
          <w:trHeight w:val="431"/>
          <w:tblHeader/>
        </w:trPr>
        <w:tc>
          <w:tcPr>
            <w:tcW w:w="189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NÍZKÁ</w:t>
            </w:r>
          </w:p>
        </w:tc>
        <w:tc>
          <w:tcPr>
            <w:tcW w:w="1650" w:type="dxa"/>
            <w:shd w:val="clear" w:color="auto" w:fill="D9EAD3"/>
            <w:vAlign w:val="center"/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1</w:t>
            </w:r>
          </w:p>
        </w:tc>
        <w:tc>
          <w:tcPr>
            <w:tcW w:w="615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Událost může nastat maximálně jednou za pět let</w:t>
            </w:r>
          </w:p>
        </w:tc>
      </w:tr>
      <w:tr w:rsidR="00B80B5A" w:rsidRPr="00B80B5A" w:rsidTr="000744DC">
        <w:trPr>
          <w:cantSplit/>
          <w:trHeight w:val="431"/>
          <w:tblHeader/>
        </w:trPr>
        <w:tc>
          <w:tcPr>
            <w:tcW w:w="189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STŘEDNÍ</w:t>
            </w:r>
          </w:p>
        </w:tc>
        <w:tc>
          <w:tcPr>
            <w:tcW w:w="1650" w:type="dxa"/>
            <w:shd w:val="clear" w:color="auto" w:fill="FFF2CC"/>
            <w:vAlign w:val="center"/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2</w:t>
            </w:r>
          </w:p>
        </w:tc>
        <w:tc>
          <w:tcPr>
            <w:tcW w:w="615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Událost nastává od jednou za pět let do jednou za rok</w:t>
            </w:r>
          </w:p>
        </w:tc>
      </w:tr>
      <w:tr w:rsidR="00B80B5A" w:rsidRPr="00B80B5A" w:rsidTr="000744DC">
        <w:trPr>
          <w:cantSplit/>
          <w:trHeight w:val="431"/>
          <w:tblHeader/>
        </w:trPr>
        <w:tc>
          <w:tcPr>
            <w:tcW w:w="189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VYSOKÁ</w:t>
            </w:r>
          </w:p>
        </w:tc>
        <w:tc>
          <w:tcPr>
            <w:tcW w:w="1650" w:type="dxa"/>
            <w:shd w:val="clear" w:color="auto" w:fill="F4CCCC"/>
            <w:vAlign w:val="center"/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3</w:t>
            </w:r>
          </w:p>
        </w:tc>
        <w:tc>
          <w:tcPr>
            <w:tcW w:w="615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Událost nastává více než jednou za rok</w:t>
            </w:r>
          </w:p>
        </w:tc>
      </w:tr>
    </w:tbl>
    <w:p w:rsidR="00B80B5A" w:rsidRPr="00B80B5A" w:rsidRDefault="00B80B5A" w:rsidP="00B80B5A">
      <w:pPr>
        <w:pStyle w:val="normal"/>
        <w:spacing w:after="200" w:line="240" w:lineRule="auto"/>
        <w:jc w:val="center"/>
        <w:rPr>
          <w:rFonts w:ascii="Athiti" w:eastAsia="Athiti" w:hAnsi="Athiti" w:cs="Athiti"/>
          <w:i/>
          <w:color w:val="44546A"/>
          <w:sz w:val="18"/>
          <w:szCs w:val="18"/>
          <w:lang w:val="cs-CZ"/>
        </w:rPr>
      </w:pPr>
      <w:bookmarkStart w:id="15" w:name="_heading=h.lstmhd1d25zr" w:colFirst="0" w:colLast="0"/>
      <w:bookmarkEnd w:id="15"/>
      <w:r w:rsidRPr="00B80B5A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br/>
        <w:t>Tabulka 1: Četnost výskytu události</w:t>
      </w:r>
    </w:p>
    <w:p w:rsidR="00B80B5A" w:rsidRPr="00B80B5A" w:rsidRDefault="00B80B5A" w:rsidP="00B80B5A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Dopad každé události bude hodnocen na číselné škále od 1 (NÍZKÝ) do 3 (VYSOKÝ). Obecné pokyny pro význam jednotlivých stupňů jsou uvedeny v Tabulce 2.</w:t>
      </w:r>
    </w:p>
    <w:tbl>
      <w:tblPr>
        <w:tblW w:w="9690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1890"/>
        <w:gridCol w:w="1650"/>
        <w:gridCol w:w="6150"/>
      </w:tblGrid>
      <w:tr w:rsidR="00B80B5A" w:rsidRPr="00B80B5A" w:rsidTr="000744DC">
        <w:trPr>
          <w:cantSplit/>
          <w:trHeight w:val="648"/>
          <w:tblHeader/>
        </w:trPr>
        <w:tc>
          <w:tcPr>
            <w:tcW w:w="1890" w:type="dxa"/>
            <w:shd w:val="clear" w:color="auto" w:fill="FFE599"/>
            <w:vAlign w:val="center"/>
          </w:tcPr>
          <w:p w:rsidR="00B80B5A" w:rsidRPr="00B80B5A" w:rsidRDefault="00B80B5A" w:rsidP="000744DC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ÚROVEŇ DOPADU</w:t>
            </w:r>
          </w:p>
        </w:tc>
        <w:tc>
          <w:tcPr>
            <w:tcW w:w="1650" w:type="dxa"/>
            <w:shd w:val="clear" w:color="auto" w:fill="FFE599"/>
            <w:vAlign w:val="center"/>
          </w:tcPr>
          <w:p w:rsidR="00B80B5A" w:rsidRPr="00B80B5A" w:rsidRDefault="00B80B5A" w:rsidP="000744DC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STUPEŇ</w:t>
            </w:r>
          </w:p>
        </w:tc>
        <w:tc>
          <w:tcPr>
            <w:tcW w:w="6150" w:type="dxa"/>
            <w:shd w:val="clear" w:color="auto" w:fill="FFE599"/>
            <w:vAlign w:val="center"/>
          </w:tcPr>
          <w:p w:rsidR="00B80B5A" w:rsidRPr="00B80B5A" w:rsidRDefault="00B80B5A" w:rsidP="000744DC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SHRNUTÍ</w:t>
            </w:r>
          </w:p>
        </w:tc>
      </w:tr>
      <w:tr w:rsidR="00B80B5A" w:rsidRPr="00B80B5A" w:rsidTr="000744DC">
        <w:trPr>
          <w:cantSplit/>
          <w:trHeight w:val="431"/>
          <w:tblHeader/>
        </w:trPr>
        <w:tc>
          <w:tcPr>
            <w:tcW w:w="189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NÍZKÁ</w:t>
            </w:r>
          </w:p>
        </w:tc>
        <w:tc>
          <w:tcPr>
            <w:tcW w:w="1650" w:type="dxa"/>
            <w:shd w:val="clear" w:color="auto" w:fill="D9EAD3"/>
            <w:vAlign w:val="center"/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1</w:t>
            </w:r>
          </w:p>
        </w:tc>
        <w:tc>
          <w:tcPr>
            <w:tcW w:w="615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Ztráta důvěrnosti, dostupnosti nebo integrity neovlivňuje peněžní toky společnosti, právní či smluvní závazky ani reputaci</w:t>
            </w:r>
          </w:p>
        </w:tc>
      </w:tr>
      <w:tr w:rsidR="00B80B5A" w:rsidRPr="00B80B5A" w:rsidTr="000744DC">
        <w:trPr>
          <w:cantSplit/>
          <w:trHeight w:val="431"/>
          <w:tblHeader/>
        </w:trPr>
        <w:tc>
          <w:tcPr>
            <w:tcW w:w="189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STŘEDNÍ</w:t>
            </w:r>
          </w:p>
        </w:tc>
        <w:tc>
          <w:tcPr>
            <w:tcW w:w="1650" w:type="dxa"/>
            <w:shd w:val="clear" w:color="auto" w:fill="FFF2CC"/>
            <w:vAlign w:val="center"/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2</w:t>
            </w:r>
          </w:p>
        </w:tc>
        <w:tc>
          <w:tcPr>
            <w:tcW w:w="615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Ztráta důvěrnosti, dostupnosti nebo integrity způsobuje náklady a má nízký nebo střední dopad na právní či smluvní závazky nebo reputaci</w:t>
            </w:r>
          </w:p>
        </w:tc>
      </w:tr>
      <w:tr w:rsidR="00B80B5A" w:rsidRPr="00B80B5A" w:rsidTr="000744DC">
        <w:trPr>
          <w:cantSplit/>
          <w:trHeight w:val="431"/>
          <w:tblHeader/>
        </w:trPr>
        <w:tc>
          <w:tcPr>
            <w:tcW w:w="189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VYSOKÁ</w:t>
            </w:r>
          </w:p>
        </w:tc>
        <w:tc>
          <w:tcPr>
            <w:tcW w:w="1650" w:type="dxa"/>
            <w:shd w:val="clear" w:color="auto" w:fill="F4CCCC"/>
            <w:vAlign w:val="center"/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3</w:t>
            </w:r>
          </w:p>
        </w:tc>
        <w:tc>
          <w:tcPr>
            <w:tcW w:w="615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Ztráta důvěrnosti, dostupnosti nebo integrity má značný nebo bezprostřední dopad na provoz, smluvní závazky nebo reputaci</w:t>
            </w:r>
          </w:p>
        </w:tc>
      </w:tr>
    </w:tbl>
    <w:p w:rsidR="00B80B5A" w:rsidRPr="00B80B5A" w:rsidRDefault="00B80B5A" w:rsidP="00B80B5A">
      <w:pPr>
        <w:pStyle w:val="normal"/>
        <w:spacing w:after="200" w:line="240" w:lineRule="auto"/>
        <w:jc w:val="center"/>
        <w:rPr>
          <w:rFonts w:ascii="Athiti" w:eastAsia="Athiti" w:hAnsi="Athiti" w:cs="Athiti"/>
          <w:i/>
          <w:color w:val="44546A"/>
          <w:sz w:val="18"/>
          <w:szCs w:val="18"/>
          <w:lang w:val="cs-CZ"/>
        </w:rPr>
      </w:pPr>
      <w:r w:rsidRPr="00B80B5A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br/>
        <w:t>Tabulka 2: Úroveň dopadu události</w:t>
      </w:r>
    </w:p>
    <w:p w:rsidR="00B80B5A" w:rsidRPr="00B80B5A" w:rsidRDefault="00B80B5A" w:rsidP="00B80B5A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Po vyhodnocení četnosti výskytu hrozby a dopadu, který může způsobit, lze posoudit a kategorizovat míru rizika vyplývající z kombinace těchto dvou faktorů. Obecné pokyny pro význam jednotlivých kategorií jsou uvedeny v Tabulce 3.</w:t>
      </w:r>
    </w:p>
    <w:tbl>
      <w:tblPr>
        <w:tblW w:w="9690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1890"/>
        <w:gridCol w:w="1650"/>
        <w:gridCol w:w="6150"/>
      </w:tblGrid>
      <w:tr w:rsidR="00B80B5A" w:rsidRPr="00B80B5A" w:rsidTr="000744DC">
        <w:trPr>
          <w:cantSplit/>
          <w:trHeight w:val="648"/>
          <w:tblHeader/>
        </w:trPr>
        <w:tc>
          <w:tcPr>
            <w:tcW w:w="1890" w:type="dxa"/>
            <w:shd w:val="clear" w:color="auto" w:fill="FFE599"/>
            <w:vAlign w:val="center"/>
          </w:tcPr>
          <w:p w:rsidR="00B80B5A" w:rsidRPr="00B80B5A" w:rsidRDefault="00B80B5A" w:rsidP="000744DC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KATEGORIE RIZIKA</w:t>
            </w:r>
          </w:p>
        </w:tc>
        <w:tc>
          <w:tcPr>
            <w:tcW w:w="1650" w:type="dxa"/>
            <w:shd w:val="clear" w:color="auto" w:fill="FFE599"/>
            <w:vAlign w:val="center"/>
          </w:tcPr>
          <w:p w:rsidR="00B80B5A" w:rsidRPr="00B80B5A" w:rsidRDefault="00B80B5A" w:rsidP="000744DC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STUPEŇ</w:t>
            </w:r>
          </w:p>
        </w:tc>
        <w:tc>
          <w:tcPr>
            <w:tcW w:w="6150" w:type="dxa"/>
            <w:shd w:val="clear" w:color="auto" w:fill="FFE599"/>
            <w:vAlign w:val="center"/>
          </w:tcPr>
          <w:p w:rsidR="00B80B5A" w:rsidRPr="00B80B5A" w:rsidRDefault="00B80B5A" w:rsidP="000744DC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SHRNUTÍ</w:t>
            </w:r>
          </w:p>
        </w:tc>
      </w:tr>
      <w:tr w:rsidR="00B80B5A" w:rsidRPr="00B80B5A" w:rsidTr="000744DC">
        <w:trPr>
          <w:cantSplit/>
          <w:trHeight w:val="431"/>
          <w:tblHeader/>
        </w:trPr>
        <w:tc>
          <w:tcPr>
            <w:tcW w:w="189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NÍZKÁ</w:t>
            </w:r>
          </w:p>
        </w:tc>
        <w:tc>
          <w:tcPr>
            <w:tcW w:w="1650" w:type="dxa"/>
            <w:shd w:val="clear" w:color="auto" w:fill="D9EAD3"/>
            <w:vAlign w:val="center"/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1 - 4</w:t>
            </w:r>
          </w:p>
        </w:tc>
        <w:tc>
          <w:tcPr>
            <w:tcW w:w="615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Opatření již zavedená (nebo alespoň plánovaná) poskytují dostatečnou ochranu</w:t>
            </w:r>
          </w:p>
        </w:tc>
      </w:tr>
      <w:tr w:rsidR="00B80B5A" w:rsidRPr="00B80B5A" w:rsidTr="000744DC">
        <w:trPr>
          <w:cantSplit/>
          <w:trHeight w:val="431"/>
          <w:tblHeader/>
        </w:trPr>
        <w:tc>
          <w:tcPr>
            <w:tcW w:w="189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STŘEDNÍ</w:t>
            </w:r>
          </w:p>
        </w:tc>
        <w:tc>
          <w:tcPr>
            <w:tcW w:w="1650" w:type="dxa"/>
            <w:shd w:val="clear" w:color="auto" w:fill="FFF2CC"/>
            <w:vAlign w:val="center"/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 xml:space="preserve"> 6</w:t>
            </w:r>
          </w:p>
        </w:tc>
        <w:tc>
          <w:tcPr>
            <w:tcW w:w="615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Opatření již zavedená nenabízí dostatečnou ochranu proti dané hrozbě</w:t>
            </w:r>
          </w:p>
        </w:tc>
      </w:tr>
      <w:tr w:rsidR="00B80B5A" w:rsidRPr="00B80B5A" w:rsidTr="000744DC">
        <w:trPr>
          <w:cantSplit/>
          <w:trHeight w:val="578"/>
          <w:tblHeader/>
        </w:trPr>
        <w:tc>
          <w:tcPr>
            <w:tcW w:w="189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lastRenderedPageBreak/>
              <w:t>VYSOKÁ</w:t>
            </w:r>
          </w:p>
        </w:tc>
        <w:tc>
          <w:tcPr>
            <w:tcW w:w="1650" w:type="dxa"/>
            <w:shd w:val="clear" w:color="auto" w:fill="F4CCCC"/>
            <w:vAlign w:val="center"/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9</w:t>
            </w:r>
          </w:p>
        </w:tc>
        <w:tc>
          <w:tcPr>
            <w:tcW w:w="6150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Opatření již zavedená neposkytují dostatečnou ochranu proti dané hrozbě</w:t>
            </w:r>
          </w:p>
        </w:tc>
      </w:tr>
    </w:tbl>
    <w:p w:rsidR="00B80B5A" w:rsidRPr="00B80B5A" w:rsidRDefault="00B80B5A" w:rsidP="00B80B5A">
      <w:pPr>
        <w:pStyle w:val="normal"/>
        <w:spacing w:before="240" w:after="240" w:line="240" w:lineRule="auto"/>
        <w:jc w:val="center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t>Tabulka 3: Klasifikace rizik</w:t>
      </w:r>
    </w:p>
    <w:p w:rsidR="00B80B5A" w:rsidRPr="00B80B5A" w:rsidRDefault="00B80B5A" w:rsidP="00B80B5A">
      <w:pPr>
        <w:pStyle w:val="normal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Matice rizik na Obrázku 1 může být použita jako ilustrativní nástroj pro klasifikaci rizik z hlediska jejich četnosti výskytu a negativního dopadu, který mohou způsobit.</w:t>
      </w:r>
    </w:p>
    <w:p w:rsidR="00B80B5A" w:rsidRPr="00B80B5A" w:rsidRDefault="00B80B5A" w:rsidP="00B80B5A">
      <w:pPr>
        <w:pStyle w:val="normal"/>
        <w:spacing w:after="200" w:line="240" w:lineRule="auto"/>
        <w:jc w:val="center"/>
        <w:rPr>
          <w:rFonts w:ascii="Athiti" w:eastAsia="Athiti" w:hAnsi="Athiti" w:cs="Athiti"/>
          <w:color w:val="444444"/>
          <w:lang w:val="cs-CZ"/>
        </w:rPr>
      </w:pPr>
      <w:bookmarkStart w:id="16" w:name="_heading=h.bc5fx54eod8g" w:colFirst="0" w:colLast="0"/>
      <w:bookmarkEnd w:id="16"/>
      <w:r w:rsidRPr="00B80B5A">
        <w:rPr>
          <w:rFonts w:ascii="Athiti" w:eastAsia="Athiti" w:hAnsi="Athiti" w:cs="Athiti"/>
          <w:noProof/>
          <w:color w:val="444444"/>
        </w:rPr>
        <w:drawing>
          <wp:inline distT="114300" distB="114300" distL="114300" distR="114300">
            <wp:extent cx="6124575" cy="439189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7073" b="1120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3918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0B5A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t>Obrázek 1: Matice rizik</w:t>
      </w:r>
    </w:p>
    <w:p w:rsidR="00B80B5A" w:rsidRPr="00B80B5A" w:rsidRDefault="00B80B5A" w:rsidP="00B80B5A">
      <w:pPr>
        <w:pStyle w:val="Nadpis2"/>
        <w:rPr>
          <w:rFonts w:ascii="Athiti" w:eastAsia="Athiti" w:hAnsi="Athiti" w:cs="Athiti"/>
          <w:lang w:val="cs-CZ"/>
        </w:rPr>
      </w:pPr>
      <w:bookmarkStart w:id="17" w:name="_heading=h.mo3q3anwg5dv" w:colFirst="0" w:colLast="0"/>
      <w:bookmarkEnd w:id="17"/>
      <w:r w:rsidRPr="00B80B5A">
        <w:rPr>
          <w:rFonts w:ascii="Athiti" w:eastAsia="Athiti" w:hAnsi="Athiti" w:cs="Athiti"/>
          <w:lang w:val="cs-CZ"/>
        </w:rPr>
        <w:t>3.2 Řešení rizik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 xml:space="preserve">Pro každé riziko, které bylo identifikováno a vyhodnoceno jako </w:t>
      </w:r>
      <w:r w:rsidRPr="00B80B5A">
        <w:rPr>
          <w:rFonts w:ascii="Athiti" w:eastAsia="Athiti" w:hAnsi="Athiti" w:cs="Athiti"/>
          <w:b/>
          <w:color w:val="444444"/>
          <w:lang w:val="cs-CZ"/>
        </w:rPr>
        <w:t>nepřijatelné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(tedy s klasifikační úrovní nad stanovenou hranicí přijatelnosti), musí být provedena detailní analýza možností jeho řešení. Cílem tohoto procesu je minimalizovat dopad rizika na obchodní činnost společnosti a snížit jeho klasifikaci na úroveň, která je společností považována za akceptovatelnou.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Proces řešení rizik zahrnuje následující kroky:</w:t>
      </w:r>
    </w:p>
    <w:p w:rsidR="00B80B5A" w:rsidRPr="00B80B5A" w:rsidRDefault="00B80B5A" w:rsidP="00B80B5A">
      <w:pPr>
        <w:pStyle w:val="normal"/>
        <w:numPr>
          <w:ilvl w:val="0"/>
          <w:numId w:val="17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Stanovení konkrétních opatření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(technických, organizačních nebo procesních), která vedou ke snížení pravděpodobnosti výskytu hrozby, minimalizaci zranitelností nebo zmírnění dopadu na činnost společnosti.</w:t>
      </w:r>
    </w:p>
    <w:p w:rsidR="00B80B5A" w:rsidRPr="00B80B5A" w:rsidRDefault="00B80B5A" w:rsidP="00B80B5A">
      <w:pPr>
        <w:pStyle w:val="normal"/>
        <w:numPr>
          <w:ilvl w:val="0"/>
          <w:numId w:val="17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lastRenderedPageBreak/>
        <w:t>Určení zodpovědnosti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– za návrh a implementaci opatření odpovídá vlastník rizika, který spolupracuje s relevantními interními i externími partnery.</w:t>
      </w:r>
      <w:r w:rsidRPr="00B80B5A">
        <w:rPr>
          <w:rFonts w:ascii="Athiti" w:eastAsia="Athiti" w:hAnsi="Athiti" w:cs="Athiti"/>
          <w:color w:val="444444"/>
          <w:lang w:val="cs-CZ"/>
        </w:rPr>
        <w:br/>
      </w:r>
    </w:p>
    <w:p w:rsidR="00B80B5A" w:rsidRPr="00B80B5A" w:rsidRDefault="00B80B5A" w:rsidP="00B80B5A">
      <w:pPr>
        <w:pStyle w:val="normal"/>
        <w:numPr>
          <w:ilvl w:val="0"/>
          <w:numId w:val="17"/>
        </w:numPr>
        <w:spacing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Definování termínů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– každé opatření musí mít určený časový rámec pro realizaci, a to s ohledem na závažnost rizika.</w:t>
      </w:r>
    </w:p>
    <w:p w:rsidR="00B80B5A" w:rsidRPr="00B80B5A" w:rsidRDefault="00B80B5A" w:rsidP="00B80B5A">
      <w:pPr>
        <w:pStyle w:val="normal"/>
        <w:numPr>
          <w:ilvl w:val="0"/>
          <w:numId w:val="17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b/>
          <w:color w:val="444444"/>
          <w:lang w:val="cs-CZ"/>
        </w:rPr>
        <w:t>Průběžné sledování účinnosti opatření</w:t>
      </w:r>
      <w:r w:rsidRPr="00B80B5A">
        <w:rPr>
          <w:rFonts w:ascii="Athiti" w:eastAsia="Athiti" w:hAnsi="Athiti" w:cs="Athiti"/>
          <w:color w:val="444444"/>
          <w:lang w:val="cs-CZ"/>
        </w:rPr>
        <w:t xml:space="preserve"> – po implementaci opatření musí vlastník rizika a tým informační bezpečnosti ověřit, zda došlo ke snížení klasifikace rizika na přijatelnou úroveň.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Pokud riziko nelze zcela odstranit, je možné zvolit alternativní přístup, například:</w:t>
      </w:r>
    </w:p>
    <w:p w:rsidR="00B80B5A" w:rsidRPr="00B80B5A" w:rsidRDefault="00B80B5A" w:rsidP="00B80B5A">
      <w:pPr>
        <w:pStyle w:val="normal"/>
        <w:numPr>
          <w:ilvl w:val="0"/>
          <w:numId w:val="8"/>
        </w:numPr>
        <w:spacing w:before="240" w:after="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Převod rizika (např. formou pojištění nebo outsourcování procesů).</w:t>
      </w:r>
    </w:p>
    <w:p w:rsidR="00B80B5A" w:rsidRPr="00B80B5A" w:rsidRDefault="00B80B5A" w:rsidP="00B80B5A">
      <w:pPr>
        <w:pStyle w:val="normal"/>
        <w:numPr>
          <w:ilvl w:val="0"/>
          <w:numId w:val="8"/>
        </w:numPr>
        <w:spacing w:after="240"/>
        <w:jc w:val="left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Akceptaci rizika (pouze v případě, že riziko bylo vyhodnoceno jako přijatelné podle definovaných kritérií).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O všech krocích a rozhodnutích přijatých v rámci řešení rizik musí být veden záznam v registru rizik, který slouží jako průkazná dokumentace pro interní účely i pro případ kontroly ze strany regulatorních orgánů.</w:t>
      </w:r>
    </w:p>
    <w:p w:rsidR="00B80B5A" w:rsidRPr="00B80B5A" w:rsidRDefault="00B80B5A" w:rsidP="00B80B5A">
      <w:pPr>
        <w:pStyle w:val="Nadpis3"/>
        <w:rPr>
          <w:rFonts w:ascii="Athiti" w:eastAsia="Athiti" w:hAnsi="Athiti" w:cs="Athiti"/>
          <w:lang w:val="cs-CZ"/>
        </w:rPr>
      </w:pPr>
      <w:bookmarkStart w:id="18" w:name="_heading=h.jqdkf6h5zqd3" w:colFirst="0" w:colLast="0"/>
      <w:bookmarkEnd w:id="18"/>
      <w:r w:rsidRPr="00B80B5A">
        <w:rPr>
          <w:rFonts w:ascii="Athiti" w:eastAsia="Athiti" w:hAnsi="Athiti" w:cs="Athiti"/>
          <w:lang w:val="cs-CZ"/>
        </w:rPr>
        <w:t>3.2.1 Kritéria přijetí rizik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 xml:space="preserve">Společnost definuje svou </w:t>
      </w:r>
      <w:r w:rsidRPr="00B80B5A">
        <w:rPr>
          <w:rFonts w:ascii="Athiti" w:eastAsia="Athiti" w:hAnsi="Athiti" w:cs="Athiti"/>
          <w:b/>
          <w:lang w:val="cs-CZ"/>
        </w:rPr>
        <w:t>ochotu přijímat rizika (risk appetite)</w:t>
      </w:r>
      <w:r w:rsidRPr="00B80B5A">
        <w:rPr>
          <w:rFonts w:ascii="Athiti" w:eastAsia="Athiti" w:hAnsi="Athiti" w:cs="Athiti"/>
          <w:lang w:val="cs-CZ"/>
        </w:rPr>
        <w:t xml:space="preserve"> jako </w:t>
      </w:r>
      <w:r w:rsidRPr="00B80B5A">
        <w:rPr>
          <w:rFonts w:ascii="Athiti" w:eastAsia="Athiti" w:hAnsi="Athiti" w:cs="Athiti"/>
          <w:b/>
          <w:lang w:val="cs-CZ"/>
        </w:rPr>
        <w:t>mírnou</w:t>
      </w:r>
      <w:r w:rsidRPr="00B80B5A">
        <w:rPr>
          <w:rFonts w:ascii="Athiti" w:eastAsia="Athiti" w:hAnsi="Athiti" w:cs="Athiti"/>
          <w:lang w:val="cs-CZ"/>
        </w:rPr>
        <w:t>, což znamená, že společnost je ochotna akceptovat pouze nízká rizika, která mají minimální dopad na její činnost a nejsou v rozporu s regulatorními požadavky ani očekáváním klientů.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lang w:val="cs-CZ"/>
        </w:rPr>
        <w:t>Kritéria přijetí rizik jsou následující:</w:t>
      </w:r>
    </w:p>
    <w:tbl>
      <w:tblPr>
        <w:tblW w:w="961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600"/>
      </w:tblPr>
      <w:tblGrid>
        <w:gridCol w:w="2570"/>
        <w:gridCol w:w="3050"/>
        <w:gridCol w:w="3995"/>
      </w:tblGrid>
      <w:tr w:rsidR="00B80B5A" w:rsidRPr="00B80B5A" w:rsidTr="000744DC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color w:val="444444"/>
                <w:lang w:val="cs-CZ"/>
              </w:rPr>
              <w:t>Klasifikace rizika (Risk Score)</w:t>
            </w:r>
          </w:p>
        </w:tc>
        <w:tc>
          <w:tcPr>
            <w:tcW w:w="30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color w:val="444444"/>
                <w:lang w:val="cs-CZ"/>
              </w:rPr>
              <w:t>Přijetí rizika</w:t>
            </w:r>
          </w:p>
        </w:tc>
        <w:tc>
          <w:tcPr>
            <w:tcW w:w="39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jc w:val="center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color w:val="444444"/>
                <w:lang w:val="cs-CZ"/>
              </w:rPr>
              <w:t>Akce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1–4 (nízké riziko)</w:t>
            </w:r>
          </w:p>
        </w:tc>
        <w:tc>
          <w:tcPr>
            <w:tcW w:w="30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Riziko je považováno za přijatelné.</w:t>
            </w:r>
          </w:p>
        </w:tc>
        <w:tc>
          <w:tcPr>
            <w:tcW w:w="39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Není nutná okamžitá akce, postačí průběžný monitoring.</w:t>
            </w:r>
          </w:p>
        </w:tc>
      </w:tr>
      <w:tr w:rsidR="00B80B5A" w:rsidRPr="00B80B5A" w:rsidTr="000744DC">
        <w:trPr>
          <w:cantSplit/>
          <w:trHeight w:val="785"/>
          <w:tblHeader/>
        </w:trPr>
        <w:tc>
          <w:tcPr>
            <w:tcW w:w="257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&gt;4 (střední a vysoké riziko)</w:t>
            </w:r>
          </w:p>
        </w:tc>
        <w:tc>
          <w:tcPr>
            <w:tcW w:w="3050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Riziko je nepřijatelné a musí být řešeno.</w:t>
            </w:r>
          </w:p>
        </w:tc>
        <w:tc>
          <w:tcPr>
            <w:tcW w:w="3995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B5A" w:rsidRPr="00B80B5A" w:rsidRDefault="00B80B5A" w:rsidP="000744DC">
            <w:pPr>
              <w:pStyle w:val="normal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Je nutné zavést vhodná opatření ke snížení rizika.</w:t>
            </w:r>
          </w:p>
        </w:tc>
      </w:tr>
    </w:tbl>
    <w:p w:rsidR="00B80B5A" w:rsidRPr="00B80B5A" w:rsidRDefault="00B80B5A" w:rsidP="00B80B5A">
      <w:pPr>
        <w:pStyle w:val="normal"/>
        <w:rPr>
          <w:rFonts w:ascii="Athiti" w:eastAsia="Athiti" w:hAnsi="Athiti" w:cs="Athiti"/>
          <w:color w:val="444444"/>
          <w:lang w:val="cs-CZ"/>
        </w:rPr>
      </w:pPr>
    </w:p>
    <w:p w:rsidR="00B80B5A" w:rsidRPr="00B80B5A" w:rsidRDefault="00B80B5A" w:rsidP="00B80B5A">
      <w:pPr>
        <w:pStyle w:val="normal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Nepřijatelná rizika (tj. s klasifikační hodnotou vyšší než 4) musí být aktivně řízena – musí být přijata a realizována vhodná opatření, která riziko sníží na přijatelnou úroveň. Společnost nepřijímá politiku vědomé tolerance významných a vysokých rizik bez náležité mitigace, s výjimkou případů, kdy není technicky nebo ekonomicky možné riziko odstranit, a o této skutečnosti rozhodne vedení společnosti po zhodnocení všech relevantních faktorů.</w:t>
      </w:r>
    </w:p>
    <w:p w:rsidR="00B80B5A" w:rsidRPr="00B80B5A" w:rsidRDefault="00B80B5A" w:rsidP="00B80B5A">
      <w:pPr>
        <w:pStyle w:val="Nadpis3"/>
        <w:rPr>
          <w:rFonts w:ascii="Athiti" w:eastAsia="Athiti" w:hAnsi="Athiti" w:cs="Athiti"/>
          <w:lang w:val="cs-CZ"/>
        </w:rPr>
      </w:pPr>
      <w:bookmarkStart w:id="19" w:name="_heading=h.l3ntxobinoh1" w:colFirst="0" w:colLast="0"/>
      <w:bookmarkEnd w:id="19"/>
      <w:r w:rsidRPr="00B80B5A">
        <w:rPr>
          <w:rFonts w:ascii="Athiti" w:eastAsia="Athiti" w:hAnsi="Athiti" w:cs="Athiti"/>
          <w:lang w:val="cs-CZ"/>
        </w:rPr>
        <w:t>3.2.2 Možnosti řešení rizik</w:t>
      </w:r>
    </w:p>
    <w:p w:rsidR="00B80B5A" w:rsidRPr="00B80B5A" w:rsidRDefault="00B80B5A" w:rsidP="00B80B5A">
      <w:pPr>
        <w:pStyle w:val="normal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color w:val="444444"/>
          <w:lang w:val="cs-CZ"/>
        </w:rPr>
        <w:t>Následující možnosti mohou být použity k řešení rizik, která byla shledána nepřijatelnými:</w:t>
      </w:r>
    </w:p>
    <w:tbl>
      <w:tblPr>
        <w:tblW w:w="9638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Look w:val="0400"/>
      </w:tblPr>
      <w:tblGrid>
        <w:gridCol w:w="3045"/>
        <w:gridCol w:w="6593"/>
      </w:tblGrid>
      <w:tr w:rsidR="00B80B5A" w:rsidRPr="00B80B5A" w:rsidTr="000744DC">
        <w:trPr>
          <w:cantSplit/>
          <w:trHeight w:val="648"/>
          <w:tblHeader/>
        </w:trPr>
        <w:tc>
          <w:tcPr>
            <w:tcW w:w="3045" w:type="dxa"/>
            <w:shd w:val="clear" w:color="auto" w:fill="FFE599"/>
            <w:vAlign w:val="center"/>
          </w:tcPr>
          <w:p w:rsidR="00B80B5A" w:rsidRPr="00B80B5A" w:rsidRDefault="00B80B5A" w:rsidP="000744DC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lastRenderedPageBreak/>
              <w:t>MOŽNOST ŘEŠENÍ RIZIKA</w:t>
            </w:r>
          </w:p>
        </w:tc>
        <w:tc>
          <w:tcPr>
            <w:tcW w:w="6593" w:type="dxa"/>
            <w:shd w:val="clear" w:color="auto" w:fill="FFE599"/>
            <w:vAlign w:val="center"/>
          </w:tcPr>
          <w:p w:rsidR="00B80B5A" w:rsidRPr="00B80B5A" w:rsidRDefault="00B80B5A" w:rsidP="000744DC">
            <w:pPr>
              <w:pStyle w:val="normal"/>
              <w:spacing w:before="40" w:after="40"/>
              <w:jc w:val="center"/>
              <w:rPr>
                <w:rFonts w:ascii="Athiti" w:eastAsia="Athiti" w:hAnsi="Athiti" w:cs="Athiti"/>
                <w:b/>
                <w:lang w:val="cs-CZ"/>
              </w:rPr>
            </w:pPr>
            <w:r w:rsidRPr="00B80B5A">
              <w:rPr>
                <w:rFonts w:ascii="Athiti" w:eastAsia="Athiti" w:hAnsi="Athiti" w:cs="Athiti"/>
                <w:b/>
                <w:lang w:val="cs-CZ"/>
              </w:rPr>
              <w:t>POPIS</w:t>
            </w:r>
          </w:p>
        </w:tc>
      </w:tr>
      <w:tr w:rsidR="00B80B5A" w:rsidRPr="00B80B5A" w:rsidTr="000744DC">
        <w:trPr>
          <w:cantSplit/>
          <w:trHeight w:val="431"/>
          <w:tblHeader/>
        </w:trPr>
        <w:tc>
          <w:tcPr>
            <w:tcW w:w="3045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Vyhnout se riziku restrukturalizací obchodních procesů</w:t>
            </w:r>
          </w:p>
        </w:tc>
        <w:tc>
          <w:tcPr>
            <w:tcW w:w="6593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Rizika lze eliminovat restrukturalizací informační sítě tak, aby byly neutralizovány příslušné hrozby. Toto může být vhodné, když je dané riziko nepřijatelné a přestože jsou možné protiopatření, vyžadovaly by nepřiměřené množství zdrojů.</w:t>
            </w:r>
          </w:p>
        </w:tc>
      </w:tr>
      <w:tr w:rsidR="00B80B5A" w:rsidRPr="00B80B5A" w:rsidTr="000744DC">
        <w:trPr>
          <w:cantSplit/>
          <w:trHeight w:val="431"/>
          <w:tblHeader/>
        </w:trPr>
        <w:tc>
          <w:tcPr>
            <w:tcW w:w="3045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Snížení rizika prostřednictvím dodatečných bezpečnostních opatření</w:t>
            </w:r>
          </w:p>
        </w:tc>
        <w:tc>
          <w:tcPr>
            <w:tcW w:w="6593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Rizika lze zmírnit pomocí dodatečných, účinnějších bezpečnostních opatření.</w:t>
            </w:r>
          </w:p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</w:p>
        </w:tc>
      </w:tr>
      <w:tr w:rsidR="00B80B5A" w:rsidRPr="00B80B5A" w:rsidTr="000744DC">
        <w:trPr>
          <w:cantSplit/>
          <w:trHeight w:val="431"/>
          <w:tblHeader/>
        </w:trPr>
        <w:tc>
          <w:tcPr>
            <w:tcW w:w="3045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Přenos rizika</w:t>
            </w:r>
          </w:p>
        </w:tc>
        <w:tc>
          <w:tcPr>
            <w:tcW w:w="6593" w:type="dxa"/>
            <w:vAlign w:val="center"/>
          </w:tcPr>
          <w:p w:rsidR="00B80B5A" w:rsidRPr="00B80B5A" w:rsidRDefault="00B80B5A" w:rsidP="000744DC">
            <w:pPr>
              <w:pStyle w:val="normal"/>
              <w:jc w:val="left"/>
              <w:rPr>
                <w:rFonts w:ascii="Athiti" w:eastAsia="Athiti" w:hAnsi="Athiti" w:cs="Athiti"/>
                <w:color w:val="444444"/>
                <w:lang w:val="cs-CZ"/>
              </w:rPr>
            </w:pPr>
            <w:r w:rsidRPr="00B80B5A">
              <w:rPr>
                <w:rFonts w:ascii="Athiti" w:eastAsia="Athiti" w:hAnsi="Athiti" w:cs="Athiti"/>
                <w:color w:val="444444"/>
                <w:lang w:val="cs-CZ"/>
              </w:rPr>
              <w:t>Rizika lze přenést na jiný subjekt. Například uzavřením příslušných pojistných smluv nebo outsourcováním vysoce rizikových činností na externího poskytovatele služeb.</w:t>
            </w:r>
          </w:p>
        </w:tc>
      </w:tr>
    </w:tbl>
    <w:p w:rsidR="00B80B5A" w:rsidRPr="00B80B5A" w:rsidRDefault="00B80B5A" w:rsidP="00B80B5A">
      <w:pPr>
        <w:pStyle w:val="normal"/>
        <w:spacing w:after="200" w:line="240" w:lineRule="auto"/>
        <w:jc w:val="center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i/>
          <w:color w:val="44546A"/>
          <w:sz w:val="18"/>
          <w:szCs w:val="18"/>
          <w:lang w:val="cs-CZ"/>
        </w:rPr>
        <w:br/>
        <w:t>Tabulka 4: Možnosti řešení rizik</w:t>
      </w:r>
    </w:p>
    <w:p w:rsidR="00B80B5A" w:rsidRPr="00B80B5A" w:rsidRDefault="00B80B5A" w:rsidP="00B80B5A">
      <w:pPr>
        <w:pStyle w:val="Nadpis2"/>
        <w:rPr>
          <w:rFonts w:ascii="Athiti" w:eastAsia="Athiti" w:hAnsi="Athiti" w:cs="Athiti"/>
          <w:lang w:val="cs-CZ"/>
        </w:rPr>
      </w:pPr>
      <w:bookmarkStart w:id="20" w:name="_heading=h.xm7t6nvqc5ss" w:colFirst="0" w:colLast="0"/>
      <w:bookmarkEnd w:id="20"/>
      <w:r w:rsidRPr="00B80B5A">
        <w:rPr>
          <w:rFonts w:ascii="Athiti" w:eastAsia="Athiti" w:hAnsi="Athiti" w:cs="Athiti"/>
          <w:lang w:val="cs-CZ"/>
        </w:rPr>
        <w:t>3.3 Monitorování a revize rizik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 xml:space="preserve">Řízení rizik není jednorázový proces, ale </w:t>
      </w:r>
      <w:r w:rsidRPr="00B80B5A">
        <w:rPr>
          <w:rFonts w:ascii="Athiti" w:eastAsia="Athiti" w:hAnsi="Athiti" w:cs="Athiti"/>
          <w:b/>
          <w:lang w:val="cs-CZ"/>
        </w:rPr>
        <w:t>kontinuální činnost</w:t>
      </w:r>
      <w:r w:rsidRPr="00B80B5A">
        <w:rPr>
          <w:rFonts w:ascii="Athiti" w:eastAsia="Athiti" w:hAnsi="Athiti" w:cs="Athiti"/>
          <w:lang w:val="cs-CZ"/>
        </w:rPr>
        <w:t>, která vyžaduje pravidelné sledování a přehodnocování, aby byla zajištěna jeho účinnost a relevance v kontextu dynamického prostředí, ve kterém společnost působí.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 xml:space="preserve">Součástí tohoto procesu je zavádění a údržba </w:t>
      </w:r>
      <w:r w:rsidRPr="00B80B5A">
        <w:rPr>
          <w:rFonts w:ascii="Athiti" w:eastAsia="Athiti" w:hAnsi="Athiti" w:cs="Athiti"/>
          <w:b/>
          <w:lang w:val="cs-CZ"/>
        </w:rPr>
        <w:t>klíčových ukazatelů výkonnosti (Key Performance Indicators – KPI)</w:t>
      </w:r>
      <w:r w:rsidRPr="00B80B5A">
        <w:rPr>
          <w:rFonts w:ascii="Athiti" w:eastAsia="Athiti" w:hAnsi="Athiti" w:cs="Athiti"/>
          <w:lang w:val="cs-CZ"/>
        </w:rPr>
        <w:t>, které umožňují objektivně měřit účinnost implementovaných kontrolních opatření při snižování rizik. Tyto ukazatele mohou zahrnovat například:</w:t>
      </w:r>
    </w:p>
    <w:p w:rsidR="00B80B5A" w:rsidRPr="00B80B5A" w:rsidRDefault="00B80B5A" w:rsidP="00B80B5A">
      <w:pPr>
        <w:pStyle w:val="normal"/>
        <w:numPr>
          <w:ilvl w:val="0"/>
          <w:numId w:val="14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Počet a frekvenci zjištěných bezpečnostních incidentů.</w:t>
      </w:r>
    </w:p>
    <w:p w:rsidR="00B80B5A" w:rsidRPr="00B80B5A" w:rsidRDefault="00B80B5A" w:rsidP="00B80B5A">
      <w:pPr>
        <w:pStyle w:val="normal"/>
        <w:numPr>
          <w:ilvl w:val="0"/>
          <w:numId w:val="14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Počet nedostatků identifikovaných při interních auditech.</w:t>
      </w:r>
    </w:p>
    <w:p w:rsidR="00B80B5A" w:rsidRPr="00B80B5A" w:rsidRDefault="00B80B5A" w:rsidP="00B80B5A">
      <w:pPr>
        <w:pStyle w:val="normal"/>
        <w:numPr>
          <w:ilvl w:val="0"/>
          <w:numId w:val="14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Délku reakční doby na incidenty.</w:t>
      </w:r>
    </w:p>
    <w:p w:rsidR="00B80B5A" w:rsidRPr="00B80B5A" w:rsidRDefault="00B80B5A" w:rsidP="00B80B5A">
      <w:pPr>
        <w:pStyle w:val="normal"/>
        <w:numPr>
          <w:ilvl w:val="0"/>
          <w:numId w:val="14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Míru plnění akčních plánů na mitigaci rizik.</w:t>
      </w:r>
    </w:p>
    <w:p w:rsidR="00B80B5A" w:rsidRPr="00B80B5A" w:rsidRDefault="00B80B5A" w:rsidP="00B80B5A">
      <w:pPr>
        <w:pStyle w:val="normal"/>
        <w:numPr>
          <w:ilvl w:val="0"/>
          <w:numId w:val="14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Trendy ve výsledcích hodnocení rizik za jednotlivá období.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 xml:space="preserve">KPI jsou pravidelně reportovány vedení společnosti a </w:t>
      </w:r>
      <w:r w:rsidRPr="00B80B5A">
        <w:rPr>
          <w:rFonts w:ascii="Athiti" w:eastAsia="Athiti" w:hAnsi="Athiti" w:cs="Athiti"/>
          <w:b/>
          <w:lang w:val="cs-CZ"/>
        </w:rPr>
        <w:t>výboru pro informační bezpečnost</w:t>
      </w:r>
      <w:r w:rsidRPr="00B80B5A">
        <w:rPr>
          <w:rFonts w:ascii="Athiti" w:eastAsia="Athiti" w:hAnsi="Athiti" w:cs="Athiti"/>
          <w:lang w:val="cs-CZ"/>
        </w:rPr>
        <w:t xml:space="preserve">, který má odpovědnost za dohled nad oblastí řízení rizik. Na základě těchto reportů je prováděna </w:t>
      </w:r>
      <w:r w:rsidRPr="00B80B5A">
        <w:rPr>
          <w:rFonts w:ascii="Athiti" w:eastAsia="Athiti" w:hAnsi="Athiti" w:cs="Athiti"/>
          <w:b/>
          <w:lang w:val="cs-CZ"/>
        </w:rPr>
        <w:t>trendová analýza</w:t>
      </w:r>
      <w:r w:rsidRPr="00B80B5A">
        <w:rPr>
          <w:rFonts w:ascii="Athiti" w:eastAsia="Athiti" w:hAnsi="Athiti" w:cs="Athiti"/>
          <w:lang w:val="cs-CZ"/>
        </w:rPr>
        <w:t>, jejímž cílem je identifikovat odchylky, neobvyklé situace a potenciální slabá místa, která vyžadují nápravná opatření.</w:t>
      </w:r>
    </w:p>
    <w:p w:rsidR="00B80B5A" w:rsidRPr="00B80B5A" w:rsidRDefault="00B80B5A" w:rsidP="00B80B5A">
      <w:pPr>
        <w:pStyle w:val="Nadpis4"/>
        <w:keepNext w:val="0"/>
        <w:keepLines w:val="0"/>
        <w:rPr>
          <w:rFonts w:ascii="Athiti" w:eastAsia="Athiti" w:hAnsi="Athiti" w:cs="Athiti"/>
          <w:sz w:val="22"/>
          <w:szCs w:val="22"/>
          <w:lang w:val="cs-CZ"/>
        </w:rPr>
      </w:pPr>
      <w:bookmarkStart w:id="21" w:name="_heading=h.vkenccc9hw8h" w:colFirst="0" w:colLast="0"/>
      <w:bookmarkEnd w:id="21"/>
      <w:r w:rsidRPr="00B80B5A">
        <w:rPr>
          <w:rFonts w:ascii="Athiti" w:eastAsia="Athiti" w:hAnsi="Athiti" w:cs="Athiti"/>
          <w:sz w:val="22"/>
          <w:szCs w:val="22"/>
          <w:lang w:val="cs-CZ"/>
        </w:rPr>
        <w:t>Pravidelná revize hodnocení rizik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 xml:space="preserve">Kromě standardního </w:t>
      </w:r>
      <w:r w:rsidRPr="00B80B5A">
        <w:rPr>
          <w:rFonts w:ascii="Athiti" w:eastAsia="Athiti" w:hAnsi="Athiti" w:cs="Athiti"/>
          <w:b/>
          <w:lang w:val="cs-CZ"/>
        </w:rPr>
        <w:t>ročního přezkumu rizik</w:t>
      </w:r>
      <w:r w:rsidRPr="00B80B5A">
        <w:rPr>
          <w:rFonts w:ascii="Athiti" w:eastAsia="Athiti" w:hAnsi="Athiti" w:cs="Athiti"/>
          <w:lang w:val="cs-CZ"/>
        </w:rPr>
        <w:t xml:space="preserve">, který zahrnuje kompletní revizi registru rizik, metodiky hodnocení a účinnosti zavedených opatření, probíhá průběžné hodnocení rizik </w:t>
      </w:r>
      <w:r w:rsidRPr="00B80B5A">
        <w:rPr>
          <w:rFonts w:ascii="Athiti" w:eastAsia="Athiti" w:hAnsi="Athiti" w:cs="Athiti"/>
          <w:b/>
          <w:lang w:val="cs-CZ"/>
        </w:rPr>
        <w:t>v pravidelných intervalech</w:t>
      </w:r>
      <w:r w:rsidRPr="00B80B5A">
        <w:rPr>
          <w:rFonts w:ascii="Athiti" w:eastAsia="Athiti" w:hAnsi="Athiti" w:cs="Athiti"/>
          <w:lang w:val="cs-CZ"/>
        </w:rPr>
        <w:t>, například čtvrtletně, a při výskytu následujících situací:</w:t>
      </w:r>
    </w:p>
    <w:p w:rsidR="00B80B5A" w:rsidRPr="00B80B5A" w:rsidRDefault="00B80B5A" w:rsidP="00B80B5A">
      <w:pPr>
        <w:pStyle w:val="normal"/>
        <w:numPr>
          <w:ilvl w:val="0"/>
          <w:numId w:val="2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Významné změny v obchodní činnosti společnosti (např. rozšíření portfolia služeb, vstup na nové trhy).</w:t>
      </w:r>
    </w:p>
    <w:p w:rsidR="00B80B5A" w:rsidRPr="00B80B5A" w:rsidRDefault="00B80B5A" w:rsidP="00B80B5A">
      <w:pPr>
        <w:pStyle w:val="normal"/>
        <w:numPr>
          <w:ilvl w:val="0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lastRenderedPageBreak/>
        <w:t>Organizační změny (např. změna struktury řízení, přijetí nových zaměstnanců na klíčové pozice).</w:t>
      </w:r>
    </w:p>
    <w:p w:rsidR="00B80B5A" w:rsidRPr="00B80B5A" w:rsidRDefault="00B80B5A" w:rsidP="00B80B5A">
      <w:pPr>
        <w:pStyle w:val="normal"/>
        <w:numPr>
          <w:ilvl w:val="0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Zásadní technologické změny (např. zavedení nových systémů, migrace dat, změny v IT infrastruktuře).</w:t>
      </w:r>
    </w:p>
    <w:p w:rsidR="00B80B5A" w:rsidRPr="00B80B5A" w:rsidRDefault="00B80B5A" w:rsidP="00B80B5A">
      <w:pPr>
        <w:pStyle w:val="normal"/>
        <w:numPr>
          <w:ilvl w:val="0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Změny v právních a regulatorních požadavcích, které ovlivňují provoz společnosti.</w:t>
      </w:r>
    </w:p>
    <w:p w:rsidR="00B80B5A" w:rsidRPr="00B80B5A" w:rsidRDefault="00B80B5A" w:rsidP="00B80B5A">
      <w:pPr>
        <w:pStyle w:val="normal"/>
        <w:numPr>
          <w:ilvl w:val="0"/>
          <w:numId w:val="2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Významné bezpečnostní incidenty nebo události, které odhalí nové zranitelnosti nebo slabiny v kontrolních opatřeních.</w:t>
      </w:r>
    </w:p>
    <w:p w:rsidR="00B80B5A" w:rsidRPr="00B80B5A" w:rsidRDefault="00B80B5A" w:rsidP="00B80B5A">
      <w:pPr>
        <w:pStyle w:val="Nadpis4"/>
        <w:keepNext w:val="0"/>
        <w:keepLines w:val="0"/>
        <w:rPr>
          <w:rFonts w:ascii="Athiti" w:eastAsia="Athiti" w:hAnsi="Athiti" w:cs="Athiti"/>
          <w:sz w:val="22"/>
          <w:szCs w:val="22"/>
          <w:lang w:val="cs-CZ"/>
        </w:rPr>
      </w:pPr>
      <w:bookmarkStart w:id="22" w:name="_heading=h.9doiuj291sq7" w:colFirst="0" w:colLast="0"/>
      <w:bookmarkEnd w:id="22"/>
      <w:r w:rsidRPr="00B80B5A">
        <w:rPr>
          <w:rFonts w:ascii="Athiti" w:eastAsia="Athiti" w:hAnsi="Athiti" w:cs="Athiti"/>
          <w:sz w:val="22"/>
          <w:szCs w:val="22"/>
          <w:lang w:val="cs-CZ"/>
        </w:rPr>
        <w:t>Reakce na výsledky monitoringu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V případě, že monitoring odhalí nevyhovující úroveň kontroly rizik, neplnění stanovených KPI, nebo jiné odchylky, jsou tato zjištění eskalována k řešení v rámci procesu řízení rizik. Vlastníci rizik a odpovědné osoby musí připravit návrh opatření, který bude projednán a schválen vedením společnosti a výborem pro informační bezpečnost.</w:t>
      </w:r>
    </w:p>
    <w:p w:rsidR="00B80B5A" w:rsidRPr="00B80B5A" w:rsidRDefault="00B80B5A" w:rsidP="00B80B5A">
      <w:pPr>
        <w:pStyle w:val="normal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lang w:val="cs-CZ"/>
        </w:rPr>
        <w:t>Společnost se zavazuje, že celý proces monitoringu a revize bude transparentní, průkazně dokumentovaný a pravidelně vyhodnocovaný s cílem zajistit odpovědné a efektivní řízení rizik v souladu s nejlepšími standardy praxe a regulatorními požadavky.</w:t>
      </w:r>
    </w:p>
    <w:p w:rsidR="00B80B5A" w:rsidRPr="00B80B5A" w:rsidRDefault="00B80B5A" w:rsidP="00B80B5A">
      <w:pPr>
        <w:pStyle w:val="Nadpis1"/>
        <w:keepNext w:val="0"/>
        <w:keepLines w:val="0"/>
        <w:widowControl w:val="0"/>
        <w:spacing w:before="0" w:after="0" w:line="240" w:lineRule="auto"/>
        <w:rPr>
          <w:rFonts w:ascii="Athiti" w:eastAsia="Athiti" w:hAnsi="Athiti" w:cs="Athiti"/>
          <w:lang w:val="cs-CZ"/>
        </w:rPr>
      </w:pPr>
      <w:bookmarkStart w:id="23" w:name="_heading=h.6wdc31ep6u1" w:colFirst="0" w:colLast="0"/>
      <w:bookmarkEnd w:id="23"/>
      <w:r w:rsidRPr="00B80B5A">
        <w:rPr>
          <w:rFonts w:ascii="Athiti" w:eastAsia="Athiti" w:hAnsi="Athiti" w:cs="Athiti"/>
          <w:lang w:val="cs-CZ"/>
        </w:rPr>
        <w:t>4 Závěrečná ustanovení</w:t>
      </w:r>
    </w:p>
    <w:p w:rsidR="00B80B5A" w:rsidRPr="00B80B5A" w:rsidRDefault="00B80B5A" w:rsidP="00B80B5A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Společnost považuje tyto Zásady za závazný interní dokument, který je nedílnou součástí jejího systému řízení a kultury bezpečnosti. Dodržování těchto Zásad je povinností všech zaměstnanců a pracovníků společnosti bez ohledu na jejich pracovní zařazení, formu pracovního vztahu nebo délku pracovního poměru.</w:t>
      </w:r>
    </w:p>
    <w:p w:rsidR="00B80B5A" w:rsidRPr="00B80B5A" w:rsidRDefault="00B80B5A" w:rsidP="00B80B5A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4" w:name="_heading=h.f56347snnp3e" w:colFirst="0" w:colLast="0"/>
      <w:bookmarkEnd w:id="24"/>
      <w:r w:rsidRPr="00B80B5A">
        <w:rPr>
          <w:rFonts w:ascii="Athiti" w:eastAsia="Athiti" w:hAnsi="Athiti" w:cs="Athiti"/>
          <w:sz w:val="22"/>
          <w:szCs w:val="22"/>
          <w:lang w:val="cs-CZ"/>
        </w:rPr>
        <w:t>4.1 Zpřístupnění a komunikace Zásad</w:t>
      </w:r>
    </w:p>
    <w:p w:rsidR="00B80B5A" w:rsidRPr="00B80B5A" w:rsidRDefault="00B80B5A" w:rsidP="00B80B5A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Tyto Zásady budou trvale interně zpřístupněny všem zaměstnancům a pracovníkům společnosti prostřednictvím interní elektronické složky s názvem „Zásady a postupy společnosti“, která je součástí oficiální dokumentace společnosti. O existenci a obsahu tohoto předpisu, jeho aktualizacích, datu účinnosti a případných změnách budou zaměstnanci a pracovníci společnosti pravidelně informováni e-mailem, a to nejpozději do 5 pracovních dnů od provedení jakékoli revize nebo změny.</w:t>
      </w:r>
    </w:p>
    <w:p w:rsidR="00B80B5A" w:rsidRPr="00B80B5A" w:rsidRDefault="00B80B5A" w:rsidP="00B80B5A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Každý zaměstnanec a pracovník společnosti je povinen se s tímto vnitřním předpisem podrobně seznámit, potvrdit své seznámení formou elektronického potvrzení v systému nebo jiným průkazným způsobem, který stanoví Compliance &amp; AML Officer.</w:t>
      </w:r>
    </w:p>
    <w:p w:rsidR="00B80B5A" w:rsidRPr="00B80B5A" w:rsidRDefault="00B80B5A" w:rsidP="00B80B5A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5" w:name="_heading=h.193mh0oeh8j9" w:colFirst="0" w:colLast="0"/>
      <w:bookmarkEnd w:id="25"/>
      <w:r w:rsidRPr="00B80B5A">
        <w:rPr>
          <w:rFonts w:ascii="Athiti" w:eastAsia="Athiti" w:hAnsi="Athiti" w:cs="Athiti"/>
          <w:sz w:val="22"/>
          <w:szCs w:val="22"/>
          <w:lang w:val="cs-CZ"/>
        </w:rPr>
        <w:t>4.2 Školení zaměstnanců a pracovníků</w:t>
      </w:r>
    </w:p>
    <w:p w:rsidR="00B80B5A" w:rsidRPr="00B80B5A" w:rsidRDefault="00B80B5A" w:rsidP="00B80B5A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 xml:space="preserve">Za zajištění proškolení všech dotčených osob odpovídá </w:t>
      </w:r>
      <w:r w:rsidRPr="00B80B5A">
        <w:rPr>
          <w:rFonts w:ascii="Athiti" w:eastAsia="Athiti" w:hAnsi="Athiti" w:cs="Athiti"/>
          <w:b/>
          <w:lang w:val="cs-CZ"/>
        </w:rPr>
        <w:t>Compliance &amp; AML Officer</w:t>
      </w:r>
      <w:r w:rsidRPr="00B80B5A">
        <w:rPr>
          <w:rFonts w:ascii="Athiti" w:eastAsia="Athiti" w:hAnsi="Athiti" w:cs="Athiti"/>
          <w:lang w:val="cs-CZ"/>
        </w:rPr>
        <w:t>. Školení musí být realizováno: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6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Při prvním nástupu zaměstnance nebo pracovníka do společnosti (součást vstupního školení).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Při každé revizi Zásad, pokud dojde k významným změnám v jejich obsahu.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6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lastRenderedPageBreak/>
        <w:t xml:space="preserve">Minimálně </w:t>
      </w:r>
      <w:r w:rsidRPr="00B80B5A">
        <w:rPr>
          <w:rFonts w:ascii="Athiti" w:eastAsia="Athiti" w:hAnsi="Athiti" w:cs="Athiti"/>
          <w:b/>
          <w:lang w:val="cs-CZ"/>
        </w:rPr>
        <w:t>jednou ročně</w:t>
      </w:r>
      <w:r w:rsidRPr="00B80B5A">
        <w:rPr>
          <w:rFonts w:ascii="Athiti" w:eastAsia="Athiti" w:hAnsi="Athiti" w:cs="Athiti"/>
          <w:lang w:val="cs-CZ"/>
        </w:rPr>
        <w:t xml:space="preserve"> jako součást opakovaného školení na udržení povědomí o bezpečnostních pravidlech.</w:t>
      </w:r>
    </w:p>
    <w:p w:rsidR="00B80B5A" w:rsidRPr="00B80B5A" w:rsidRDefault="00B80B5A" w:rsidP="00B80B5A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Obsah školení bude zahrnovat: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7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Přehled cílů a zásad tohoto dokumentu.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Praktické příklady aplikace zásad v každodenní činnosti.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Povinnosti jednotlivých zaměstnanců a pracovníků.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7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Postupy při porušení zásad nebo hlášení incidentů.</w:t>
      </w:r>
    </w:p>
    <w:p w:rsidR="00B80B5A" w:rsidRPr="00B80B5A" w:rsidRDefault="00B80B5A" w:rsidP="00B80B5A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Proškolení bude dokumentováno prostřednictvím prezenčních listin, záznamů v interním systému nebo jiným průkazným způsobem, který umožní doložit účast jednotlivých osob.</w:t>
      </w:r>
    </w:p>
    <w:p w:rsidR="00B80B5A" w:rsidRPr="00B80B5A" w:rsidRDefault="00B80B5A" w:rsidP="00B80B5A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6" w:name="_heading=h.pxzwqb3vx92w" w:colFirst="0" w:colLast="0"/>
      <w:bookmarkEnd w:id="26"/>
      <w:r w:rsidRPr="00B80B5A">
        <w:rPr>
          <w:rFonts w:ascii="Athiti" w:eastAsia="Athiti" w:hAnsi="Athiti" w:cs="Athiti"/>
          <w:sz w:val="22"/>
          <w:szCs w:val="22"/>
          <w:lang w:val="cs-CZ"/>
        </w:rPr>
        <w:t>4.3 Revize a aktualizace Zásad</w:t>
      </w:r>
    </w:p>
    <w:p w:rsidR="00B80B5A" w:rsidRPr="00B80B5A" w:rsidRDefault="00B80B5A" w:rsidP="00B80B5A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Tyto Zásady podléhají pravidelné revizi, která probíhá: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11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Minimálně jednou ročně v rámci pravidelného cyklu přezkumu.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Bezprostředně při změnách relevantních právních předpisů, zejména nařízení MiCA a jeho prováděcích předpisů.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Při vydání nebo aktualizaci obecných pokynů, doporučení a RTS ze strany ESMA, EBA nebo jiných příslušných orgánů.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11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Po identifikaci nedostatků nebo incidentu, který odhalí slabinu v dosavadních postupech.</w:t>
      </w:r>
    </w:p>
    <w:p w:rsidR="00B80B5A" w:rsidRPr="00B80B5A" w:rsidRDefault="00B80B5A" w:rsidP="00B80B5A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 xml:space="preserve">Za revizi a aktuálnost těchto Zásad odpovídá </w:t>
      </w:r>
      <w:r w:rsidRPr="00B80B5A">
        <w:rPr>
          <w:rFonts w:ascii="Athiti" w:eastAsia="Athiti" w:hAnsi="Athiti" w:cs="Athiti"/>
          <w:b/>
          <w:lang w:val="cs-CZ"/>
        </w:rPr>
        <w:t>Compliance &amp; AML Officer</w:t>
      </w:r>
      <w:r w:rsidRPr="00B80B5A">
        <w:rPr>
          <w:rFonts w:ascii="Athiti" w:eastAsia="Athiti" w:hAnsi="Athiti" w:cs="Athiti"/>
          <w:lang w:val="cs-CZ"/>
        </w:rPr>
        <w:t>, který zajišťuje: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10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Vyhodnocení aktuálnosti dokumentu a jeho souladu s právními předpisy.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10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Přípravu návrhu změn a aktualizací.</w:t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10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>Předložení návrhu k projednání a schválení vedením společnosti.</w:t>
      </w:r>
      <w:r w:rsidRPr="00B80B5A">
        <w:rPr>
          <w:rFonts w:ascii="Athiti" w:eastAsia="Athiti" w:hAnsi="Athiti" w:cs="Athiti"/>
          <w:lang w:val="cs-CZ"/>
        </w:rPr>
        <w:br/>
      </w:r>
    </w:p>
    <w:p w:rsidR="00B80B5A" w:rsidRPr="00B80B5A" w:rsidRDefault="00B80B5A" w:rsidP="00B80B5A">
      <w:pPr>
        <w:pStyle w:val="normal"/>
        <w:widowControl w:val="0"/>
        <w:numPr>
          <w:ilvl w:val="0"/>
          <w:numId w:val="10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B80B5A">
        <w:rPr>
          <w:rFonts w:ascii="Athiti" w:eastAsia="Athiti" w:hAnsi="Athiti" w:cs="Athiti"/>
          <w:lang w:val="cs-CZ"/>
        </w:rPr>
        <w:t xml:space="preserve">Informování všech dotčených osob o změnách a zajištění aktualizace ve složce </w:t>
      </w:r>
      <w:r w:rsidRPr="00B80B5A">
        <w:rPr>
          <w:rFonts w:ascii="Athiti" w:eastAsia="Athiti" w:hAnsi="Athiti" w:cs="Athiti"/>
          <w:b/>
          <w:lang w:val="cs-CZ"/>
        </w:rPr>
        <w:t>„Zásady a postupy společnosti“</w:t>
      </w:r>
      <w:r w:rsidRPr="00B80B5A">
        <w:rPr>
          <w:rFonts w:ascii="Athiti" w:eastAsia="Athiti" w:hAnsi="Athiti" w:cs="Athiti"/>
          <w:lang w:val="cs-CZ"/>
        </w:rPr>
        <w:t>.</w:t>
      </w:r>
    </w:p>
    <w:p w:rsidR="00B80B5A" w:rsidRPr="00B80B5A" w:rsidRDefault="00B80B5A" w:rsidP="00B80B5A">
      <w:pPr>
        <w:pStyle w:val="Nadpis4"/>
        <w:keepNext w:val="0"/>
        <w:keepLines w:val="0"/>
        <w:widowControl w:val="0"/>
        <w:rPr>
          <w:rFonts w:ascii="Athiti" w:eastAsia="Athiti" w:hAnsi="Athiti" w:cs="Athiti"/>
          <w:sz w:val="22"/>
          <w:szCs w:val="22"/>
          <w:lang w:val="cs-CZ"/>
        </w:rPr>
      </w:pPr>
      <w:bookmarkStart w:id="27" w:name="_heading=h.asls2zbb5u7x" w:colFirst="0" w:colLast="0"/>
      <w:bookmarkEnd w:id="27"/>
      <w:r w:rsidRPr="00B80B5A">
        <w:rPr>
          <w:rFonts w:ascii="Athiti" w:eastAsia="Athiti" w:hAnsi="Athiti" w:cs="Athiti"/>
          <w:sz w:val="22"/>
          <w:szCs w:val="22"/>
          <w:lang w:val="cs-CZ"/>
        </w:rPr>
        <w:t>4.4 Účinnost</w:t>
      </w:r>
    </w:p>
    <w:p w:rsidR="00B80B5A" w:rsidRPr="00B80B5A" w:rsidRDefault="00B80B5A" w:rsidP="00B80B5A">
      <w:pPr>
        <w:pStyle w:val="normal"/>
        <w:widowControl w:val="0"/>
        <w:spacing w:before="240" w:after="240"/>
        <w:rPr>
          <w:rFonts w:ascii="Athiti" w:eastAsia="Athiti" w:hAnsi="Athiti" w:cs="Athiti"/>
          <w:color w:val="444444"/>
          <w:lang w:val="cs-CZ"/>
        </w:rPr>
      </w:pPr>
      <w:r w:rsidRPr="00B80B5A">
        <w:rPr>
          <w:rFonts w:ascii="Athiti" w:eastAsia="Athiti" w:hAnsi="Athiti" w:cs="Athiti"/>
          <w:lang w:val="cs-CZ"/>
        </w:rPr>
        <w:t xml:space="preserve">Tyto Zásady nabývají </w:t>
      </w:r>
      <w:r w:rsidRPr="00B80B5A">
        <w:rPr>
          <w:rFonts w:ascii="Athiti" w:eastAsia="Athiti" w:hAnsi="Athiti" w:cs="Athiti"/>
          <w:b/>
          <w:lang w:val="cs-CZ"/>
        </w:rPr>
        <w:t>platnosti a účinnosti ke dni jejich schválení vedením společnosti</w:t>
      </w:r>
      <w:r w:rsidRPr="00B80B5A">
        <w:rPr>
          <w:rFonts w:ascii="Athiti" w:eastAsia="Athiti" w:hAnsi="Athiti" w:cs="Athiti"/>
          <w:lang w:val="cs-CZ"/>
        </w:rPr>
        <w:t>. Datum schválení a účinnosti je uvedeno v záhlaví dokumentu.</w:t>
      </w:r>
    </w:p>
    <w:p w:rsidR="00B06DB5" w:rsidRPr="00B80B5A" w:rsidRDefault="00B06DB5">
      <w:pPr>
        <w:rPr>
          <w:lang w:val="cs-CZ"/>
        </w:rPr>
      </w:pPr>
    </w:p>
    <w:sectPr w:rsidR="00B06DB5" w:rsidRPr="00B80B5A" w:rsidSect="008163D2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BF" w:rsidRDefault="003328BF" w:rsidP="00E06483">
      <w:pPr>
        <w:spacing w:after="0" w:line="240" w:lineRule="auto"/>
      </w:pPr>
      <w:r>
        <w:separator/>
      </w:r>
    </w:p>
  </w:endnote>
  <w:endnote w:type="continuationSeparator" w:id="1">
    <w:p w:rsidR="003328BF" w:rsidRDefault="003328BF" w:rsidP="00E0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D2" w:rsidRDefault="00B80B5A">
    <w:pPr>
      <w:pStyle w:val="normal"/>
      <w:tabs>
        <w:tab w:val="center" w:pos="4677"/>
        <w:tab w:val="right" w:pos="9355"/>
      </w:tabs>
      <w:spacing w:after="0" w:line="240" w:lineRule="auto"/>
      <w:jc w:val="center"/>
    </w:pPr>
    <w:r>
      <w:rPr>
        <w:noProof/>
      </w:rPr>
      <w:drawing>
        <wp:inline distT="0" distB="0" distL="0" distR="0">
          <wp:extent cx="5495925" cy="73660"/>
          <wp:effectExtent l="0" t="0" r="0" b="0"/>
          <wp:docPr id="3" name="image2.png" descr="Light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ight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5925" cy="73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163D2" w:rsidRDefault="00753493">
    <w:pPr>
      <w:pStyle w:val="normal"/>
      <w:tabs>
        <w:tab w:val="center" w:pos="4677"/>
        <w:tab w:val="right" w:pos="9355"/>
      </w:tabs>
      <w:spacing w:after="0" w:line="240" w:lineRule="auto"/>
      <w:jc w:val="center"/>
      <w:rPr>
        <w:rFonts w:ascii="Athiti" w:eastAsia="Athiti" w:hAnsi="Athiti" w:cs="Athiti"/>
      </w:rPr>
    </w:pPr>
    <w:r>
      <w:rPr>
        <w:rFonts w:ascii="Athiti" w:eastAsia="Athiti" w:hAnsi="Athiti" w:cs="Athiti"/>
      </w:rPr>
      <w:fldChar w:fldCharType="begin"/>
    </w:r>
    <w:r w:rsidR="00B80B5A">
      <w:rPr>
        <w:rFonts w:ascii="Athiti" w:eastAsia="Athiti" w:hAnsi="Athiti" w:cs="Athiti"/>
      </w:rPr>
      <w:instrText>PAGE</w:instrText>
    </w:r>
    <w:r>
      <w:rPr>
        <w:rFonts w:ascii="Athiti" w:eastAsia="Athiti" w:hAnsi="Athiti" w:cs="Athiti"/>
      </w:rPr>
      <w:fldChar w:fldCharType="separate"/>
    </w:r>
    <w:r w:rsidR="00C929D0">
      <w:rPr>
        <w:rFonts w:ascii="Athiti" w:eastAsia="Athiti" w:hAnsi="Athiti" w:cs="Athiti"/>
        <w:noProof/>
      </w:rPr>
      <w:t>10</w:t>
    </w:r>
    <w:r>
      <w:rPr>
        <w:rFonts w:ascii="Athiti" w:eastAsia="Athiti" w:hAnsi="Athiti" w:cs="Athiti"/>
      </w:rPr>
      <w:fldChar w:fldCharType="end"/>
    </w:r>
  </w:p>
  <w:p w:rsidR="008163D2" w:rsidRDefault="003328BF">
    <w:pPr>
      <w:pStyle w:val="normal"/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BF" w:rsidRDefault="003328BF" w:rsidP="00E06483">
      <w:pPr>
        <w:spacing w:after="0" w:line="240" w:lineRule="auto"/>
      </w:pPr>
      <w:r>
        <w:separator/>
      </w:r>
    </w:p>
  </w:footnote>
  <w:footnote w:type="continuationSeparator" w:id="1">
    <w:p w:rsidR="003328BF" w:rsidRDefault="003328BF" w:rsidP="00E0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D2" w:rsidRDefault="00B80B5A">
    <w:pPr>
      <w:pStyle w:val="normal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-9522</wp:posOffset>
          </wp:positionH>
          <wp:positionV relativeFrom="page">
            <wp:posOffset>-9522</wp:posOffset>
          </wp:positionV>
          <wp:extent cx="109050" cy="10747050"/>
          <wp:effectExtent l="0" t="0" r="0" b="0"/>
          <wp:wrapSquare wrapText="bothSides" distT="0" distB="0" distL="114300" distR="11430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50" cy="1074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D2" w:rsidRDefault="00B80B5A">
    <w:pPr>
      <w:pStyle w:val="normal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-9522</wp:posOffset>
          </wp:positionH>
          <wp:positionV relativeFrom="page">
            <wp:posOffset>-9522</wp:posOffset>
          </wp:positionV>
          <wp:extent cx="109050" cy="1074705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50" cy="1074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7A2"/>
    <w:multiLevelType w:val="multilevel"/>
    <w:tmpl w:val="0F708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225CEA"/>
    <w:multiLevelType w:val="multilevel"/>
    <w:tmpl w:val="9F143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BB557A7"/>
    <w:multiLevelType w:val="multilevel"/>
    <w:tmpl w:val="FA7E7A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EC42CCB"/>
    <w:multiLevelType w:val="multilevel"/>
    <w:tmpl w:val="6A06F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2B14992"/>
    <w:multiLevelType w:val="multilevel"/>
    <w:tmpl w:val="38880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B97A9E"/>
    <w:multiLevelType w:val="multilevel"/>
    <w:tmpl w:val="C1CC6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CD82E45"/>
    <w:multiLevelType w:val="multilevel"/>
    <w:tmpl w:val="929018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7331452"/>
    <w:multiLevelType w:val="multilevel"/>
    <w:tmpl w:val="A9C6C5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A3C51BE"/>
    <w:multiLevelType w:val="multilevel"/>
    <w:tmpl w:val="59928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06657E5"/>
    <w:multiLevelType w:val="multilevel"/>
    <w:tmpl w:val="44DAD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21B571D"/>
    <w:multiLevelType w:val="multilevel"/>
    <w:tmpl w:val="6936D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CD602F6"/>
    <w:multiLevelType w:val="multilevel"/>
    <w:tmpl w:val="A1026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7965345"/>
    <w:multiLevelType w:val="multilevel"/>
    <w:tmpl w:val="74EAB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96E1056"/>
    <w:multiLevelType w:val="multilevel"/>
    <w:tmpl w:val="BB4CF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0CA5E6E"/>
    <w:multiLevelType w:val="multilevel"/>
    <w:tmpl w:val="F9FCE6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E573F7E"/>
    <w:multiLevelType w:val="multilevel"/>
    <w:tmpl w:val="10E2E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E6D17A5"/>
    <w:multiLevelType w:val="multilevel"/>
    <w:tmpl w:val="98269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82502E8"/>
    <w:multiLevelType w:val="multilevel"/>
    <w:tmpl w:val="3A2E4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7"/>
  </w:num>
  <w:num w:numId="5">
    <w:abstractNumId w:val="2"/>
  </w:num>
  <w:num w:numId="6">
    <w:abstractNumId w:val="16"/>
  </w:num>
  <w:num w:numId="7">
    <w:abstractNumId w:val="11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  <w:num w:numId="13">
    <w:abstractNumId w:val="15"/>
  </w:num>
  <w:num w:numId="14">
    <w:abstractNumId w:val="4"/>
  </w:num>
  <w:num w:numId="15">
    <w:abstractNumId w:val="9"/>
  </w:num>
  <w:num w:numId="16">
    <w:abstractNumId w:val="1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B5A"/>
    <w:rsid w:val="001F0902"/>
    <w:rsid w:val="00267770"/>
    <w:rsid w:val="003328BF"/>
    <w:rsid w:val="005811F2"/>
    <w:rsid w:val="00753493"/>
    <w:rsid w:val="00946DAF"/>
    <w:rsid w:val="00980AC0"/>
    <w:rsid w:val="009B3407"/>
    <w:rsid w:val="009D0A5F"/>
    <w:rsid w:val="00B01FD2"/>
    <w:rsid w:val="00B06DB5"/>
    <w:rsid w:val="00B64CA9"/>
    <w:rsid w:val="00B80B5A"/>
    <w:rsid w:val="00C929D0"/>
    <w:rsid w:val="00E0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0B5A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al"/>
    <w:next w:val="normal"/>
    <w:link w:val="Nadpis1Char"/>
    <w:rsid w:val="00B80B5A"/>
    <w:pPr>
      <w:keepNext/>
      <w:keepLines/>
      <w:spacing w:before="360" w:after="240"/>
      <w:outlineLvl w:val="0"/>
    </w:pPr>
    <w:rPr>
      <w:rFonts w:ascii="Calibri" w:eastAsia="Calibri" w:hAnsi="Calibri" w:cs="Calibri"/>
      <w:b/>
      <w:sz w:val="36"/>
      <w:szCs w:val="36"/>
    </w:rPr>
  </w:style>
  <w:style w:type="paragraph" w:styleId="Nadpis2">
    <w:name w:val="heading 2"/>
    <w:basedOn w:val="normal"/>
    <w:next w:val="normal"/>
    <w:link w:val="Nadpis2Char"/>
    <w:rsid w:val="00B80B5A"/>
    <w:pPr>
      <w:keepNext/>
      <w:keepLines/>
      <w:outlineLvl w:val="1"/>
    </w:pPr>
    <w:rPr>
      <w:rFonts w:ascii="Calibri" w:eastAsia="Calibri" w:hAnsi="Calibri" w:cs="Calibri"/>
      <w:sz w:val="30"/>
      <w:szCs w:val="30"/>
    </w:rPr>
  </w:style>
  <w:style w:type="paragraph" w:styleId="Nadpis3">
    <w:name w:val="heading 3"/>
    <w:basedOn w:val="normal"/>
    <w:next w:val="normal"/>
    <w:link w:val="Nadpis3Char"/>
    <w:rsid w:val="00B80B5A"/>
    <w:pPr>
      <w:keepNext/>
      <w:keepLines/>
      <w:spacing w:before="40" w:after="200"/>
      <w:outlineLvl w:val="2"/>
    </w:pPr>
    <w:rPr>
      <w:rFonts w:ascii="Calibri" w:eastAsia="Calibri" w:hAnsi="Calibri" w:cs="Calibri"/>
    </w:rPr>
  </w:style>
  <w:style w:type="paragraph" w:styleId="Nadpis4">
    <w:name w:val="heading 4"/>
    <w:basedOn w:val="normal"/>
    <w:next w:val="normal"/>
    <w:link w:val="Nadpis4Char"/>
    <w:rsid w:val="00B80B5A"/>
    <w:pPr>
      <w:keepNext/>
      <w:keepLines/>
      <w:spacing w:before="240" w:after="4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0B5A"/>
    <w:rPr>
      <w:rFonts w:ascii="Calibri" w:eastAsia="Calibri" w:hAnsi="Calibri" w:cs="Calibri"/>
      <w:b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B80B5A"/>
    <w:rPr>
      <w:rFonts w:ascii="Calibri" w:eastAsia="Calibri" w:hAnsi="Calibri" w:cs="Calibri"/>
      <w:sz w:val="30"/>
      <w:szCs w:val="30"/>
    </w:rPr>
  </w:style>
  <w:style w:type="character" w:customStyle="1" w:styleId="Nadpis3Char">
    <w:name w:val="Nadpis 3 Char"/>
    <w:basedOn w:val="Standardnpsmoodstavce"/>
    <w:link w:val="Nadpis3"/>
    <w:rsid w:val="00B80B5A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B80B5A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">
    <w:name w:val="normal"/>
    <w:rsid w:val="00B80B5A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B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4105</Words>
  <Characters>23400</Characters>
  <Application>Microsoft Office Word</Application>
  <DocSecurity>0</DocSecurity>
  <Lines>195</Lines>
  <Paragraphs>54</Paragraphs>
  <ScaleCrop>false</ScaleCrop>
  <Company/>
  <LinksUpToDate>false</LinksUpToDate>
  <CharactersWithSpaces>27451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4</cp:revision>
  <dcterms:created xsi:type="dcterms:W3CDTF">2025-07-27T23:18:00Z</dcterms:created>
  <dcterms:modified xsi:type="dcterms:W3CDTF">2025-07-30T17:12:00Z</dcterms:modified>
</cp:coreProperties>
</file>