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AC" w:rsidRPr="00B46108" w:rsidRDefault="009F2FAC" w:rsidP="009F2FAC">
      <w:pPr>
        <w:pStyle w:val="Nadpis3"/>
        <w:keepNext w:val="0"/>
        <w:keepLines w:val="0"/>
        <w:spacing w:before="280"/>
        <w:rPr>
          <w:rFonts w:ascii="Athiti" w:eastAsia="Athiti" w:hAnsi="Athiti" w:cs="Athiti"/>
          <w:b/>
          <w:color w:val="000000"/>
          <w:sz w:val="48"/>
          <w:szCs w:val="48"/>
          <w:lang w:val="cs-CZ"/>
        </w:rPr>
      </w:pPr>
      <w:bookmarkStart w:id="0" w:name="_8qttp4i6szib" w:colFirst="0" w:colLast="0"/>
      <w:bookmarkEnd w:id="0"/>
      <w:r w:rsidRPr="00B46108">
        <w:rPr>
          <w:rFonts w:ascii="Athiti" w:eastAsia="Athiti" w:hAnsi="Athiti" w:cs="Athiti"/>
          <w:b/>
          <w:color w:val="000000"/>
          <w:sz w:val="48"/>
          <w:szCs w:val="48"/>
          <w:lang w:val="cs-CZ"/>
        </w:rPr>
        <w:t>Zprávy o zjištěních a testování / Závažné ICT incidenty / Nové outsourcingové dohody</w:t>
      </w:r>
    </w:p>
    <w:tbl>
      <w:tblPr>
        <w:tblW w:w="9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669"/>
        <w:gridCol w:w="2008"/>
        <w:gridCol w:w="1824"/>
        <w:gridCol w:w="1781"/>
        <w:gridCol w:w="2077"/>
      </w:tblGrid>
      <w:tr w:rsidR="009F2FAC" w:rsidRPr="00B46108" w:rsidTr="004F48E9">
        <w:trPr>
          <w:cantSplit/>
          <w:trHeight w:val="785"/>
          <w:tblHeader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Typ zprávy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Popis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Spouštěcí událost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Příjemce/příjemci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Formát a termín</w:t>
            </w:r>
          </w:p>
        </w:tc>
      </w:tr>
      <w:tr w:rsidR="009F2FAC" w:rsidRPr="00B46108" w:rsidTr="004F48E9">
        <w:trPr>
          <w:cantSplit/>
          <w:trHeight w:val="4400"/>
          <w:tblHeader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1. Zprávy o zjištěních a testování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Zprávy vzniklé na základě testování digitální provozní odolnosti, včetně hodnocení zranitelností, testování průniku vedeného hrozbami (TLPT) a dalších testů podle článků 24–27 nařízení DORA.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Dokončení plánovaného nebo mimořádného testování odolnosti ICT, případně na žádost dozorového orgánu.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 xml:space="preserve">Interní zainteresované strany, funkce řízení ICT rizik, příslušné orgány (na </w:t>
            </w:r>
            <w:proofErr w:type="gramStart"/>
            <w:r w:rsidRPr="00B46108">
              <w:rPr>
                <w:rFonts w:ascii="Athiti" w:eastAsia="Athiti" w:hAnsi="Athiti" w:cs="Athiti"/>
                <w:lang w:val="cs-CZ"/>
              </w:rPr>
              <w:t>žádost nebo</w:t>
            </w:r>
            <w:proofErr w:type="gramEnd"/>
            <w:r w:rsidRPr="00B46108">
              <w:rPr>
                <w:rFonts w:ascii="Athiti" w:eastAsia="Athiti" w:hAnsi="Athiti" w:cs="Athiti"/>
                <w:lang w:val="cs-CZ"/>
              </w:rPr>
              <w:t xml:space="preserve"> pokud jsou zjištěny závažné zranitelnosti).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Musí zahrnovat rozsah, metodologii, zjištění, plány nápravy a časové harmonogramy. Předkládá se v rámci roční nebo ad hoc zprávy. Uchovává se a poskytuje na vyžádání regulátorům.</w:t>
            </w:r>
          </w:p>
        </w:tc>
      </w:tr>
      <w:tr w:rsidR="009F2FAC" w:rsidRPr="00B46108" w:rsidTr="004F48E9">
        <w:trPr>
          <w:cantSplit/>
          <w:trHeight w:val="5510"/>
          <w:tblHeader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lastRenderedPageBreak/>
              <w:t>2. Zprávy o závažných incidentech souvisejících s ICT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Oznámení o incidentech, které mají závažný nepříznivý dopad na důvěrnost, integritu nebo dostupnost ICT služeb a dat dle článku 19 DORA.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Výskyt závažného ICT incidentu, např. kybernetický útok, poškození dat, výpadky systémů nebo selhání služeb třetích stran.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Příslušný orgán dohledu (např. národní dohledový orgán), případně koordinace přes ESA nebo ECB pro významné instituce.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Třífázové hlášení:</w:t>
            </w:r>
            <w:r w:rsidRPr="00B46108">
              <w:rPr>
                <w:rFonts w:ascii="Athiti" w:eastAsia="Athiti" w:hAnsi="Athiti" w:cs="Athiti"/>
                <w:lang w:val="cs-CZ"/>
              </w:rPr>
              <w:t xml:space="preserve">• Prvotní oznámení: bez prodlení, nejpozději do konce pracovního dne nebo do 4 hodin od </w:t>
            </w:r>
            <w:proofErr w:type="gramStart"/>
            <w:r w:rsidRPr="00B46108">
              <w:rPr>
                <w:rFonts w:ascii="Athiti" w:eastAsia="Athiti" w:hAnsi="Athiti" w:cs="Athiti"/>
                <w:lang w:val="cs-CZ"/>
              </w:rPr>
              <w:t>klasifikace;• Průběžná</w:t>
            </w:r>
            <w:proofErr w:type="gramEnd"/>
            <w:r w:rsidRPr="00B46108">
              <w:rPr>
                <w:rFonts w:ascii="Athiti" w:eastAsia="Athiti" w:hAnsi="Athiti" w:cs="Athiti"/>
                <w:lang w:val="cs-CZ"/>
              </w:rPr>
              <w:t xml:space="preserve"> zpráva: do 3 pracovních dnů s aktuálními informacemi;• Závěrečná zpráva: do 1 měsíce po vyřešení, včetně analýzy příčiny, dopadu a přijatých nápravných opatření.</w:t>
            </w:r>
          </w:p>
        </w:tc>
      </w:tr>
      <w:tr w:rsidR="009F2FAC" w:rsidRPr="00B46108" w:rsidTr="004F48E9">
        <w:trPr>
          <w:cantSplit/>
          <w:trHeight w:val="5225"/>
          <w:tblHeader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3. Zprávy o nových outsourcingových dohodách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Zprávy a registry nových nebo zásadně změněných outsourcingů ICT služeb, zejména pokud jsou označeny za kritické nebo důležité podle článků 28–30 DORA.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Zahájení nebo úprava outsourcingové dohody s poskytovatelem ICT služeb, včetně subjektů uvnitř skupiny.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Příslušný dohledový orgán (na žádost); registry mohou být předmětem přezkumu.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 xml:space="preserve">Instituce musí vést aktuální </w:t>
            </w:r>
            <w:r w:rsidRPr="00B46108">
              <w:rPr>
                <w:rFonts w:ascii="Athiti" w:eastAsia="Athiti" w:hAnsi="Athiti" w:cs="Athiti"/>
                <w:b/>
                <w:lang w:val="cs-CZ"/>
              </w:rPr>
              <w:t>Registr informací</w:t>
            </w:r>
            <w:r w:rsidRPr="00B46108">
              <w:rPr>
                <w:rFonts w:ascii="Athiti" w:eastAsia="Athiti" w:hAnsi="Athiti" w:cs="Athiti"/>
                <w:lang w:val="cs-CZ"/>
              </w:rPr>
              <w:t xml:space="preserve"> o outsourcovaných ICT službách, včetně smluvních podmínek, hodnocení rizik a monitorování výkonnosti. Změny týkající se kritických nebo důležitých funkcí musí být oznámeny včas, ideálně před podpisem smlouvy.</w:t>
            </w:r>
          </w:p>
        </w:tc>
      </w:tr>
    </w:tbl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adpis3"/>
        <w:keepNext w:val="0"/>
        <w:keepLines w:val="0"/>
        <w:spacing w:before="280"/>
        <w:ind w:left="720" w:hanging="360"/>
        <w:rPr>
          <w:rFonts w:ascii="Athiti" w:eastAsia="Athiti" w:hAnsi="Athiti" w:cs="Athiti"/>
          <w:b/>
          <w:color w:val="000000"/>
          <w:sz w:val="26"/>
          <w:szCs w:val="26"/>
          <w:lang w:val="cs-CZ"/>
        </w:rPr>
      </w:pPr>
      <w:bookmarkStart w:id="1" w:name="_9orqgsa5bkwx" w:colFirst="0" w:colLast="0"/>
      <w:bookmarkEnd w:id="1"/>
      <w:r w:rsidRPr="00B46108">
        <w:rPr>
          <w:rFonts w:ascii="Athiti" w:eastAsia="Athiti" w:hAnsi="Athiti" w:cs="Athiti"/>
          <w:b/>
          <w:color w:val="000000"/>
          <w:sz w:val="26"/>
          <w:szCs w:val="26"/>
          <w:lang w:val="cs-CZ"/>
        </w:rPr>
        <w:t>Doplňující poznámky</w:t>
      </w:r>
    </w:p>
    <w:p w:rsidR="009F2FAC" w:rsidRPr="00B46108" w:rsidRDefault="009F2FAC" w:rsidP="009F2FAC">
      <w:pPr>
        <w:pStyle w:val="normal"/>
        <w:numPr>
          <w:ilvl w:val="0"/>
          <w:numId w:val="1"/>
        </w:numPr>
        <w:spacing w:before="240"/>
        <w:rPr>
          <w:rFonts w:ascii="Athiti" w:eastAsia="Athiti" w:hAnsi="Athiti" w:cs="Athiti"/>
          <w:lang w:val="cs-CZ"/>
        </w:rPr>
      </w:pPr>
      <w:r w:rsidRPr="00B46108">
        <w:rPr>
          <w:rFonts w:ascii="Athiti" w:eastAsia="Athiti" w:hAnsi="Athiti" w:cs="Athiti"/>
          <w:lang w:val="cs-CZ"/>
        </w:rPr>
        <w:t xml:space="preserve">Všechny zprávy musí být vypracovány ve formátech a podle šablon, které budou dále upřesněny prostřednictvím regulatorních technických standardů (RTS) a prováděcích technických standardů </w:t>
      </w:r>
      <w:r w:rsidRPr="00B46108">
        <w:rPr>
          <w:rFonts w:ascii="Athiti" w:eastAsia="Athiti" w:hAnsi="Athiti" w:cs="Athiti"/>
          <w:lang w:val="cs-CZ"/>
        </w:rPr>
        <w:lastRenderedPageBreak/>
        <w:t>(ITS), jež vypracují Evropské orgány dohledu (ESAs).</w:t>
      </w:r>
      <w:r w:rsidRPr="00B46108">
        <w:rPr>
          <w:rFonts w:ascii="Athiti" w:eastAsia="Athiti" w:hAnsi="Athiti" w:cs="Athiti"/>
          <w:lang w:val="cs-CZ"/>
        </w:rPr>
        <w:br/>
      </w:r>
    </w:p>
    <w:p w:rsidR="009F2FAC" w:rsidRPr="00B46108" w:rsidRDefault="009F2FAC" w:rsidP="009F2FAC">
      <w:pPr>
        <w:pStyle w:val="normal"/>
        <w:numPr>
          <w:ilvl w:val="0"/>
          <w:numId w:val="1"/>
        </w:numPr>
        <w:rPr>
          <w:rFonts w:ascii="Athiti" w:eastAsia="Athiti" w:hAnsi="Athiti" w:cs="Athiti"/>
          <w:lang w:val="cs-CZ"/>
        </w:rPr>
      </w:pPr>
      <w:r w:rsidRPr="00B46108">
        <w:rPr>
          <w:rFonts w:ascii="Athiti" w:eastAsia="Athiti" w:hAnsi="Athiti" w:cs="Athiti"/>
          <w:lang w:val="cs-CZ"/>
        </w:rPr>
        <w:t>Subjekty by měly zajistit, aby reportovací mechanismy byly integrovány do rámce řízení ICT rizik, s jasně definovanými interními rolemi pro identifikaci, eskalaci, ověření a komunikaci událostí podléhajících ohlašovací povinnosti.</w:t>
      </w:r>
      <w:r w:rsidRPr="00B46108">
        <w:rPr>
          <w:rFonts w:ascii="Athiti" w:eastAsia="Athiti" w:hAnsi="Athiti" w:cs="Athiti"/>
          <w:lang w:val="cs-CZ"/>
        </w:rPr>
        <w:br/>
      </w:r>
    </w:p>
    <w:p w:rsidR="009F2FAC" w:rsidRPr="00B46108" w:rsidRDefault="009F2FAC" w:rsidP="009F2FAC">
      <w:pPr>
        <w:pStyle w:val="normal"/>
        <w:numPr>
          <w:ilvl w:val="0"/>
          <w:numId w:val="1"/>
        </w:numPr>
        <w:spacing w:after="240"/>
        <w:rPr>
          <w:rFonts w:ascii="Athiti" w:eastAsia="Athiti" w:hAnsi="Athiti" w:cs="Athiti"/>
          <w:lang w:val="cs-CZ"/>
        </w:rPr>
      </w:pPr>
      <w:r w:rsidRPr="00B46108">
        <w:rPr>
          <w:rFonts w:ascii="Athiti" w:eastAsia="Athiti" w:hAnsi="Athiti" w:cs="Athiti"/>
          <w:lang w:val="cs-CZ"/>
        </w:rPr>
        <w:t>V případě přeshraničního působení nebo outsourcingu do třetích zemí může být ohlašování předmětem zvýšeného dohledu a koordinace mezi více regulačními orgány.</w:t>
      </w: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2680"/>
        <w:gridCol w:w="6680"/>
      </w:tblGrid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Sekce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Podrobnosti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Název zprávy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Zpráva o testování digitální provozní odolnosti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Název subjektu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[Plný právní název subjektu]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Typ testování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(např. TLPT, testování podle scénářů, skenování zranitelností)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Datum testování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[Datum zahájení – Datum ukončení]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Provádějící subjekt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[Interní tým / Externí poskytovatel – vč. certifikace]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Rozsah testování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[Obchodní procesy, systémy, aplikace, geografický rozsah]</w:t>
            </w:r>
          </w:p>
        </w:tc>
      </w:tr>
      <w:tr w:rsidR="009F2FAC" w:rsidRPr="00B46108" w:rsidTr="004F48E9">
        <w:trPr>
          <w:cantSplit/>
          <w:trHeight w:val="78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Cíle testu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[Co měl test ověřit – např. detekci hrozeb, dobu reakce, pokrytí zranitelností]</w:t>
            </w:r>
          </w:p>
        </w:tc>
      </w:tr>
      <w:tr w:rsidR="009F2FAC" w:rsidRPr="00B46108" w:rsidTr="004F48E9">
        <w:trPr>
          <w:cantSplit/>
          <w:trHeight w:val="78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lastRenderedPageBreak/>
              <w:t>Metodologie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[Použité nástroje, vektory útoku, rámce – např. MITRE ATT&amp;CK, CREST]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Shrnutí zjištění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[Seznam identifikovaných zranitelností, nedostatků, vystavení]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Klasifikace rizik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[Pro každé zjištění: Vysoké / Střední / Nízké s uvedením dopadu]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Nápravná opatření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[Seznam opatření, odpovědné týmy, termíny]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Plán následných kroků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[Opakované testování, monitorovací aktivity, milníky reportování]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Přílohy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[Logy, důkazní soubory, technické přílohy]</w:t>
            </w:r>
          </w:p>
        </w:tc>
      </w:tr>
      <w:tr w:rsidR="009F2FAC" w:rsidRPr="00B46108" w:rsidTr="004F48E9">
        <w:trPr>
          <w:cantSplit/>
          <w:trHeight w:val="78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Zaslání dozorovému orgánu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[Ano / Ne / Na vyžádání]</w:t>
            </w:r>
          </w:p>
        </w:tc>
      </w:tr>
      <w:tr w:rsidR="009F2FAC" w:rsidRPr="00B46108" w:rsidTr="004F48E9">
        <w:trPr>
          <w:cantSplit/>
          <w:trHeight w:val="785"/>
          <w:tblHeader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Schválil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[CISO / Pověřenec pro ochranu osobních údajů / Vedoucí ICT rizik / Představenstvo]</w:t>
            </w:r>
          </w:p>
        </w:tc>
      </w:tr>
    </w:tbl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ormal"/>
        <w:rPr>
          <w:rFonts w:ascii="Athiti" w:eastAsia="Athiti" w:hAnsi="Athiti" w:cs="Athiti"/>
          <w:lang w:val="cs-CZ"/>
        </w:rPr>
      </w:pPr>
    </w:p>
    <w:p w:rsidR="009F2FAC" w:rsidRPr="00B46108" w:rsidRDefault="009F2FAC" w:rsidP="009F2FAC">
      <w:pPr>
        <w:pStyle w:val="Nadpis3"/>
        <w:keepNext w:val="0"/>
        <w:keepLines w:val="0"/>
        <w:spacing w:before="280"/>
        <w:rPr>
          <w:rFonts w:ascii="Athiti" w:eastAsia="Athiti" w:hAnsi="Athiti" w:cs="Athiti"/>
          <w:b/>
          <w:color w:val="000000"/>
          <w:sz w:val="26"/>
          <w:szCs w:val="26"/>
          <w:lang w:val="cs-CZ"/>
        </w:rPr>
      </w:pPr>
      <w:bookmarkStart w:id="2" w:name="_pmvc8n74uek4" w:colFirst="0" w:colLast="0"/>
      <w:bookmarkEnd w:id="2"/>
      <w:r w:rsidRPr="00B46108">
        <w:rPr>
          <w:rFonts w:ascii="Athiti" w:eastAsia="Athiti" w:hAnsi="Athiti" w:cs="Athiti"/>
          <w:b/>
          <w:color w:val="000000"/>
          <w:sz w:val="26"/>
          <w:szCs w:val="26"/>
          <w:lang w:val="cs-CZ"/>
        </w:rPr>
        <w:t>2. Šablona hlášení závažného ICT incidentu</w:t>
      </w:r>
    </w:p>
    <w:p w:rsidR="009F2FAC" w:rsidRPr="00B46108" w:rsidRDefault="009F2FAC" w:rsidP="009F2FA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46108">
        <w:rPr>
          <w:rFonts w:ascii="Athiti" w:eastAsia="Athiti" w:hAnsi="Athiti" w:cs="Athiti"/>
          <w:i/>
          <w:lang w:val="cs-CZ"/>
        </w:rPr>
        <w:t>(V souladu s článkem 19 nařízení DORA; třífázová struktura: počáteční oznámení, průběžná zpráva, závěrečná zpráva)</w:t>
      </w:r>
    </w:p>
    <w:p w:rsidR="009F2FAC" w:rsidRPr="00B46108" w:rsidRDefault="009F2FAC" w:rsidP="009F2FAC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3" w:name="_c61yj8vawp6q" w:colFirst="0" w:colLast="0"/>
      <w:bookmarkEnd w:id="3"/>
      <w:r w:rsidRPr="00B46108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Počáteční oznámení (do 4 hodin / nejpozději do konce pracovního dne)</w:t>
      </w:r>
    </w:p>
    <w:tbl>
      <w:tblPr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215"/>
        <w:gridCol w:w="5855"/>
      </w:tblGrid>
      <w:tr w:rsidR="009F2FAC" w:rsidRPr="00B46108" w:rsidTr="004F48E9">
        <w:trPr>
          <w:cantSplit/>
          <w:trHeight w:val="515"/>
          <w:tblHeader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Položka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Podrobnosti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Název subjektu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[Plný název + LEI]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Datum a čas zjištění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[DD/MM/RRRR HH:MM CET]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Název incidentu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[Krátký název]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lastRenderedPageBreak/>
              <w:t>Počáteční klasifikace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[Závažný ICT incident – Ano / Ne]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Dotčené systémy / služby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[Výčet systémů nebo služeb]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Předběžné posouzení dopadu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[Výpadek, postižení klienti, ohrožená data, finanční ztráta]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Podezření na příčinu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[např. malware, vnitřní hrozba, selhání systému]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Doposud provedené kroky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[Izolace, komunikace, omezení šíření]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Kontaktní osoba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[Jméno, funkce, e-mail, telefon]</w:t>
            </w:r>
          </w:p>
        </w:tc>
      </w:tr>
    </w:tbl>
    <w:p w:rsidR="009F2FAC" w:rsidRPr="00B46108" w:rsidRDefault="009F2FAC" w:rsidP="009F2FAC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4" w:name="_ahmsjfsmgh3l" w:colFirst="0" w:colLast="0"/>
      <w:bookmarkEnd w:id="4"/>
      <w:r w:rsidRPr="00B46108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Průběžná zpráva (do 3 pracovních dnů)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275"/>
        <w:gridCol w:w="6085"/>
      </w:tblGrid>
      <w:tr w:rsidR="009F2FAC" w:rsidRPr="00B46108" w:rsidTr="004F48E9">
        <w:trPr>
          <w:cantSplit/>
          <w:trHeight w:val="515"/>
          <w:tblHeader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Položka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Podrobnosti</w:t>
            </w:r>
          </w:p>
        </w:tc>
      </w:tr>
      <w:tr w:rsidR="009F2FAC" w:rsidRPr="00B46108" w:rsidTr="004F48E9">
        <w:trPr>
          <w:cantSplit/>
          <w:trHeight w:val="785"/>
          <w:tblHeader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Aktualizované posouzení dopadu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[Dopad na klienty, potvrzený únik dat, délka trvání, přerušení služby]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Předběžná analýza příčin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[Technická nebo procesní slabina]</w:t>
            </w:r>
          </w:p>
        </w:tc>
      </w:tr>
      <w:tr w:rsidR="009F2FAC" w:rsidRPr="00B46108" w:rsidTr="004F48E9">
        <w:trPr>
          <w:cantSplit/>
          <w:trHeight w:val="785"/>
          <w:tblHeader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Aktualizace klasifikace incidentu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[Potvrzen jako závažný / překlasifikován]</w:t>
            </w:r>
          </w:p>
        </w:tc>
      </w:tr>
      <w:tr w:rsidR="009F2FAC" w:rsidRPr="00B46108" w:rsidTr="004F48E9">
        <w:trPr>
          <w:cantSplit/>
          <w:trHeight w:val="785"/>
          <w:tblHeader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Informované strany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[Interní subjekty, klienti, orgány činné v trestním řízení, ÚOOÚ apod.]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Stav obnovy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[Probíhá / Dokončena]</w:t>
            </w:r>
          </w:p>
        </w:tc>
      </w:tr>
    </w:tbl>
    <w:p w:rsidR="009F2FAC" w:rsidRPr="00B46108" w:rsidRDefault="009F2FAC" w:rsidP="009F2FAC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5" w:name="_326hslxn3bh8" w:colFirst="0" w:colLast="0"/>
      <w:bookmarkEnd w:id="5"/>
      <w:r w:rsidRPr="00B46108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Závěrečná zpráva (do 1 měsíce po vyřešení)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200"/>
        <w:gridCol w:w="6160"/>
      </w:tblGrid>
      <w:tr w:rsidR="009F2FAC" w:rsidRPr="00B46108" w:rsidTr="004F48E9">
        <w:trPr>
          <w:cantSplit/>
          <w:trHeight w:val="515"/>
          <w:tblHeader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Položka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Podrobnosti</w:t>
            </w:r>
          </w:p>
        </w:tc>
      </w:tr>
      <w:tr w:rsidR="009F2FAC" w:rsidRPr="00B46108" w:rsidTr="004F48E9">
        <w:trPr>
          <w:cantSplit/>
          <w:trHeight w:val="785"/>
          <w:tblHeader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lastRenderedPageBreak/>
              <w:t>Konečná příčina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[Detailní popis včetně forenzních důkazů, pokud jsou k dispozici]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Získané poznatky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[Organizační, technické, procesní]</w:t>
            </w:r>
          </w:p>
        </w:tc>
      </w:tr>
      <w:tr w:rsidR="009F2FAC" w:rsidRPr="00B46108" w:rsidTr="004F48E9">
        <w:trPr>
          <w:cantSplit/>
          <w:trHeight w:val="785"/>
          <w:tblHeader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Nápravná a zmírňující opatření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[Realizovaná a plánovaná]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Následná kontrolní opatření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[Monitoring, audity, školení]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Čas úplné obnovy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[Kdy byly služby / data plně obnoveny]</w:t>
            </w:r>
          </w:p>
        </w:tc>
      </w:tr>
      <w:tr w:rsidR="009F2FAC" w:rsidRPr="00B46108" w:rsidTr="004F48E9">
        <w:trPr>
          <w:cantSplit/>
          <w:trHeight w:val="785"/>
          <w:tblHeader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Formální uzavření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spacing w:before="280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[Kdo, kdy, odkaz na zprávu pro představenstvo, pokud je relevantní]</w:t>
            </w:r>
          </w:p>
        </w:tc>
      </w:tr>
    </w:tbl>
    <w:p w:rsidR="009F2FAC" w:rsidRPr="00B46108" w:rsidRDefault="009F2FAC" w:rsidP="009F2FAC">
      <w:pPr>
        <w:pStyle w:val="Nadpis3"/>
        <w:keepNext w:val="0"/>
        <w:keepLines w:val="0"/>
        <w:spacing w:before="280"/>
        <w:rPr>
          <w:rFonts w:ascii="Athiti" w:eastAsia="Athiti" w:hAnsi="Athiti" w:cs="Athiti"/>
          <w:b/>
          <w:color w:val="000000"/>
          <w:sz w:val="26"/>
          <w:szCs w:val="26"/>
          <w:lang w:val="cs-CZ"/>
        </w:rPr>
      </w:pPr>
      <w:bookmarkStart w:id="6" w:name="_jofuxrgiutf9" w:colFirst="0" w:colLast="0"/>
      <w:bookmarkEnd w:id="6"/>
      <w:r w:rsidRPr="00B46108">
        <w:rPr>
          <w:rFonts w:ascii="Athiti" w:eastAsia="Athiti" w:hAnsi="Athiti" w:cs="Athiti"/>
          <w:b/>
          <w:color w:val="000000"/>
          <w:sz w:val="26"/>
          <w:szCs w:val="26"/>
          <w:lang w:val="cs-CZ"/>
        </w:rPr>
        <w:t>3. Šablona oznámení o novém outsourcingovém ujednání</w:t>
      </w:r>
    </w:p>
    <w:p w:rsidR="009F2FAC" w:rsidRPr="00B46108" w:rsidRDefault="009F2FAC" w:rsidP="009F2FAC">
      <w:pPr>
        <w:pStyle w:val="normal"/>
        <w:spacing w:before="240" w:after="240"/>
        <w:rPr>
          <w:rFonts w:ascii="Athiti" w:eastAsia="Athiti" w:hAnsi="Athiti" w:cs="Athiti"/>
          <w:i/>
          <w:lang w:val="cs-CZ"/>
        </w:rPr>
      </w:pPr>
      <w:r w:rsidRPr="00B46108">
        <w:rPr>
          <w:rFonts w:ascii="Athiti" w:eastAsia="Athiti" w:hAnsi="Athiti" w:cs="Athiti"/>
          <w:i/>
          <w:lang w:val="cs-CZ"/>
        </w:rPr>
        <w:t>(Vztahuje se na ICT outsourcing třetím stranám podle článků 28–30 nařízení DORA)</w:t>
      </w:r>
    </w:p>
    <w:tbl>
      <w:tblPr>
        <w:tblW w:w="9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395"/>
        <w:gridCol w:w="5735"/>
      </w:tblGrid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Sekce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Podrobnosti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Název subjektu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[Právní název + LEI]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Datum zprávy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[DD/MM/RRRR]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Typ ujednání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[Nové / Zásadní změna]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Kritická nebo důležitá funkce?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[Ano / Ne]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Název třetí strany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[Právní název, stát, registrační číslo]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Popis služby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[ICT služby, které budou outsourcovány]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Datum zahájení / Doba trvání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[DD/MM/RRRR – doba trvání nebo neurčitá]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lastRenderedPageBreak/>
              <w:t>Souhrn hodnocení rizik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[Dopad na provoz, zpracování dat, kontinuitu]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Kontroly souladu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[GDPR, omezení subdodavatelů, hodnocení rizik cloudu]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Smlouva podepsána?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[Ano / Ne – přiložit nebo odkázat na registr]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Obsahuje právo na audit?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[Ano / Ne]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Zveřejnění subdodavatelů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[Seznam známých subdodavatelů]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Opatření pro případ nouze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[Exit strategie, záložní řešení]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Interní schválení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[Datum schválení představenstvem nebo vedením]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Hlášeno příslušnému orgánu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[Národní příslušný orgán – název]</w:t>
            </w:r>
          </w:p>
        </w:tc>
      </w:tr>
      <w:tr w:rsidR="009F2FAC" w:rsidRPr="00B46108" w:rsidTr="004F48E9">
        <w:trPr>
          <w:cantSplit/>
          <w:trHeight w:val="515"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b/>
                <w:lang w:val="cs-CZ"/>
              </w:rPr>
              <w:t>Odpovědná kontaktní osoba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AC" w:rsidRPr="00B46108" w:rsidRDefault="009F2FAC" w:rsidP="004F48E9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46108">
              <w:rPr>
                <w:rFonts w:ascii="Athiti" w:eastAsia="Athiti" w:hAnsi="Athiti" w:cs="Athiti"/>
                <w:lang w:val="cs-CZ"/>
              </w:rPr>
              <w:t>[Jméno, pozice, telefon, e-mail]</w:t>
            </w:r>
          </w:p>
        </w:tc>
      </w:tr>
    </w:tbl>
    <w:p w:rsidR="009F2FAC" w:rsidRPr="00B46108" w:rsidRDefault="009F2FAC" w:rsidP="009F2FAC">
      <w:pPr>
        <w:pStyle w:val="normal"/>
        <w:rPr>
          <w:rFonts w:ascii="Athiti" w:eastAsia="Athiti" w:hAnsi="Athiti" w:cs="Athiti"/>
          <w:i/>
          <w:lang w:val="cs-CZ"/>
        </w:rPr>
      </w:pPr>
    </w:p>
    <w:p w:rsidR="00B06DB5" w:rsidRPr="00B46108" w:rsidRDefault="00B06DB5">
      <w:pPr>
        <w:rPr>
          <w:lang w:val="cs-CZ"/>
        </w:rPr>
      </w:pPr>
    </w:p>
    <w:sectPr w:rsidR="00B06DB5" w:rsidRPr="00B46108" w:rsidSect="00E626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F3EFE"/>
    <w:multiLevelType w:val="multilevel"/>
    <w:tmpl w:val="7584BA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2FAC"/>
    <w:rsid w:val="00072C4C"/>
    <w:rsid w:val="001F0902"/>
    <w:rsid w:val="00267770"/>
    <w:rsid w:val="005811F2"/>
    <w:rsid w:val="00653B5B"/>
    <w:rsid w:val="009D0A5F"/>
    <w:rsid w:val="009F2FAC"/>
    <w:rsid w:val="00B01FD2"/>
    <w:rsid w:val="00B06DB5"/>
    <w:rsid w:val="00B4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FAC"/>
    <w:pPr>
      <w:spacing w:after="0"/>
    </w:pPr>
    <w:rPr>
      <w:rFonts w:ascii="Arial" w:eastAsia="Arial" w:hAnsi="Arial" w:cs="Arial"/>
    </w:rPr>
  </w:style>
  <w:style w:type="paragraph" w:styleId="Nadpis3">
    <w:name w:val="heading 3"/>
    <w:basedOn w:val="normal"/>
    <w:next w:val="normal"/>
    <w:link w:val="Nadpis3Char"/>
    <w:rsid w:val="009F2FA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link w:val="Nadpis4Char"/>
    <w:rsid w:val="009F2FA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F2FAC"/>
    <w:rPr>
      <w:rFonts w:ascii="Arial" w:eastAsia="Arial" w:hAnsi="Arial" w:cs="Arial"/>
      <w:color w:val="434343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9F2FAC"/>
    <w:rPr>
      <w:rFonts w:ascii="Arial" w:eastAsia="Arial" w:hAnsi="Arial" w:cs="Arial"/>
      <w:color w:val="666666"/>
      <w:sz w:val="24"/>
      <w:szCs w:val="24"/>
    </w:rPr>
  </w:style>
  <w:style w:type="paragraph" w:customStyle="1" w:styleId="normal">
    <w:name w:val="normal"/>
    <w:rsid w:val="009F2FAC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2</cp:revision>
  <dcterms:created xsi:type="dcterms:W3CDTF">2025-07-25T04:15:00Z</dcterms:created>
  <dcterms:modified xsi:type="dcterms:W3CDTF">2025-07-25T04:21:00Z</dcterms:modified>
</cp:coreProperties>
</file>